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4"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4"/>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20DDDF4E" w:rsidR="006E64EE" w:rsidRPr="001F53D2" w:rsidRDefault="006E64EE" w:rsidP="006E64EE">
      <w:pPr>
        <w:pStyle w:val="Heading2"/>
        <w:rPr>
          <w:sz w:val="22"/>
          <w:lang w:val="en-US"/>
        </w:rPr>
      </w:pPr>
      <w:r>
        <w:rPr>
          <w:sz w:val="22"/>
          <w:lang w:val="en-US"/>
        </w:rPr>
        <w:t>2.1</w:t>
      </w:r>
      <w:r>
        <w:rPr>
          <w:sz w:val="22"/>
          <w:lang w:val="en-US"/>
        </w:rPr>
        <w:tab/>
      </w:r>
      <w:r w:rsidR="00BC64CF">
        <w:rPr>
          <w:sz w:val="22"/>
          <w:lang w:val="en-US"/>
        </w:rPr>
        <w:t xml:space="preserve">(Finished) </w:t>
      </w:r>
      <w:r>
        <w:rPr>
          <w:sz w:val="22"/>
          <w:lang w:val="en-US"/>
        </w:rPr>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4903BA98" w:rsidR="006E64EE" w:rsidRPr="00610E6E" w:rsidRDefault="006E64EE" w:rsidP="006E64EE">
      <w:pPr>
        <w:spacing w:afterLines="50" w:after="120"/>
        <w:jc w:val="both"/>
        <w:rPr>
          <w:b/>
          <w:bCs/>
          <w:sz w:val="22"/>
          <w:lang w:val="en-US"/>
        </w:rPr>
      </w:pPr>
      <w:r w:rsidRPr="00832B47">
        <w:rPr>
          <w:b/>
          <w:bCs/>
          <w:sz w:val="22"/>
          <w:lang w:val="en-US"/>
        </w:rPr>
        <w:tab/>
      </w:r>
      <w:r w:rsidRPr="00610E6E">
        <w:rPr>
          <w:b/>
          <w:bCs/>
          <w:sz w:val="22"/>
          <w:lang w:val="en-US"/>
        </w:rPr>
        <w:t>Keeping the FG1-2/2-2 (removing brackets) supported by:</w:t>
      </w:r>
      <w:r w:rsidR="00C834EE"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0C7F9A">
        <w:rPr>
          <w:b/>
          <w:bCs/>
          <w:sz w:val="22"/>
          <w:lang w:val="en-US"/>
        </w:rPr>
        <w:t xml:space="preserve"> </w:t>
      </w:r>
      <w:r w:rsidR="00156F85" w:rsidRPr="00610E6E">
        <w:rPr>
          <w:b/>
          <w:bCs/>
          <w:sz w:val="22"/>
          <w:lang w:val="en-US"/>
        </w:rPr>
        <w:t>ZTE,</w:t>
      </w:r>
      <w:r w:rsidR="000C7F9A">
        <w:rPr>
          <w:b/>
          <w:bCs/>
          <w:sz w:val="22"/>
          <w:lang w:val="en-US"/>
        </w:rPr>
        <w:t xml:space="preserve"> </w:t>
      </w:r>
      <w:r w:rsidR="00156F85" w:rsidRPr="00610E6E">
        <w:rPr>
          <w:b/>
          <w:bCs/>
          <w:sz w:val="22"/>
          <w:lang w:val="en-US"/>
        </w:rPr>
        <w:t>Sanechips</w:t>
      </w:r>
    </w:p>
    <w:p w14:paraId="2B33F3AE" w14:textId="4E7190D3" w:rsidR="006E64EE" w:rsidRPr="00832B47" w:rsidRDefault="006E64EE" w:rsidP="006E64EE">
      <w:pPr>
        <w:spacing w:afterLines="50" w:after="120"/>
        <w:jc w:val="both"/>
        <w:rPr>
          <w:b/>
          <w:bCs/>
          <w:sz w:val="22"/>
          <w:lang w:val="en-US"/>
        </w:rPr>
      </w:pPr>
      <w:r w:rsidRPr="00610E6E">
        <w:rPr>
          <w:b/>
          <w:bCs/>
          <w:sz w:val="22"/>
          <w:lang w:val="en-US"/>
        </w:rPr>
        <w:tab/>
        <w:t>Objected (i.e., support removing FG1-2/2-2 and adding them as component of FG1-1/2-1) by:</w:t>
      </w:r>
      <w:r w:rsidR="00610E6E">
        <w:rPr>
          <w:b/>
          <w:bCs/>
          <w:sz w:val="22"/>
          <w:lang w:val="en-US"/>
        </w:rPr>
        <w:t xml:space="preserve"> Huawei, HiSilicon, Sony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5C71E3F3" w:rsidR="009837A1" w:rsidRPr="00610E6E" w:rsidRDefault="00610E6E" w:rsidP="009837A1">
      <w:pPr>
        <w:rPr>
          <w:b/>
          <w:bCs/>
        </w:rPr>
      </w:pPr>
      <w:r w:rsidRPr="008421FA">
        <w:rPr>
          <w:rFonts w:hint="eastAsia"/>
          <w:b/>
          <w:bCs/>
        </w:rPr>
        <w:t>F</w:t>
      </w:r>
      <w:r w:rsidRPr="008421FA">
        <w:rPr>
          <w:b/>
          <w:bCs/>
        </w:rPr>
        <w:t>L proposal:</w:t>
      </w:r>
    </w:p>
    <w:p w14:paraId="1842CD54" w14:textId="6BD55155" w:rsidR="00610E6E" w:rsidRDefault="00610E6E" w:rsidP="00610E6E">
      <w:pPr>
        <w:pStyle w:val="ListParagraph"/>
        <w:numPr>
          <w:ilvl w:val="0"/>
          <w:numId w:val="35"/>
        </w:numPr>
        <w:ind w:leftChars="0"/>
      </w:pPr>
      <w:r>
        <w:rPr>
          <w:rFonts w:hint="eastAsia"/>
        </w:rPr>
        <w:t>R</w:t>
      </w:r>
      <w:r>
        <w:t>emove FG[1-2] and add GWUS with group resource alternation as a component of FG1-1.</w:t>
      </w:r>
    </w:p>
    <w:p w14:paraId="719E0849" w14:textId="699B71C2" w:rsidR="00610E6E" w:rsidRDefault="00610E6E" w:rsidP="00610E6E">
      <w:pPr>
        <w:pStyle w:val="ListParagraph"/>
        <w:numPr>
          <w:ilvl w:val="0"/>
          <w:numId w:val="35"/>
        </w:numPr>
        <w:ind w:leftChars="0"/>
      </w:pPr>
      <w:r>
        <w:rPr>
          <w:rFonts w:hint="eastAsia"/>
        </w:rPr>
        <w:t>R</w:t>
      </w:r>
      <w:r>
        <w:t>emove FG[2-2] and add GWUS with group resource alternation as a component of FG2-1.</w:t>
      </w:r>
    </w:p>
    <w:p w14:paraId="05D1DB56" w14:textId="255C0917" w:rsidR="0013014A" w:rsidRDefault="0013014A" w:rsidP="009837A1"/>
    <w:tbl>
      <w:tblPr>
        <w:tblStyle w:val="GridTable4-Accent2"/>
        <w:tblW w:w="0" w:type="auto"/>
        <w:tblLook w:val="04A0" w:firstRow="1" w:lastRow="0" w:firstColumn="1" w:lastColumn="0" w:noHBand="0" w:noVBand="1"/>
      </w:tblPr>
      <w:tblGrid>
        <w:gridCol w:w="1980"/>
        <w:gridCol w:w="7982"/>
      </w:tblGrid>
      <w:tr w:rsidR="00085873" w14:paraId="2D77CEE3"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615D2B"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D400E77"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415D2F84"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48A444" w14:textId="14D921B5" w:rsidR="00085873" w:rsidRDefault="00085873" w:rsidP="00B26704">
            <w:pPr>
              <w:jc w:val="both"/>
              <w:rPr>
                <w:sz w:val="22"/>
                <w:lang w:val="en-US"/>
              </w:rPr>
            </w:pPr>
            <w:r>
              <w:rPr>
                <w:sz w:val="22"/>
                <w:lang w:val="en-US"/>
              </w:rPr>
              <w:t>Qualcomm</w:t>
            </w:r>
          </w:p>
        </w:tc>
        <w:tc>
          <w:tcPr>
            <w:tcW w:w="7982" w:type="dxa"/>
          </w:tcPr>
          <w:p w14:paraId="45D2C1AF" w14:textId="7E6557A5"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Let us explain a bit better the reasoning. It is very likely that, when implementing this feature initially, eNBs will not implement the resource alternation (note that this feature is configurable). Then, a UE is initially deployed, but it doesn’t have any IODT opportunity for this. If there is any bug at the UE, this UE will be completely unreachable, since it may be monitoring the wrong WUS. So, we would rather keep the two FG.</w:t>
            </w:r>
          </w:p>
        </w:tc>
      </w:tr>
      <w:tr w:rsidR="007635D4" w14:paraId="61AD27EF" w14:textId="77777777" w:rsidTr="00085873">
        <w:tc>
          <w:tcPr>
            <w:cnfStyle w:val="001000000000" w:firstRow="0" w:lastRow="0" w:firstColumn="1" w:lastColumn="0" w:oddVBand="0" w:evenVBand="0" w:oddHBand="0" w:evenHBand="0" w:firstRowFirstColumn="0" w:firstRowLastColumn="0" w:lastRowFirstColumn="0" w:lastRowLastColumn="0"/>
            <w:tcW w:w="1980" w:type="dxa"/>
          </w:tcPr>
          <w:p w14:paraId="0F57F7D5" w14:textId="69246E5F" w:rsidR="007635D4" w:rsidRDefault="007635D4" w:rsidP="00B26704">
            <w:pPr>
              <w:jc w:val="both"/>
              <w:rPr>
                <w:sz w:val="22"/>
                <w:lang w:val="en-US"/>
              </w:rPr>
            </w:pPr>
            <w:r>
              <w:rPr>
                <w:sz w:val="22"/>
                <w:lang w:val="en-US"/>
              </w:rPr>
              <w:t>Ericsson</w:t>
            </w:r>
          </w:p>
        </w:tc>
        <w:tc>
          <w:tcPr>
            <w:tcW w:w="7982" w:type="dxa"/>
          </w:tcPr>
          <w:p w14:paraId="3CCB634C" w14:textId="2AD7D810" w:rsidR="007635D4"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r w:rsidR="00B26704" w14:paraId="1B132488"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83CF23" w14:textId="5F93DD0F" w:rsidR="00B26704" w:rsidRDefault="00B26704" w:rsidP="00B26704">
            <w:pPr>
              <w:jc w:val="both"/>
              <w:rPr>
                <w:sz w:val="22"/>
                <w:lang w:val="en-US"/>
              </w:rPr>
            </w:pPr>
            <w:r>
              <w:rPr>
                <w:sz w:val="22"/>
                <w:lang w:val="en-US"/>
              </w:rPr>
              <w:t>ZTE,S</w:t>
            </w:r>
            <w:r w:rsidR="000C7F9A">
              <w:rPr>
                <w:sz w:val="22"/>
                <w:lang w:val="en-US"/>
              </w:rPr>
              <w:t>ane</w:t>
            </w:r>
            <w:r>
              <w:rPr>
                <w:sz w:val="22"/>
                <w:lang w:val="en-US"/>
              </w:rPr>
              <w:t>chips</w:t>
            </w:r>
          </w:p>
        </w:tc>
        <w:tc>
          <w:tcPr>
            <w:tcW w:w="7982" w:type="dxa"/>
          </w:tcPr>
          <w:p w14:paraId="5470C1ED"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We have similar view that two FGs are needed. Our intention of having few FG is for the case of combination of legacy feature and new rel-16 feature.</w:t>
            </w:r>
          </w:p>
          <w:p w14:paraId="44A7AF61" w14:textId="1AC07A21" w:rsidR="00B26704" w:rsidRDefault="00B26704" w:rsidP="00B26704">
            <w:pPr>
              <w:cnfStyle w:val="000000100000" w:firstRow="0" w:lastRow="0" w:firstColumn="0" w:lastColumn="0" w:oddVBand="0" w:evenVBand="0" w:oddHBand="1" w:evenHBand="0" w:firstRowFirstColumn="0" w:firstRowLastColumn="0" w:lastRowFirstColumn="0" w:lastRowLastColumn="0"/>
            </w:pPr>
            <w:r>
              <w:t>But for this ca</w:t>
            </w:r>
            <w:r w:rsidR="00CC76A9">
              <w:t>se, both feature</w:t>
            </w:r>
            <w:r w:rsidR="000C7F9A">
              <w:t>s</w:t>
            </w:r>
            <w:r w:rsidR="00CC76A9">
              <w:t xml:space="preserve"> are new rel-16. </w:t>
            </w:r>
          </w:p>
          <w:p w14:paraId="01AE6988" w14:textId="69C86294" w:rsidR="00CC76A9" w:rsidRDefault="00CC76A9" w:rsidP="00CC76A9">
            <w:pPr>
              <w:cnfStyle w:val="000000100000" w:firstRow="0" w:lastRow="0" w:firstColumn="0" w:lastColumn="0" w:oddVBand="0" w:evenVBand="0" w:oddHBand="1" w:evenHBand="0" w:firstRowFirstColumn="0" w:firstRowLastColumn="0" w:lastRowFirstColumn="0" w:lastRowLastColumn="0"/>
            </w:pPr>
            <w:r>
              <w:t>Technically it is not that fairness will lead to less power consumption. In fact, quite contrary, in many instances for achieving fairness the system aggregated performance will be affected and UE power consumption will increase.</w:t>
            </w:r>
          </w:p>
        </w:tc>
      </w:tr>
    </w:tbl>
    <w:p w14:paraId="56D57E76" w14:textId="39725F4B" w:rsidR="00085873" w:rsidRDefault="00085873" w:rsidP="009837A1"/>
    <w:p w14:paraId="6E729A78" w14:textId="65F8938E" w:rsidR="008421FA" w:rsidRPr="00610E6E" w:rsidRDefault="008421FA" w:rsidP="008421FA">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3D9CDC6A" w14:textId="6C3E384C" w:rsidR="008421FA" w:rsidRDefault="008421FA" w:rsidP="008421FA">
      <w:pPr>
        <w:pStyle w:val="ListParagraph"/>
        <w:numPr>
          <w:ilvl w:val="0"/>
          <w:numId w:val="35"/>
        </w:numPr>
        <w:ind w:leftChars="0"/>
      </w:pPr>
      <w:r>
        <w:t>FG1-2 is kept for GWUS with group resource alternation.</w:t>
      </w:r>
    </w:p>
    <w:p w14:paraId="2A02A543" w14:textId="1AB87C65" w:rsidR="008421FA" w:rsidRDefault="008421FA" w:rsidP="008421FA">
      <w:pPr>
        <w:pStyle w:val="ListParagraph"/>
        <w:numPr>
          <w:ilvl w:val="0"/>
          <w:numId w:val="35"/>
        </w:numPr>
        <w:ind w:leftChars="0"/>
      </w:pPr>
      <w:r>
        <w:lastRenderedPageBreak/>
        <w:t>FG2-2 is kept for GWUS with group resource alternation.</w:t>
      </w:r>
    </w:p>
    <w:p w14:paraId="73BE8148" w14:textId="77777777" w:rsidR="008421FA" w:rsidRPr="008421FA" w:rsidRDefault="008421F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5"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5"/>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1256DFC9" w:rsidR="00D518F4" w:rsidRPr="001F53D2" w:rsidRDefault="00D518F4" w:rsidP="00D518F4">
      <w:pPr>
        <w:pStyle w:val="Heading2"/>
        <w:rPr>
          <w:sz w:val="22"/>
          <w:lang w:val="en-US"/>
        </w:rPr>
      </w:pPr>
      <w:r>
        <w:rPr>
          <w:sz w:val="22"/>
          <w:lang w:val="en-US"/>
        </w:rPr>
        <w:t>3.1</w:t>
      </w:r>
      <w:r>
        <w:rPr>
          <w:sz w:val="22"/>
          <w:lang w:val="en-US"/>
        </w:rPr>
        <w:tab/>
      </w:r>
      <w:r w:rsidR="00BC64CF">
        <w:rPr>
          <w:sz w:val="22"/>
          <w:lang w:val="en-US"/>
        </w:rPr>
        <w:t xml:space="preserve">(Finished) </w:t>
      </w:r>
      <w:r>
        <w:rPr>
          <w:sz w:val="22"/>
          <w:lang w:val="en-US"/>
        </w:rPr>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812DFB3"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FG1-7/2-4 (removing brackets) supported by:</w:t>
      </w:r>
      <w:r w:rsidR="00BC583D"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610E6E">
        <w:rPr>
          <w:b/>
          <w:bCs/>
          <w:sz w:val="22"/>
          <w:lang w:val="en-US"/>
        </w:rPr>
        <w:t xml:space="preserve"> </w:t>
      </w:r>
      <w:r w:rsidR="00156F85" w:rsidRPr="00610E6E">
        <w:rPr>
          <w:b/>
          <w:bCs/>
          <w:sz w:val="22"/>
          <w:lang w:val="en-US"/>
        </w:rPr>
        <w:t>ZTE,</w:t>
      </w:r>
      <w:r w:rsidR="00610E6E">
        <w:rPr>
          <w:b/>
          <w:bCs/>
          <w:sz w:val="22"/>
          <w:lang w:val="en-US"/>
        </w:rPr>
        <w:t xml:space="preserve"> </w:t>
      </w:r>
      <w:r w:rsidR="00156F85" w:rsidRPr="00610E6E">
        <w:rPr>
          <w:b/>
          <w:bCs/>
          <w:sz w:val="22"/>
          <w:lang w:val="en-US"/>
        </w:rPr>
        <w:t>Sanechips</w:t>
      </w:r>
    </w:p>
    <w:p w14:paraId="051406FC" w14:textId="63856FBC" w:rsidR="00D518F4" w:rsidRPr="00832B47" w:rsidRDefault="00D518F4" w:rsidP="00D518F4">
      <w:pPr>
        <w:spacing w:afterLines="50" w:after="120"/>
        <w:jc w:val="both"/>
        <w:rPr>
          <w:b/>
          <w:bCs/>
          <w:sz w:val="22"/>
          <w:lang w:val="en-US"/>
        </w:rPr>
      </w:pPr>
      <w:r w:rsidRPr="00610E6E">
        <w:rPr>
          <w:b/>
          <w:bCs/>
          <w:sz w:val="22"/>
          <w:lang w:val="en-US"/>
        </w:rPr>
        <w:tab/>
        <w:t>Objected (i.e., support removing FG1-7/2-4 and adding them as component of FG1-3/4/5/6 and 2-3) by:</w:t>
      </w:r>
      <w:r w:rsidR="00610E6E">
        <w:rPr>
          <w:b/>
          <w:bCs/>
          <w:sz w:val="22"/>
          <w:lang w:val="en-US"/>
        </w:rPr>
        <w:t xml:space="preserve"> Huawei, HiSilicon, Sony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t>SONY</w:t>
            </w:r>
          </w:p>
        </w:tc>
        <w:tc>
          <w:tcPr>
            <w:tcW w:w="7982" w:type="dxa"/>
          </w:tcPr>
          <w:p w14:paraId="7F3E7A78" w14:textId="28616C86"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7B4228D7" w14:textId="77777777" w:rsidR="00610E6E" w:rsidRPr="00610E6E" w:rsidRDefault="00610E6E" w:rsidP="00610E6E">
      <w:pPr>
        <w:rPr>
          <w:b/>
          <w:bCs/>
        </w:rPr>
      </w:pPr>
      <w:r w:rsidRPr="008421FA">
        <w:rPr>
          <w:rFonts w:hint="eastAsia"/>
          <w:b/>
          <w:bCs/>
        </w:rPr>
        <w:t>F</w:t>
      </w:r>
      <w:r w:rsidRPr="008421FA">
        <w:rPr>
          <w:b/>
          <w:bCs/>
        </w:rPr>
        <w:t>L proposal:</w:t>
      </w:r>
    </w:p>
    <w:p w14:paraId="3425A915" w14:textId="082F6B32" w:rsidR="00610E6E" w:rsidRDefault="00610E6E" w:rsidP="00610E6E">
      <w:pPr>
        <w:pStyle w:val="ListParagraph"/>
        <w:numPr>
          <w:ilvl w:val="0"/>
          <w:numId w:val="35"/>
        </w:numPr>
        <w:ind w:leftChars="0"/>
      </w:pPr>
      <w:r>
        <w:rPr>
          <w:rFonts w:hint="eastAsia"/>
        </w:rPr>
        <w:lastRenderedPageBreak/>
        <w:t>R</w:t>
      </w:r>
      <w:r>
        <w:t>emove FG[1-7] and add serving cell RSRP for TA validation as a component of FG1-3/4/5/6.</w:t>
      </w:r>
    </w:p>
    <w:p w14:paraId="23D4508A" w14:textId="5F182028" w:rsidR="00610E6E" w:rsidRDefault="00610E6E" w:rsidP="00610E6E">
      <w:pPr>
        <w:pStyle w:val="ListParagraph"/>
        <w:numPr>
          <w:ilvl w:val="0"/>
          <w:numId w:val="35"/>
        </w:numPr>
        <w:ind w:leftChars="0"/>
      </w:pPr>
      <w:r>
        <w:rPr>
          <w:rFonts w:hint="eastAsia"/>
        </w:rPr>
        <w:t>R</w:t>
      </w:r>
      <w:r>
        <w:t>emove FG[2-4] and add serving cell RSRP for TA validation as a component of FG2-3.</w:t>
      </w:r>
    </w:p>
    <w:p w14:paraId="34D8E8E7" w14:textId="006BA9A8" w:rsidR="0013014A" w:rsidRPr="00610E6E" w:rsidRDefault="0013014A" w:rsidP="009837A1"/>
    <w:tbl>
      <w:tblPr>
        <w:tblStyle w:val="GridTable4-Accent2"/>
        <w:tblW w:w="0" w:type="auto"/>
        <w:tblLook w:val="04A0" w:firstRow="1" w:lastRow="0" w:firstColumn="1" w:lastColumn="0" w:noHBand="0" w:noVBand="1"/>
      </w:tblPr>
      <w:tblGrid>
        <w:gridCol w:w="1980"/>
        <w:gridCol w:w="7982"/>
      </w:tblGrid>
      <w:tr w:rsidR="00085873" w14:paraId="5B8D79E8" w14:textId="77777777" w:rsidTr="00B26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48C3A5"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18662EA"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790F9E3B"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8A9D62" w14:textId="77777777" w:rsidR="00085873" w:rsidRDefault="00085873" w:rsidP="00B26704">
            <w:pPr>
              <w:jc w:val="both"/>
              <w:rPr>
                <w:sz w:val="22"/>
                <w:lang w:val="en-US"/>
              </w:rPr>
            </w:pPr>
            <w:r>
              <w:rPr>
                <w:sz w:val="22"/>
                <w:lang w:val="en-US"/>
              </w:rPr>
              <w:t>Qualcomm</w:t>
            </w:r>
          </w:p>
        </w:tc>
        <w:tc>
          <w:tcPr>
            <w:tcW w:w="7982" w:type="dxa"/>
          </w:tcPr>
          <w:p w14:paraId="29C4AC38" w14:textId="1181D219"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The usage of RSRP for TA validation may not be deployed widely (e.g. networks may choose to implement only timer-based). If an operator doesn’t want to deploy RSRP-based, we would be forcing the UE to implement a feature that is not essential – if this was essential, it wouldn’t be configurable.</w:t>
            </w:r>
          </w:p>
        </w:tc>
      </w:tr>
      <w:tr w:rsidR="006D2005" w14:paraId="63780706" w14:textId="77777777" w:rsidTr="00B26704">
        <w:tc>
          <w:tcPr>
            <w:cnfStyle w:val="001000000000" w:firstRow="0" w:lastRow="0" w:firstColumn="1" w:lastColumn="0" w:oddVBand="0" w:evenVBand="0" w:oddHBand="0" w:evenHBand="0" w:firstRowFirstColumn="0" w:firstRowLastColumn="0" w:lastRowFirstColumn="0" w:lastRowLastColumn="0"/>
            <w:tcW w:w="1980" w:type="dxa"/>
          </w:tcPr>
          <w:p w14:paraId="14D7625C" w14:textId="73BEF55B" w:rsidR="006D2005" w:rsidRDefault="006D2005" w:rsidP="00B26704">
            <w:pPr>
              <w:jc w:val="both"/>
              <w:rPr>
                <w:sz w:val="22"/>
                <w:lang w:val="en-US"/>
              </w:rPr>
            </w:pPr>
            <w:r>
              <w:rPr>
                <w:sz w:val="22"/>
                <w:lang w:val="en-US"/>
              </w:rPr>
              <w:t>Ericsson</w:t>
            </w:r>
          </w:p>
        </w:tc>
        <w:tc>
          <w:tcPr>
            <w:tcW w:w="7982" w:type="dxa"/>
          </w:tcPr>
          <w:p w14:paraId="25E5298F" w14:textId="7FD793B3" w:rsidR="006D2005"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t>Similar comment as for Discussion 1.</w:t>
            </w:r>
          </w:p>
        </w:tc>
      </w:tr>
      <w:tr w:rsidR="00CC76A9" w14:paraId="538B1D5D"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58BDEF" w14:textId="1AF26BA7" w:rsidR="00CC76A9" w:rsidRDefault="00CC76A9" w:rsidP="00B26704">
            <w:pPr>
              <w:jc w:val="both"/>
              <w:rPr>
                <w:sz w:val="22"/>
                <w:lang w:val="en-US"/>
              </w:rPr>
            </w:pPr>
            <w:r>
              <w:rPr>
                <w:sz w:val="22"/>
                <w:lang w:val="en-US"/>
              </w:rPr>
              <w:t>ZTE,Sanechips</w:t>
            </w:r>
          </w:p>
        </w:tc>
        <w:tc>
          <w:tcPr>
            <w:tcW w:w="7982" w:type="dxa"/>
          </w:tcPr>
          <w:p w14:paraId="357B3ACA" w14:textId="14E67C74" w:rsidR="00CC76A9" w:rsidRDefault="00CC76A9" w:rsidP="00B26704">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Similar comment as for Discussion 1.</w:t>
            </w:r>
          </w:p>
        </w:tc>
      </w:tr>
    </w:tbl>
    <w:p w14:paraId="5E0D2A09" w14:textId="42D49863" w:rsidR="0013014A" w:rsidRDefault="0013014A" w:rsidP="009837A1">
      <w:pPr>
        <w:rPr>
          <w:lang w:val="en-US"/>
        </w:rPr>
      </w:pPr>
    </w:p>
    <w:p w14:paraId="17FB8914" w14:textId="77777777" w:rsidR="008421FA" w:rsidRPr="00610E6E" w:rsidRDefault="008421FA" w:rsidP="008421FA">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27C67CFD" w14:textId="466EEF2D" w:rsidR="008421FA" w:rsidRDefault="008421FA" w:rsidP="008421FA">
      <w:pPr>
        <w:pStyle w:val="ListParagraph"/>
        <w:numPr>
          <w:ilvl w:val="0"/>
          <w:numId w:val="35"/>
        </w:numPr>
        <w:ind w:leftChars="0"/>
      </w:pPr>
      <w:r>
        <w:t>FG1-7 is kept for serving cell RSRP for TA validation.</w:t>
      </w:r>
    </w:p>
    <w:p w14:paraId="70E6F031" w14:textId="1CC7E931" w:rsidR="008421FA" w:rsidRPr="008421FA" w:rsidRDefault="008421FA" w:rsidP="00C94A15">
      <w:pPr>
        <w:pStyle w:val="ListParagraph"/>
        <w:numPr>
          <w:ilvl w:val="0"/>
          <w:numId w:val="35"/>
        </w:numPr>
        <w:ind w:leftChars="0"/>
      </w:pPr>
      <w:r>
        <w:t>FG2-4 is kept for serving cell RSRP for TA validation.</w:t>
      </w:r>
    </w:p>
    <w:p w14:paraId="2BC3F786" w14:textId="77777777" w:rsidR="008421FA" w:rsidRPr="0013014A" w:rsidRDefault="008421F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6"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6"/>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FG1-9/2-5 supported by:</w:t>
      </w:r>
      <w:r w:rsidR="002474A8" w:rsidRPr="00610E6E">
        <w:rPr>
          <w:b/>
          <w:bCs/>
          <w:sz w:val="22"/>
          <w:lang w:val="en-US"/>
        </w:rPr>
        <w:t xml:space="preserve"> Ericsson</w:t>
      </w:r>
      <w:r w:rsidR="008E3001" w:rsidRPr="00610E6E">
        <w:rPr>
          <w:b/>
          <w:bCs/>
          <w:sz w:val="22"/>
          <w:lang w:val="en-US"/>
        </w:rPr>
        <w:t>, Qualcomm</w:t>
      </w:r>
    </w:p>
    <w:p w14:paraId="314952F1" w14:textId="3C6EFD3F" w:rsidR="00D518F4" w:rsidRPr="00832B47" w:rsidRDefault="00D518F4" w:rsidP="00D518F4">
      <w:pPr>
        <w:spacing w:afterLines="50" w:after="120"/>
        <w:jc w:val="both"/>
        <w:rPr>
          <w:b/>
          <w:bCs/>
          <w:sz w:val="22"/>
          <w:lang w:val="en-US"/>
        </w:rPr>
      </w:pPr>
      <w:r w:rsidRPr="00610E6E">
        <w:rPr>
          <w:b/>
          <w:bCs/>
          <w:sz w:val="22"/>
          <w:lang w:val="en-US"/>
        </w:rPr>
        <w:tab/>
        <w:t>Objected (i.e., support removing FG1-9/2-5 and adding them as component of FG1-3/4/5/6 and 2-3) by:</w:t>
      </w:r>
      <w:r w:rsidR="00610E6E">
        <w:rPr>
          <w:b/>
          <w:bCs/>
          <w:sz w:val="22"/>
          <w:lang w:val="en-US"/>
        </w:rPr>
        <w:t xml:space="preserve"> </w:t>
      </w:r>
      <w:r w:rsidR="00156F85" w:rsidRPr="00610E6E">
        <w:rPr>
          <w:b/>
          <w:bCs/>
          <w:sz w:val="22"/>
          <w:lang w:val="en-US"/>
        </w:rPr>
        <w:t>ZTE,Sanechips</w:t>
      </w:r>
      <w:r w:rsidR="00610E6E">
        <w:rPr>
          <w:b/>
          <w:bCs/>
          <w:sz w:val="22"/>
          <w:lang w:val="en-US"/>
        </w:rPr>
        <w:t>, Huawei, HiSilicon</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3422AC11" w:rsidR="008E3B23" w:rsidRPr="00857E3D" w:rsidRDefault="0033130F" w:rsidP="00BB7798">
            <w:pPr>
              <w:jc w:val="both"/>
              <w:rPr>
                <w:sz w:val="22"/>
                <w:lang w:val="en-US"/>
              </w:rPr>
            </w:pPr>
            <w:r>
              <w:rPr>
                <w:sz w:val="22"/>
                <w:lang w:val="en-US"/>
              </w:rPr>
              <w:t>Nokia, NSB</w:t>
            </w:r>
          </w:p>
        </w:tc>
        <w:tc>
          <w:tcPr>
            <w:tcW w:w="7982" w:type="dxa"/>
          </w:tcPr>
          <w:p w14:paraId="39FC58E3" w14:textId="27F579DE" w:rsidR="008E3B23" w:rsidRPr="00857E3D" w:rsidRDefault="0033130F" w:rsidP="00BB7798">
            <w:pPr>
              <w:rPr>
                <w:sz w:val="22"/>
                <w:lang w:val="en-US"/>
              </w:rPr>
            </w:pPr>
            <w:r>
              <w:rPr>
                <w:sz w:val="22"/>
                <w:lang w:val="en-US"/>
              </w:rPr>
              <w:t>Keep 1-9/2-5</w:t>
            </w:r>
          </w:p>
        </w:tc>
      </w:tr>
    </w:tbl>
    <w:p w14:paraId="0316E90F" w14:textId="3081D972" w:rsidR="00573E4D" w:rsidRDefault="00573E4D" w:rsidP="00573E4D">
      <w:pPr>
        <w:spacing w:afterLines="50" w:after="120"/>
        <w:jc w:val="both"/>
        <w:rPr>
          <w:sz w:val="22"/>
          <w:lang w:val="en-US"/>
        </w:rPr>
      </w:pPr>
    </w:p>
    <w:p w14:paraId="3C48F4F2"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55E9CAE5" w14:textId="58B551D1" w:rsidR="00610E6E" w:rsidRDefault="00610E6E" w:rsidP="00610E6E">
      <w:pPr>
        <w:pStyle w:val="ListParagraph"/>
        <w:numPr>
          <w:ilvl w:val="0"/>
          <w:numId w:val="35"/>
        </w:numPr>
        <w:ind w:leftChars="0"/>
      </w:pPr>
      <w:r>
        <w:t>FG1-9 is kept.</w:t>
      </w:r>
    </w:p>
    <w:p w14:paraId="0519967A" w14:textId="1318E6A8" w:rsidR="00610E6E" w:rsidRDefault="00610E6E" w:rsidP="00610E6E">
      <w:pPr>
        <w:pStyle w:val="ListParagraph"/>
        <w:numPr>
          <w:ilvl w:val="0"/>
          <w:numId w:val="35"/>
        </w:numPr>
        <w:ind w:leftChars="0"/>
      </w:pPr>
      <w:r>
        <w:t>FG2-5 is kept.</w:t>
      </w:r>
    </w:p>
    <w:p w14:paraId="3D558057" w14:textId="01C917B5" w:rsidR="000C7F9A" w:rsidRDefault="000C7F9A" w:rsidP="000C7F9A"/>
    <w:tbl>
      <w:tblPr>
        <w:tblStyle w:val="GridTable4-Accent2"/>
        <w:tblW w:w="0" w:type="auto"/>
        <w:tblLook w:val="04A0" w:firstRow="1" w:lastRow="0" w:firstColumn="1" w:lastColumn="0" w:noHBand="0" w:noVBand="1"/>
      </w:tblPr>
      <w:tblGrid>
        <w:gridCol w:w="1980"/>
        <w:gridCol w:w="7982"/>
      </w:tblGrid>
      <w:tr w:rsidR="000C7F9A" w14:paraId="2F32D2EF" w14:textId="77777777" w:rsidTr="000F5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F23BEB" w14:textId="77777777" w:rsidR="000C7F9A" w:rsidRDefault="000C7F9A" w:rsidP="000F5496">
            <w:pPr>
              <w:spacing w:afterLines="50" w:after="120"/>
              <w:jc w:val="both"/>
              <w:rPr>
                <w:sz w:val="22"/>
                <w:lang w:val="en-US"/>
              </w:rPr>
            </w:pPr>
            <w:r>
              <w:rPr>
                <w:rFonts w:hint="eastAsia"/>
                <w:sz w:val="22"/>
                <w:lang w:val="en-US"/>
              </w:rPr>
              <w:t>C</w:t>
            </w:r>
            <w:r>
              <w:rPr>
                <w:sz w:val="22"/>
                <w:lang w:val="en-US"/>
              </w:rPr>
              <w:t>ompany</w:t>
            </w:r>
          </w:p>
        </w:tc>
        <w:tc>
          <w:tcPr>
            <w:tcW w:w="7982" w:type="dxa"/>
          </w:tcPr>
          <w:p w14:paraId="13F16816" w14:textId="77777777" w:rsidR="000C7F9A" w:rsidRDefault="000C7F9A" w:rsidP="000F549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C7F9A" w:rsidRPr="00857E3D" w14:paraId="6E84CFF7"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D2E47A" w14:textId="48F1671E" w:rsidR="000C7F9A" w:rsidRDefault="000C7F9A" w:rsidP="000F5496">
            <w:pPr>
              <w:jc w:val="both"/>
              <w:rPr>
                <w:sz w:val="22"/>
                <w:lang w:val="en-US"/>
              </w:rPr>
            </w:pPr>
            <w:r>
              <w:rPr>
                <w:sz w:val="22"/>
                <w:lang w:val="en-US"/>
              </w:rPr>
              <w:t>ZTE,Sanechips</w:t>
            </w:r>
          </w:p>
        </w:tc>
        <w:tc>
          <w:tcPr>
            <w:tcW w:w="7982" w:type="dxa"/>
          </w:tcPr>
          <w:p w14:paraId="745C2934" w14:textId="77777777" w:rsid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Not sure why the FL proposal is to keep 1-9 and 2-5. Since more companies have the opposition opinion.</w:t>
            </w:r>
          </w:p>
          <w:p w14:paraId="74940B5C" w14:textId="046745A5" w:rsidR="000C7F9A" w:rsidRPr="00857E3D" w:rsidRDefault="000C7F9A" w:rsidP="000C7F9A">
            <w:pPr>
              <w:cnfStyle w:val="000000100000" w:firstRow="0" w:lastRow="0" w:firstColumn="0" w:lastColumn="0" w:oddVBand="0" w:evenVBand="0" w:oddHBand="1" w:evenHBand="0" w:firstRowFirstColumn="0" w:firstRowLastColumn="0" w:lastRowFirstColumn="0" w:lastRowLastColumn="0"/>
              <w:rPr>
                <w:sz w:val="22"/>
                <w:lang w:val="en-US"/>
              </w:rPr>
            </w:pPr>
            <w:r>
              <w:rPr>
                <w:sz w:val="22"/>
                <w:szCs w:val="22"/>
                <w:lang w:val="en-US"/>
              </w:rPr>
              <w:t>Technically, supporting L1-ACK will lower UE power consumption, because it is the most efficient and fastest method to finish the PUR procedure.</w:t>
            </w:r>
          </w:p>
        </w:tc>
      </w:tr>
      <w:tr w:rsidR="000C7F9A" w14:paraId="48E2246F" w14:textId="77777777" w:rsidTr="000F5496">
        <w:tc>
          <w:tcPr>
            <w:cnfStyle w:val="001000000000" w:firstRow="0" w:lastRow="0" w:firstColumn="1" w:lastColumn="0" w:oddVBand="0" w:evenVBand="0" w:oddHBand="0" w:evenHBand="0" w:firstRowFirstColumn="0" w:firstRowLastColumn="0" w:lastRowFirstColumn="0" w:lastRowLastColumn="0"/>
            <w:tcW w:w="1980" w:type="dxa"/>
          </w:tcPr>
          <w:p w14:paraId="782B2732" w14:textId="793F8AB6" w:rsidR="000C7F9A" w:rsidRDefault="000C7F9A" w:rsidP="000F5496">
            <w:pPr>
              <w:jc w:val="both"/>
              <w:rPr>
                <w:sz w:val="22"/>
                <w:lang w:val="en-US"/>
              </w:rPr>
            </w:pPr>
            <w:r>
              <w:rPr>
                <w:sz w:val="22"/>
                <w:lang w:val="en-US"/>
              </w:rPr>
              <w:t>Qualcomm</w:t>
            </w:r>
          </w:p>
        </w:tc>
        <w:tc>
          <w:tcPr>
            <w:tcW w:w="7982" w:type="dxa"/>
          </w:tcPr>
          <w:p w14:paraId="4998AB1C"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Let me try to provide some technical points here:</w:t>
            </w:r>
          </w:p>
          <w:p w14:paraId="00E91E8A"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For UP PUR, there is always a need for L3 message, so L1-ACK will not be used.</w:t>
            </w:r>
          </w:p>
          <w:p w14:paraId="0A454956"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RAN2 has defined the number of PUR occasions in the configuration between {one, infinity}. Even for CP case, if a network operates giving the PUR one by one, there is a need to reconfigure the next PUR after each transmission, so these networks will not operate with L1-ACK either. If initially all networks operate like this, there will be no testing opportunity for L1 ACK.</w:t>
            </w:r>
          </w:p>
          <w:p w14:paraId="2A8B9BBB" w14:textId="1F1B1A5F"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lastRenderedPageBreak/>
              <w:t>- It is true that L1 ACK provides some power consumption gains, no question about it (we supported this feature throughout the whole WID). Having said that, there are some clear drawbacks of the L1 ACK, such as reliability when updating the parameters. Depending on the QoS needed by the device/application, and also the sensitivity of the network to update of parameters, L1 ACK may not be used in some cases.</w:t>
            </w:r>
          </w:p>
        </w:tc>
      </w:tr>
      <w:tr w:rsidR="000C7F9A" w14:paraId="0531997D"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9C8573" w14:textId="2C5B976D" w:rsidR="000C7F9A" w:rsidRDefault="000C7F9A" w:rsidP="000F5496">
            <w:pPr>
              <w:jc w:val="both"/>
              <w:rPr>
                <w:sz w:val="22"/>
                <w:lang w:val="en-US"/>
              </w:rPr>
            </w:pPr>
            <w:r>
              <w:rPr>
                <w:sz w:val="22"/>
                <w:lang w:val="en-US"/>
              </w:rPr>
              <w:lastRenderedPageBreak/>
              <w:t>Ericsson</w:t>
            </w:r>
          </w:p>
        </w:tc>
        <w:tc>
          <w:tcPr>
            <w:tcW w:w="7982" w:type="dxa"/>
          </w:tcPr>
          <w:p w14:paraId="5DB85F6C" w14:textId="55BA2A75"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rFonts w:eastAsiaTheme="minorHAnsi"/>
                <w:sz w:val="22"/>
                <w:lang w:val="en-US"/>
              </w:rPr>
            </w:pPr>
            <w:r>
              <w:rPr>
                <w:lang w:val="en-US"/>
              </w:rPr>
              <w:t>Ericsson supports the view of keeping 1-9/2-5, since in our understanding the L1-ACK wouldn’t even be used for UP-based solution but only with CP-based solution. Another technical argument is that the L1-ACK doesn’t not provide robust security/integrity protection. Finally, regarding “</w:t>
            </w:r>
            <w:r>
              <w:rPr>
                <w:i/>
                <w:iCs/>
                <w:lang w:val="en-US"/>
              </w:rPr>
              <w:t>it is the most efficient and fastest method to finish the PUR procedure</w:t>
            </w:r>
            <w:r>
              <w:rPr>
                <w:lang w:val="en-US"/>
              </w:rPr>
              <w:t>”, in RAN2 more than one company have questioned such an argument since the eNB has to wait to make sure that there is no pending data in the DL before sending any response, even if a L1-ACK were used as a response.</w:t>
            </w:r>
          </w:p>
        </w:tc>
      </w:tr>
      <w:tr w:rsidR="0033130F" w14:paraId="343BD41F" w14:textId="77777777" w:rsidTr="000F5496">
        <w:tc>
          <w:tcPr>
            <w:cnfStyle w:val="001000000000" w:firstRow="0" w:lastRow="0" w:firstColumn="1" w:lastColumn="0" w:oddVBand="0" w:evenVBand="0" w:oddHBand="0" w:evenHBand="0" w:firstRowFirstColumn="0" w:firstRowLastColumn="0" w:lastRowFirstColumn="0" w:lastRowLastColumn="0"/>
            <w:tcW w:w="1980" w:type="dxa"/>
          </w:tcPr>
          <w:p w14:paraId="0281AE7F" w14:textId="26F157B3" w:rsidR="0033130F" w:rsidRDefault="00E606A3" w:rsidP="000F5496">
            <w:pPr>
              <w:jc w:val="both"/>
              <w:rPr>
                <w:sz w:val="22"/>
                <w:lang w:val="en-US"/>
              </w:rPr>
            </w:pPr>
            <w:r>
              <w:rPr>
                <w:sz w:val="22"/>
                <w:lang w:val="en-US"/>
              </w:rPr>
              <w:t>Nokia, NSB</w:t>
            </w:r>
          </w:p>
        </w:tc>
        <w:tc>
          <w:tcPr>
            <w:tcW w:w="7982" w:type="dxa"/>
          </w:tcPr>
          <w:p w14:paraId="440FFBCE" w14:textId="0E845A62" w:rsidR="0033130F" w:rsidRDefault="00E606A3" w:rsidP="000C7F9A">
            <w:pPr>
              <w:cnfStyle w:val="000000000000" w:firstRow="0" w:lastRow="0" w:firstColumn="0" w:lastColumn="0" w:oddVBand="0" w:evenVBand="0" w:oddHBand="0" w:evenHBand="0" w:firstRowFirstColumn="0" w:firstRowLastColumn="0" w:lastRowFirstColumn="0" w:lastRowLastColumn="0"/>
              <w:rPr>
                <w:lang w:val="en-US"/>
              </w:rPr>
            </w:pPr>
            <w:r>
              <w:rPr>
                <w:lang w:val="en-US"/>
              </w:rPr>
              <w:t>We agree with the comments made by Ericsson and Qualcomm</w:t>
            </w:r>
            <w:r w:rsidR="00EE2772">
              <w:rPr>
                <w:lang w:val="en-US"/>
              </w:rPr>
              <w:t xml:space="preserve">, i.e. we can envisage </w:t>
            </w:r>
            <w:r w:rsidR="00423425">
              <w:rPr>
                <w:lang w:val="en-US"/>
              </w:rPr>
              <w:t xml:space="preserve">devices/PUR configurations, where PUR L1 ACK </w:t>
            </w:r>
            <w:r w:rsidR="00A77E8D">
              <w:rPr>
                <w:lang w:val="en-US"/>
              </w:rPr>
              <w:t>is not required/used.  Hence, we’d like to keep 1-9/2-5 as they are.</w:t>
            </w:r>
          </w:p>
        </w:tc>
      </w:tr>
    </w:tbl>
    <w:p w14:paraId="007FA77C" w14:textId="18B79207" w:rsidR="00610E6E" w:rsidRPr="00CC76A9" w:rsidRDefault="00610E6E"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lastRenderedPageBreak/>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7"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7"/>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70396E46" w:rsidR="00D90B9A" w:rsidRPr="001F53D2" w:rsidRDefault="00D90B9A" w:rsidP="00D90B9A">
      <w:pPr>
        <w:pStyle w:val="Heading2"/>
        <w:rPr>
          <w:sz w:val="22"/>
          <w:lang w:val="en-US"/>
        </w:rPr>
      </w:pPr>
      <w:r>
        <w:rPr>
          <w:sz w:val="22"/>
          <w:lang w:val="en-US"/>
        </w:rPr>
        <w:t>5.1</w:t>
      </w:r>
      <w:r>
        <w:rPr>
          <w:sz w:val="22"/>
          <w:lang w:val="en-US"/>
        </w:rPr>
        <w:tab/>
      </w:r>
      <w:r w:rsidR="00BC64CF">
        <w:rPr>
          <w:sz w:val="22"/>
          <w:lang w:val="en-US"/>
        </w:rPr>
        <w:t xml:space="preserve">(Finished) </w:t>
      </w:r>
      <w:r>
        <w:rPr>
          <w:sz w:val="22"/>
          <w:lang w:val="en-US"/>
        </w:rPr>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B03093F" w:rsidR="00D90B9A" w:rsidRPr="00610E6E" w:rsidRDefault="00D90B9A" w:rsidP="00D90B9A">
      <w:pPr>
        <w:spacing w:afterLines="50" w:after="120"/>
        <w:jc w:val="both"/>
        <w:rPr>
          <w:b/>
          <w:bCs/>
          <w:sz w:val="22"/>
          <w:lang w:val="en-US"/>
        </w:rPr>
      </w:pPr>
      <w:r w:rsidRPr="00832B47">
        <w:rPr>
          <w:b/>
          <w:bCs/>
          <w:sz w:val="22"/>
          <w:lang w:val="en-US"/>
        </w:rPr>
        <w:tab/>
      </w:r>
      <w:r w:rsidRPr="00610E6E">
        <w:rPr>
          <w:b/>
          <w:bCs/>
          <w:sz w:val="22"/>
          <w:lang w:val="en-US"/>
        </w:rPr>
        <w:t>Introducing separate FGs</w:t>
      </w:r>
      <w:r w:rsidR="00116487">
        <w:rPr>
          <w:b/>
          <w:bCs/>
          <w:sz w:val="22"/>
          <w:lang w:val="en-US"/>
        </w:rPr>
        <w:t xml:space="preserve"> (one for subframe level, another for slot/symbol level)</w:t>
      </w:r>
      <w:r w:rsidRPr="00610E6E">
        <w:rPr>
          <w:b/>
          <w:bCs/>
          <w:sz w:val="22"/>
          <w:lang w:val="en-US"/>
        </w:rPr>
        <w:t xml:space="preserve"> supported by:</w:t>
      </w:r>
      <w:r w:rsidR="00000181" w:rsidRPr="00610E6E">
        <w:rPr>
          <w:b/>
          <w:bCs/>
          <w:sz w:val="22"/>
          <w:lang w:val="en-US"/>
        </w:rPr>
        <w:t xml:space="preserve"> Ericsson</w:t>
      </w:r>
      <w:r w:rsidR="009C6243" w:rsidRPr="00610E6E">
        <w:rPr>
          <w:b/>
          <w:bCs/>
          <w:sz w:val="22"/>
          <w:lang w:val="en-US"/>
        </w:rPr>
        <w:t>, Qualcomm</w:t>
      </w:r>
      <w:r w:rsidR="00116487">
        <w:rPr>
          <w:b/>
          <w:bCs/>
          <w:sz w:val="22"/>
          <w:lang w:val="en-US"/>
        </w:rPr>
        <w:t>, Huawei, HiSilicon, Sony, Nokia, NSB, Futurewei, ZTE, Sanechips</w:t>
      </w:r>
    </w:p>
    <w:p w14:paraId="1215FC5F" w14:textId="35B328ED" w:rsidR="00D90B9A" w:rsidRPr="00832B47" w:rsidRDefault="00D90B9A" w:rsidP="00D90B9A">
      <w:pPr>
        <w:spacing w:afterLines="50" w:after="120"/>
        <w:jc w:val="both"/>
        <w:rPr>
          <w:b/>
          <w:bCs/>
          <w:sz w:val="22"/>
          <w:lang w:val="en-US"/>
        </w:rPr>
      </w:pPr>
      <w:r w:rsidRPr="00610E6E">
        <w:rPr>
          <w:b/>
          <w:bCs/>
          <w:sz w:val="22"/>
          <w:lang w:val="en-US"/>
        </w:rPr>
        <w:tab/>
        <w:t xml:space="preserve">Objected (i.e., </w:t>
      </w:r>
      <w:r w:rsidR="00116487">
        <w:rPr>
          <w:b/>
          <w:bCs/>
          <w:sz w:val="22"/>
          <w:lang w:val="en-US"/>
        </w:rPr>
        <w:t>only one FG</w:t>
      </w:r>
      <w:r w:rsidRPr="00610E6E">
        <w:rPr>
          <w:b/>
          <w:bCs/>
          <w:sz w:val="22"/>
          <w:lang w:val="en-US"/>
        </w:rPr>
        <w:t>) by:</w:t>
      </w:r>
      <w:r w:rsidR="00610E6E">
        <w:rPr>
          <w:b/>
          <w:bCs/>
          <w:sz w:val="22"/>
          <w:lang w:val="en-US"/>
        </w:rPr>
        <w:t xml:space="preserve"> </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lastRenderedPageBreak/>
              <w:t>ZTE,Sanechips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r>
              <w:rPr>
                <w:sz w:val="22"/>
              </w:rPr>
              <w:t>ZTE,Sanechips</w:t>
            </w:r>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610E6E">
            <w:pPr>
              <w:jc w:val="both"/>
              <w:rPr>
                <w:sz w:val="22"/>
              </w:rPr>
            </w:pPr>
            <w:r>
              <w:rPr>
                <w:sz w:val="22"/>
              </w:rPr>
              <w:t>Ericsson 7</w:t>
            </w:r>
          </w:p>
        </w:tc>
        <w:tc>
          <w:tcPr>
            <w:tcW w:w="7982" w:type="dxa"/>
          </w:tcPr>
          <w:p w14:paraId="688FB42C" w14:textId="24848BAA" w:rsidR="001D7C2A" w:rsidRDefault="00967433" w:rsidP="00610E6E">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p>
        </w:tc>
      </w:tr>
    </w:tbl>
    <w:p w14:paraId="753D6CCE" w14:textId="2DA49AD9" w:rsidR="00E61754" w:rsidRDefault="00E61754" w:rsidP="00890250">
      <w:pPr>
        <w:rPr>
          <w:lang w:val="en-US"/>
        </w:rPr>
      </w:pPr>
    </w:p>
    <w:p w14:paraId="7A7F27BC" w14:textId="266DA8A9" w:rsidR="009C206E" w:rsidRDefault="009C206E" w:rsidP="00890250">
      <w:pPr>
        <w:rPr>
          <w:lang w:val="en-US"/>
        </w:rPr>
      </w:pPr>
    </w:p>
    <w:p w14:paraId="198CC9F3"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492C2886" w14:textId="5976DB58" w:rsidR="00116487" w:rsidRDefault="00116487" w:rsidP="00116487">
      <w:pPr>
        <w:pStyle w:val="ListParagraph"/>
        <w:numPr>
          <w:ilvl w:val="0"/>
          <w:numId w:val="35"/>
        </w:numPr>
        <w:ind w:leftChars="0"/>
      </w:pPr>
      <w:r>
        <w:lastRenderedPageBreak/>
        <w:t>FG1-23 is kept for subframe level, and FG1-23a is introduced for slot/symbol level.</w:t>
      </w:r>
    </w:p>
    <w:p w14:paraId="32E515C3" w14:textId="7F482E5E" w:rsidR="00116487" w:rsidRDefault="00116487" w:rsidP="00116487">
      <w:pPr>
        <w:pStyle w:val="ListParagraph"/>
        <w:numPr>
          <w:ilvl w:val="0"/>
          <w:numId w:val="35"/>
        </w:numPr>
        <w:ind w:leftChars="0"/>
      </w:pPr>
      <w:r>
        <w:t>FG1-24 is kept for subframe level, and FG1-24a is introduced for slot/symbol level.</w:t>
      </w:r>
    </w:p>
    <w:p w14:paraId="29CE683E" w14:textId="06EE1264" w:rsidR="00116487" w:rsidRDefault="00116487" w:rsidP="00116487">
      <w:pPr>
        <w:pStyle w:val="ListParagraph"/>
        <w:numPr>
          <w:ilvl w:val="0"/>
          <w:numId w:val="35"/>
        </w:numPr>
        <w:ind w:leftChars="0"/>
      </w:pPr>
      <w:r>
        <w:t>FG1-25 is kept for subframe level, and FG1-25a is introduced for slot/symbol level.</w:t>
      </w:r>
    </w:p>
    <w:p w14:paraId="6E81DCA0" w14:textId="338138F7" w:rsidR="00116487" w:rsidRDefault="00116487" w:rsidP="00116487">
      <w:pPr>
        <w:pStyle w:val="ListParagraph"/>
        <w:numPr>
          <w:ilvl w:val="0"/>
          <w:numId w:val="35"/>
        </w:numPr>
        <w:ind w:leftChars="0"/>
      </w:pPr>
      <w:r>
        <w:t>FG1-26 is kept for subframe level, and FG1-26a is introduced for slot/symbol level.</w:t>
      </w:r>
    </w:p>
    <w:p w14:paraId="7F732515" w14:textId="651E618B" w:rsidR="00116487" w:rsidRDefault="00116487" w:rsidP="00116487">
      <w:pPr>
        <w:pStyle w:val="ListParagraph"/>
        <w:numPr>
          <w:ilvl w:val="0"/>
          <w:numId w:val="35"/>
        </w:numPr>
        <w:ind w:leftChars="0"/>
      </w:pPr>
      <w:r>
        <w:t>FG2-12 is kept for subframe level, and FG2-12a is introduced for slot/symbol level.</w:t>
      </w:r>
    </w:p>
    <w:p w14:paraId="7F629029" w14:textId="01B5E69D" w:rsidR="00116487" w:rsidRDefault="00116487" w:rsidP="00116487">
      <w:pPr>
        <w:pStyle w:val="ListParagraph"/>
        <w:numPr>
          <w:ilvl w:val="0"/>
          <w:numId w:val="35"/>
        </w:numPr>
        <w:ind w:leftChars="0"/>
      </w:pPr>
      <w:r>
        <w:t>FG2-13 is kept for subframe level, and FG2-13a is introduced for slot/symbol level.</w:t>
      </w:r>
    </w:p>
    <w:p w14:paraId="3A5CD6E6" w14:textId="77777777" w:rsidR="003161A3" w:rsidRDefault="003161A3" w:rsidP="003161A3"/>
    <w:tbl>
      <w:tblPr>
        <w:tblStyle w:val="GridTable4-Accent2"/>
        <w:tblW w:w="0" w:type="auto"/>
        <w:tblLook w:val="04A0" w:firstRow="1" w:lastRow="0" w:firstColumn="1" w:lastColumn="0" w:noHBand="0" w:noVBand="1"/>
      </w:tblPr>
      <w:tblGrid>
        <w:gridCol w:w="1980"/>
        <w:gridCol w:w="7982"/>
      </w:tblGrid>
      <w:tr w:rsidR="000C7F9A" w14:paraId="0924AA5B" w14:textId="77777777" w:rsidTr="000F5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D1CB11" w14:textId="77777777" w:rsidR="000C7F9A" w:rsidRDefault="000C7F9A" w:rsidP="000F5496">
            <w:pPr>
              <w:spacing w:afterLines="50" w:after="120"/>
              <w:jc w:val="both"/>
              <w:rPr>
                <w:sz w:val="22"/>
                <w:lang w:val="en-US"/>
              </w:rPr>
            </w:pPr>
            <w:r>
              <w:rPr>
                <w:rFonts w:hint="eastAsia"/>
                <w:sz w:val="22"/>
                <w:lang w:val="en-US"/>
              </w:rPr>
              <w:t>C</w:t>
            </w:r>
            <w:r>
              <w:rPr>
                <w:sz w:val="22"/>
                <w:lang w:val="en-US"/>
              </w:rPr>
              <w:t>ompany</w:t>
            </w:r>
          </w:p>
        </w:tc>
        <w:tc>
          <w:tcPr>
            <w:tcW w:w="7982" w:type="dxa"/>
          </w:tcPr>
          <w:p w14:paraId="64681CC5" w14:textId="77777777" w:rsidR="000C7F9A" w:rsidRDefault="000C7F9A" w:rsidP="000F549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C7F9A" w:rsidRPr="00857E3D" w14:paraId="5DBC6A13"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A8110A" w14:textId="77777777" w:rsidR="000C7F9A" w:rsidRDefault="000C7F9A" w:rsidP="000F5496">
            <w:pPr>
              <w:jc w:val="both"/>
              <w:rPr>
                <w:sz w:val="22"/>
                <w:lang w:val="en-US"/>
              </w:rPr>
            </w:pPr>
            <w:r>
              <w:rPr>
                <w:sz w:val="22"/>
                <w:lang w:val="en-US"/>
              </w:rPr>
              <w:t>ZTE,Sanechips</w:t>
            </w:r>
          </w:p>
        </w:tc>
        <w:tc>
          <w:tcPr>
            <w:tcW w:w="7982" w:type="dxa"/>
          </w:tcPr>
          <w:p w14:paraId="4C42C0C9" w14:textId="2B7E8F1B"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We are still a little bit confused here. Just want to clarify,</w:t>
            </w:r>
            <w:r>
              <w:rPr>
                <w:sz w:val="22"/>
                <w:szCs w:val="22"/>
                <w:lang w:val="en-US"/>
              </w:rPr>
              <w:t xml:space="preserve"> </w:t>
            </w:r>
            <w:r w:rsidRPr="000C7F9A">
              <w:rPr>
                <w:sz w:val="22"/>
                <w:szCs w:val="22"/>
                <w:lang w:val="en-US"/>
              </w:rPr>
              <w:t xml:space="preserve">for example </w:t>
            </w:r>
          </w:p>
          <w:p w14:paraId="37EAC359" w14:textId="00CB85F9" w:rsidR="000C7F9A" w:rsidRPr="000C7F9A" w:rsidRDefault="000C7F9A" w:rsidP="000C7F9A">
            <w:pPr>
              <w:pStyle w:val="ListParagraph"/>
              <w:numPr>
                <w:ilvl w:val="0"/>
                <w:numId w:val="35"/>
              </w:numPr>
              <w:ind w:leftChars="0"/>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FG2-13 is kept for subframe level, and FG2-13a is introduced for slot/symbol level.</w:t>
            </w:r>
          </w:p>
          <w:p w14:paraId="44550F7D" w14:textId="77777777"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 xml:space="preserve">This means UE supporting FG2-13a supports FG2-13? </w:t>
            </w:r>
          </w:p>
          <w:p w14:paraId="29A29860" w14:textId="3144D367" w:rsidR="000C7F9A" w:rsidRPr="00857E3D" w:rsidRDefault="000C7F9A" w:rsidP="000C7F9A">
            <w:pPr>
              <w:cnfStyle w:val="000000100000" w:firstRow="0" w:lastRow="0" w:firstColumn="0" w:lastColumn="0" w:oddVBand="0" w:evenVBand="0" w:oddHBand="1" w:evenHBand="0" w:firstRowFirstColumn="0" w:firstRowLastColumn="0" w:lastRowFirstColumn="0" w:lastRowLastColumn="0"/>
              <w:rPr>
                <w:sz w:val="22"/>
                <w:lang w:val="en-US"/>
              </w:rPr>
            </w:pPr>
            <w:r w:rsidRPr="000C7F9A">
              <w:rPr>
                <w:sz w:val="22"/>
                <w:szCs w:val="22"/>
                <w:lang w:val="en-US"/>
              </w:rPr>
              <w:t>If this is the correct understanding</w:t>
            </w:r>
            <w:r>
              <w:rPr>
                <w:sz w:val="22"/>
                <w:szCs w:val="22"/>
                <w:lang w:val="en-US"/>
              </w:rPr>
              <w:t>,</w:t>
            </w:r>
            <w:r w:rsidRPr="000C7F9A">
              <w:rPr>
                <w:sz w:val="22"/>
                <w:szCs w:val="22"/>
                <w:lang w:val="en-US"/>
              </w:rPr>
              <w:t xml:space="preserve"> then we are OK for this.</w:t>
            </w:r>
          </w:p>
        </w:tc>
      </w:tr>
      <w:tr w:rsidR="000C7F9A" w14:paraId="239F8830" w14:textId="77777777" w:rsidTr="000F5496">
        <w:tc>
          <w:tcPr>
            <w:cnfStyle w:val="001000000000" w:firstRow="0" w:lastRow="0" w:firstColumn="1" w:lastColumn="0" w:oddVBand="0" w:evenVBand="0" w:oddHBand="0" w:evenHBand="0" w:firstRowFirstColumn="0" w:firstRowLastColumn="0" w:lastRowFirstColumn="0" w:lastRowLastColumn="0"/>
            <w:tcW w:w="1980" w:type="dxa"/>
          </w:tcPr>
          <w:p w14:paraId="203E3485" w14:textId="67756A24" w:rsidR="000C7F9A" w:rsidRDefault="000C7F9A" w:rsidP="000F5496">
            <w:pPr>
              <w:jc w:val="both"/>
              <w:rPr>
                <w:sz w:val="22"/>
                <w:lang w:val="en-US"/>
              </w:rPr>
            </w:pPr>
            <w:r>
              <w:rPr>
                <w:sz w:val="22"/>
                <w:lang w:val="en-US"/>
              </w:rPr>
              <w:t>Ericsson</w:t>
            </w:r>
          </w:p>
        </w:tc>
        <w:tc>
          <w:tcPr>
            <w:tcW w:w="7982" w:type="dxa"/>
          </w:tcPr>
          <w:p w14:paraId="2D3349B6" w14:textId="28DC31DB" w:rsidR="000C7F9A" w:rsidRDefault="00F416F8" w:rsidP="000F5496">
            <w:pPr>
              <w:cnfStyle w:val="000000000000" w:firstRow="0" w:lastRow="0" w:firstColumn="0" w:lastColumn="0" w:oddVBand="0" w:evenVBand="0" w:oddHBand="0" w:evenHBand="0" w:firstRowFirstColumn="0" w:firstRowLastColumn="0" w:lastRowFirstColumn="0" w:lastRowLastColumn="0"/>
              <w:rPr>
                <w:sz w:val="22"/>
                <w:lang w:val="en-US"/>
              </w:rPr>
            </w:pPr>
            <w:r>
              <w:rPr>
                <w:sz w:val="22"/>
                <w:lang w:val="en-US"/>
              </w:rPr>
              <w:t>Similar to ZTE, we</w:t>
            </w:r>
            <w:r w:rsidR="000C7F9A">
              <w:rPr>
                <w:sz w:val="22"/>
                <w:lang w:val="en-US"/>
              </w:rPr>
              <w:t xml:space="preserve"> would also like to see each subframe-level FG as prerequisite for the corresponding slot/symbol-level FG, but we assume this will be decided in the next phase of the work with the UE feature list.</w:t>
            </w:r>
          </w:p>
        </w:tc>
      </w:tr>
    </w:tbl>
    <w:p w14:paraId="2989FD93" w14:textId="77777777" w:rsidR="000C7F9A" w:rsidRPr="00865127" w:rsidRDefault="000C7F9A"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45CD80AF" w14:textId="7973E306" w:rsidR="00116487" w:rsidRDefault="00BC64CF" w:rsidP="00D90B9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were made.</w:t>
      </w:r>
    </w:p>
    <w:p w14:paraId="41A4D21A" w14:textId="77777777" w:rsidR="00BC64CF" w:rsidRDefault="00BC64CF" w:rsidP="00D90B9A">
      <w:pPr>
        <w:spacing w:afterLines="50" w:after="120"/>
        <w:jc w:val="both"/>
        <w:rPr>
          <w:rFonts w:eastAsia="MS Mincho"/>
          <w:sz w:val="22"/>
          <w:szCs w:val="22"/>
          <w:lang w:val="en-US"/>
        </w:rPr>
      </w:pPr>
    </w:p>
    <w:p w14:paraId="14281D7B" w14:textId="6A49F103" w:rsidR="008421FA" w:rsidRPr="00610E6E" w:rsidRDefault="00BC64CF" w:rsidP="008421FA">
      <w:pPr>
        <w:rPr>
          <w:b/>
          <w:bCs/>
        </w:rPr>
      </w:pPr>
      <w:r w:rsidRPr="00BC64CF">
        <w:rPr>
          <w:b/>
          <w:bCs/>
          <w:highlight w:val="green"/>
        </w:rPr>
        <w:t>Agreements:</w:t>
      </w:r>
    </w:p>
    <w:p w14:paraId="61FFB8F2" w14:textId="77777777" w:rsidR="008421FA" w:rsidRDefault="008421FA" w:rsidP="008421FA">
      <w:pPr>
        <w:pStyle w:val="ListParagraph"/>
        <w:numPr>
          <w:ilvl w:val="0"/>
          <w:numId w:val="35"/>
        </w:numPr>
        <w:ind w:leftChars="0"/>
      </w:pPr>
      <w:r>
        <w:t>FG1-2 is kept for GWUS with group resource alternation.</w:t>
      </w:r>
    </w:p>
    <w:p w14:paraId="36E81AED" w14:textId="7395546C" w:rsidR="00116487" w:rsidRDefault="008421FA" w:rsidP="008421FA">
      <w:pPr>
        <w:pStyle w:val="ListParagraph"/>
        <w:numPr>
          <w:ilvl w:val="0"/>
          <w:numId w:val="35"/>
        </w:numPr>
        <w:ind w:leftChars="0"/>
      </w:pPr>
      <w:r>
        <w:t>FG2-2 is kept for GWUS with group resource alternation.</w:t>
      </w:r>
    </w:p>
    <w:p w14:paraId="039BF9AF" w14:textId="77777777" w:rsidR="008421FA" w:rsidRDefault="008421FA" w:rsidP="008421FA">
      <w:pPr>
        <w:pStyle w:val="ListParagraph"/>
        <w:numPr>
          <w:ilvl w:val="0"/>
          <w:numId w:val="35"/>
        </w:numPr>
        <w:ind w:leftChars="0"/>
      </w:pPr>
      <w:r>
        <w:t>FG1-7 is kept for serving cell RSRP for TA validation.</w:t>
      </w:r>
    </w:p>
    <w:p w14:paraId="11C66BDE" w14:textId="77777777" w:rsidR="008421FA" w:rsidRPr="008421FA" w:rsidRDefault="008421FA" w:rsidP="008421FA">
      <w:pPr>
        <w:pStyle w:val="ListParagraph"/>
        <w:numPr>
          <w:ilvl w:val="0"/>
          <w:numId w:val="35"/>
        </w:numPr>
        <w:ind w:leftChars="0"/>
      </w:pPr>
      <w:r>
        <w:t>FG2-4 is kept for serving cell RSRP for TA validation.</w:t>
      </w:r>
    </w:p>
    <w:p w14:paraId="7D510449" w14:textId="77777777" w:rsidR="00116487" w:rsidRDefault="00116487" w:rsidP="00116487">
      <w:pPr>
        <w:pStyle w:val="ListParagraph"/>
        <w:numPr>
          <w:ilvl w:val="0"/>
          <w:numId w:val="35"/>
        </w:numPr>
        <w:ind w:leftChars="0"/>
      </w:pPr>
      <w:r>
        <w:t>FG1-23 is kept for subframe level, and FG1-23a is introduced for slot/symbol level.</w:t>
      </w:r>
    </w:p>
    <w:p w14:paraId="281E713D" w14:textId="77777777" w:rsidR="00116487" w:rsidRDefault="00116487" w:rsidP="00116487">
      <w:pPr>
        <w:pStyle w:val="ListParagraph"/>
        <w:numPr>
          <w:ilvl w:val="0"/>
          <w:numId w:val="35"/>
        </w:numPr>
        <w:ind w:leftChars="0"/>
      </w:pPr>
      <w:r>
        <w:t>FG1-24 is kept for subframe level, and FG1-24a is introduced for slot/symbol level.</w:t>
      </w:r>
    </w:p>
    <w:p w14:paraId="32EAE96F" w14:textId="77777777" w:rsidR="00116487" w:rsidRDefault="00116487" w:rsidP="00116487">
      <w:pPr>
        <w:pStyle w:val="ListParagraph"/>
        <w:numPr>
          <w:ilvl w:val="0"/>
          <w:numId w:val="35"/>
        </w:numPr>
        <w:ind w:leftChars="0"/>
      </w:pPr>
      <w:r>
        <w:t>FG1-25 is kept for subframe level, and FG1-25a is introduced for slot/symbol level.</w:t>
      </w:r>
    </w:p>
    <w:p w14:paraId="790A0A9B" w14:textId="77777777" w:rsidR="00116487" w:rsidRDefault="00116487" w:rsidP="00116487">
      <w:pPr>
        <w:pStyle w:val="ListParagraph"/>
        <w:numPr>
          <w:ilvl w:val="0"/>
          <w:numId w:val="35"/>
        </w:numPr>
        <w:ind w:leftChars="0"/>
      </w:pPr>
      <w:r>
        <w:t>FG1-26 is kept for subframe level, and FG1-26a is introduced for slot/symbol level.</w:t>
      </w:r>
    </w:p>
    <w:p w14:paraId="1145E0DC" w14:textId="77777777" w:rsidR="00116487" w:rsidRDefault="00116487" w:rsidP="00116487">
      <w:pPr>
        <w:pStyle w:val="ListParagraph"/>
        <w:numPr>
          <w:ilvl w:val="0"/>
          <w:numId w:val="35"/>
        </w:numPr>
        <w:ind w:leftChars="0"/>
      </w:pPr>
      <w:r>
        <w:t>FG2-12 is kept for subframe level, and FG2-12a is introduced for slot/symbol level.</w:t>
      </w:r>
    </w:p>
    <w:p w14:paraId="40D017D6" w14:textId="77777777" w:rsidR="00116487" w:rsidRDefault="00116487" w:rsidP="00116487">
      <w:pPr>
        <w:pStyle w:val="ListParagraph"/>
        <w:numPr>
          <w:ilvl w:val="0"/>
          <w:numId w:val="35"/>
        </w:numPr>
        <w:ind w:leftChars="0"/>
      </w:pPr>
      <w:r>
        <w:t>FG2-13 is kept for subframe level, and FG2-13a is introduced for slot/symbol level.</w:t>
      </w:r>
    </w:p>
    <w:p w14:paraId="071BC055" w14:textId="7E6A598F" w:rsidR="00116487" w:rsidRDefault="00116487" w:rsidP="00D90B9A">
      <w:pPr>
        <w:spacing w:afterLines="50" w:after="120"/>
        <w:jc w:val="both"/>
        <w:rPr>
          <w:rFonts w:eastAsia="MS Mincho"/>
          <w:sz w:val="22"/>
          <w:szCs w:val="22"/>
        </w:rPr>
      </w:pPr>
    </w:p>
    <w:p w14:paraId="3B9FFD35" w14:textId="77777777" w:rsidR="00BC64CF" w:rsidRPr="00610E6E" w:rsidRDefault="00BC64CF" w:rsidP="00BC64CF">
      <w:pPr>
        <w:rPr>
          <w:b/>
          <w:bCs/>
        </w:rPr>
      </w:pPr>
      <w:r w:rsidRPr="00610E6E">
        <w:rPr>
          <w:rFonts w:hint="eastAsia"/>
          <w:b/>
          <w:bCs/>
          <w:highlight w:val="yellow"/>
        </w:rPr>
        <w:t>F</w:t>
      </w:r>
      <w:r w:rsidRPr="00610E6E">
        <w:rPr>
          <w:b/>
          <w:bCs/>
          <w:highlight w:val="yellow"/>
        </w:rPr>
        <w:t>L proposal:</w:t>
      </w:r>
    </w:p>
    <w:p w14:paraId="03C1B9DE" w14:textId="77777777" w:rsidR="00BC64CF" w:rsidRDefault="00BC64CF" w:rsidP="00BC64CF">
      <w:pPr>
        <w:pStyle w:val="ListParagraph"/>
        <w:numPr>
          <w:ilvl w:val="0"/>
          <w:numId w:val="35"/>
        </w:numPr>
        <w:ind w:leftChars="0"/>
      </w:pPr>
      <w:r>
        <w:t>FG1-9 is kept.</w:t>
      </w:r>
    </w:p>
    <w:p w14:paraId="3A04246F" w14:textId="77777777" w:rsidR="00BC64CF" w:rsidRDefault="00BC64CF" w:rsidP="00BC64CF">
      <w:pPr>
        <w:pStyle w:val="ListParagraph"/>
        <w:numPr>
          <w:ilvl w:val="0"/>
          <w:numId w:val="35"/>
        </w:numPr>
        <w:ind w:leftChars="0"/>
      </w:pPr>
      <w:r>
        <w:t>FG2-5 is kept.</w:t>
      </w:r>
    </w:p>
    <w:p w14:paraId="4E700C98" w14:textId="77777777" w:rsidR="00BC64CF" w:rsidRPr="00116487" w:rsidRDefault="00BC64CF" w:rsidP="00D90B9A">
      <w:pPr>
        <w:spacing w:afterLines="50" w:after="120"/>
        <w:jc w:val="both"/>
        <w:rPr>
          <w:rFonts w:eastAsia="MS Mincho"/>
          <w:sz w:val="22"/>
          <w:szCs w:val="22"/>
        </w:rPr>
      </w:pPr>
    </w:p>
    <w:p w14:paraId="3A5CE6C6" w14:textId="6DD9653F" w:rsidR="00D90B9A" w:rsidRPr="00BC64CF" w:rsidRDefault="00D90B9A" w:rsidP="00BC64C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lastRenderedPageBreak/>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B120" w14:textId="77777777" w:rsidR="00FE17F8" w:rsidRDefault="00FE17F8">
      <w:r>
        <w:separator/>
      </w:r>
    </w:p>
  </w:endnote>
  <w:endnote w:type="continuationSeparator" w:id="0">
    <w:p w14:paraId="2586B211" w14:textId="77777777" w:rsidR="00FE17F8" w:rsidRDefault="00FE17F8">
      <w:r>
        <w:continuationSeparator/>
      </w:r>
    </w:p>
  </w:endnote>
  <w:endnote w:type="continuationNotice" w:id="1">
    <w:p w14:paraId="6EB31E19" w14:textId="77777777" w:rsidR="00FE17F8" w:rsidRDefault="00FE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F4514" w14:textId="77777777" w:rsidR="007B3338" w:rsidRDefault="007B3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B26704" w:rsidRPr="00000924" w:rsidRDefault="00B267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F1363">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F1363">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7711" w14:textId="77777777" w:rsidR="007B3338" w:rsidRDefault="007B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41730" w14:textId="77777777" w:rsidR="00FE17F8" w:rsidRDefault="00FE17F8">
      <w:r>
        <w:separator/>
      </w:r>
    </w:p>
  </w:footnote>
  <w:footnote w:type="continuationSeparator" w:id="0">
    <w:p w14:paraId="30E93BF7" w14:textId="77777777" w:rsidR="00FE17F8" w:rsidRDefault="00FE17F8">
      <w:r>
        <w:continuationSeparator/>
      </w:r>
    </w:p>
  </w:footnote>
  <w:footnote w:type="continuationNotice" w:id="1">
    <w:p w14:paraId="7E57DEBE" w14:textId="77777777" w:rsidR="00FE17F8" w:rsidRDefault="00FE1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17A6" w14:textId="77777777" w:rsidR="007B3338" w:rsidRDefault="007B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CC87" w14:textId="159EB645" w:rsidR="007B3338" w:rsidRDefault="00E17E42" w:rsidP="00E17E42">
    <w:pPr>
      <w:pStyle w:val="Header"/>
      <w:tabs>
        <w:tab w:val="left" w:pos="8137"/>
      </w:tabs>
    </w:pPr>
    <w:r>
      <w:tab/>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E7B3" w14:textId="77777777" w:rsidR="007B3338" w:rsidRDefault="007B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EE3536"/>
    <w:multiLevelType w:val="hybridMultilevel"/>
    <w:tmpl w:val="24A642D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7"/>
  </w:num>
  <w:num w:numId="6">
    <w:abstractNumId w:val="9"/>
  </w:num>
  <w:num w:numId="7">
    <w:abstractNumId w:val="16"/>
  </w:num>
  <w:num w:numId="8">
    <w:abstractNumId w:val="19"/>
  </w:num>
  <w:num w:numId="9">
    <w:abstractNumId w:val="26"/>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1"/>
  </w:num>
  <w:num w:numId="28">
    <w:abstractNumId w:val="29"/>
  </w:num>
  <w:num w:numId="29">
    <w:abstractNumId w:val="24"/>
  </w:num>
  <w:num w:numId="30">
    <w:abstractNumId w:val="28"/>
  </w:num>
  <w:num w:numId="31">
    <w:abstractNumId w:val="27"/>
  </w:num>
  <w:num w:numId="32">
    <w:abstractNumId w:val="14"/>
  </w:num>
  <w:num w:numId="33">
    <w:abstractNumId w:val="11"/>
  </w:num>
  <w:num w:numId="34">
    <w:abstractNumId w:val="1"/>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6D3"/>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873"/>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266"/>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C7F9A"/>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45"/>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487"/>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558"/>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4D8"/>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1A3"/>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0F"/>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363"/>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425"/>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1FC4"/>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1FE1"/>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7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6E"/>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EFC"/>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36"/>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005"/>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5D4"/>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338"/>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4C"/>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8CC"/>
    <w:rsid w:val="00815D5F"/>
    <w:rsid w:val="00816082"/>
    <w:rsid w:val="0081618D"/>
    <w:rsid w:val="008162F5"/>
    <w:rsid w:val="00816310"/>
    <w:rsid w:val="0081638B"/>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1FA"/>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5127"/>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0EAE"/>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0FC"/>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0EC"/>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42A"/>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77E8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E2A"/>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50"/>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704"/>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6CD"/>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60D"/>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4CF"/>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266"/>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6A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70F"/>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6BA6"/>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88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72"/>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17E42"/>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6A3"/>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772"/>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6F8"/>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F8"/>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3E"/>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421F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table" w:styleId="GridTable1Light-Accent2">
    <w:name w:val="Grid Table 1 Light Accent 2"/>
    <w:basedOn w:val="TableNormal"/>
    <w:uiPriority w:val="46"/>
    <w:rsid w:val="000858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858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0747225">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12b3dfc9d445e5ca0ac68577a82ff704">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044f37878904c60dc8f28cea96d5c031"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71c5aaf6-e6ce-465b-b873-5148d2a4c105"/>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4ab1a16-c41d-4865-a433-ad08d2a54ac6"/>
    <ds:schemaRef ds:uri="http://www.w3.org/XML/1998/namespace"/>
    <ds:schemaRef ds:uri="http://purl.org/dc/dcmitype/"/>
  </ds:schemaRefs>
</ds:datastoreItem>
</file>

<file path=customXml/itemProps3.xml><?xml version="1.0" encoding="utf-8"?>
<ds:datastoreItem xmlns:ds="http://schemas.openxmlformats.org/officeDocument/2006/customXml" ds:itemID="{E00A9EB0-8BB0-4AD4-A233-5617FA107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7B4D0-1600-419F-80F0-8CE059AAC19A}">
  <ds:schemaRefs>
    <ds:schemaRef ds:uri="Microsoft.SharePoint.Taxonomy.ContentTypeSync"/>
  </ds:schemaRefs>
</ds:datastoreItem>
</file>

<file path=customXml/itemProps5.xml><?xml version="1.0" encoding="utf-8"?>
<ds:datastoreItem xmlns:ds="http://schemas.openxmlformats.org/officeDocument/2006/customXml" ds:itemID="{2503CC90-28B9-46F5-9964-97C3E6EFA204}">
  <ds:schemaRefs>
    <ds:schemaRef ds:uri="http://schemas.microsoft.com/sharepoint/events"/>
  </ds:schemaRefs>
</ds:datastoreItem>
</file>

<file path=customXml/itemProps6.xml><?xml version="1.0" encoding="utf-8"?>
<ds:datastoreItem xmlns:ds="http://schemas.openxmlformats.org/officeDocument/2006/customXml" ds:itemID="{B767F5BB-5125-45B9-8A50-4E9DCC82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4658</Words>
  <Characters>26553</Characters>
  <Application>Microsoft Office Word</Application>
  <DocSecurity>0</DocSecurity>
  <Lines>221</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Bhatoolaul, David (Nokia - GB)</cp:lastModifiedBy>
  <cp:revision>3</cp:revision>
  <cp:lastPrinted>2017-08-09T04:40:00Z</cp:lastPrinted>
  <dcterms:created xsi:type="dcterms:W3CDTF">2020-04-27T13:24:00Z</dcterms:created>
  <dcterms:modified xsi:type="dcterms:W3CDTF">2020-04-27T13:24:00Z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0x01010009E82D54F3F10D468133B175E7F78D1A</vt:lpwstr>
  </property>
</Properties>
</file>