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t>
      </w:r>
      <w:proofErr w:type="gramStart"/>
      <w:r w:rsidRPr="008E28E9">
        <w:rPr>
          <w:highlight w:val="cyan"/>
          <w:lang w:val="en-US" w:eastAsia="x-none"/>
        </w:rPr>
        <w:t>whether or not</w:t>
      </w:r>
      <w:proofErr w:type="gramEnd"/>
      <w:r w:rsidRPr="008E28E9">
        <w:rPr>
          <w:highlight w:val="cyan"/>
          <w:lang w:val="en-US" w:eastAsia="x-none"/>
        </w:rPr>
        <w:t xml:space="preserve">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If UE does not support group resource alternation and the </w:t>
            </w:r>
            <w:proofErr w:type="spellStart"/>
            <w:r w:rsidRPr="001712A7">
              <w:rPr>
                <w:rFonts w:ascii="Times New Roman" w:eastAsia="MS Gothic" w:hAnsi="Times New Roman"/>
                <w:szCs w:val="18"/>
                <w:lang w:eastAsia="ja-JP"/>
              </w:rPr>
              <w:t>eNB</w:t>
            </w:r>
            <w:proofErr w:type="spellEnd"/>
            <w:r w:rsidRPr="001712A7">
              <w:rPr>
                <w:rFonts w:ascii="Times New Roman" w:eastAsia="MS Gothic" w:hAnsi="Times New Roman"/>
                <w:szCs w:val="18"/>
                <w:lang w:eastAsia="ja-JP"/>
              </w:rPr>
              <w:t xml:space="preserve">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 xml:space="preserve">Keeping the FG1-2/2-2 (removing brackets) supported </w:t>
      </w:r>
      <w:proofErr w:type="gramStart"/>
      <w:r w:rsidRPr="006E0D13">
        <w:rPr>
          <w:b/>
          <w:bCs/>
          <w:sz w:val="22"/>
          <w:highlight w:val="yellow"/>
          <w:lang w:val="en-US"/>
        </w:rPr>
        <w:t>by:</w:t>
      </w:r>
      <w:proofErr w:type="gramEnd"/>
      <w:r w:rsidR="00C834EE" w:rsidRPr="006E0D13">
        <w:rPr>
          <w:b/>
          <w:bCs/>
          <w:sz w:val="22"/>
          <w:highlight w:val="yellow"/>
          <w:lang w:val="en-US"/>
        </w:rPr>
        <w:t xml:space="preserve"> Ericsson</w:t>
      </w:r>
      <w:r w:rsidR="009C6243" w:rsidRPr="006E0D13">
        <w:rPr>
          <w:b/>
          <w:bCs/>
          <w:sz w:val="22"/>
          <w:highlight w:val="yellow"/>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 xml:space="preserve">Keeping the FG1-7/2-4 (removing brackets) supported </w:t>
      </w:r>
      <w:proofErr w:type="gramStart"/>
      <w:r w:rsidRPr="006E0D13">
        <w:rPr>
          <w:b/>
          <w:bCs/>
          <w:sz w:val="22"/>
          <w:highlight w:val="yellow"/>
          <w:lang w:val="en-US"/>
        </w:rPr>
        <w:t>by:</w:t>
      </w:r>
      <w:proofErr w:type="gramEnd"/>
      <w:r w:rsidR="00BC583D" w:rsidRPr="006E0D13">
        <w:rPr>
          <w:b/>
          <w:bCs/>
          <w:sz w:val="22"/>
          <w:highlight w:val="yellow"/>
          <w:lang w:val="en-US"/>
        </w:rPr>
        <w:t xml:space="preserve"> Ericsson</w:t>
      </w:r>
      <w:r w:rsidR="009C6243" w:rsidRPr="006E0D13">
        <w:rPr>
          <w:b/>
          <w:bCs/>
          <w:sz w:val="22"/>
          <w:highlight w:val="yellow"/>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 xml:space="preserve">Agree with view of HW. Serving cell RSRP validation is required for TA validation and hence FG1-7 needs to be a component of FG1-3/4/5/6. </w:t>
            </w:r>
            <w:proofErr w:type="gramStart"/>
            <w:r>
              <w:rPr>
                <w:sz w:val="22"/>
                <w:lang w:val="en-US"/>
              </w:rPr>
              <w:t>Similarly</w:t>
            </w:r>
            <w:proofErr w:type="gramEnd"/>
            <w:r>
              <w:rPr>
                <w:sz w:val="22"/>
                <w:lang w:val="en-US"/>
              </w:rPr>
              <w:t xml:space="preserve">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proofErr w:type="gramStart"/>
      <w:r>
        <w:rPr>
          <w:b/>
          <w:bCs/>
          <w:sz w:val="22"/>
          <w:lang w:val="en-US"/>
        </w:rPr>
        <w:t>kept</w:t>
      </w:r>
      <w:proofErr w:type="gramEnd"/>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 xml:space="preserve">Keeping the FG1-9/2-5 supported </w:t>
      </w:r>
      <w:proofErr w:type="gramStart"/>
      <w:r w:rsidRPr="006E0D13">
        <w:rPr>
          <w:b/>
          <w:bCs/>
          <w:sz w:val="22"/>
          <w:highlight w:val="yellow"/>
          <w:lang w:val="en-US"/>
        </w:rPr>
        <w:t>by:</w:t>
      </w:r>
      <w:proofErr w:type="gramEnd"/>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w:t>
            </w:r>
            <w:proofErr w:type="gramStart"/>
            <w:r w:rsidRPr="0036687B">
              <w:rPr>
                <w:sz w:val="18"/>
                <w:szCs w:val="18"/>
              </w:rPr>
              <w:t>level</w:t>
            </w:r>
            <w:proofErr w:type="gramEnd"/>
            <w:r w:rsidRPr="0036687B">
              <w:rPr>
                <w:sz w:val="18"/>
                <w:szCs w:val="18"/>
              </w:rPr>
              <w:t xml:space="preserve">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w:t>
            </w:r>
            <w:proofErr w:type="gramStart"/>
            <w:r w:rsidRPr="0036687B">
              <w:rPr>
                <w:sz w:val="18"/>
                <w:szCs w:val="18"/>
              </w:rPr>
              <w:t>level</w:t>
            </w:r>
            <w:proofErr w:type="gramEnd"/>
            <w:r w:rsidRPr="0036687B">
              <w:rPr>
                <w:sz w:val="18"/>
                <w:szCs w:val="18"/>
              </w:rPr>
              <w:t xml:space="preserve">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 xml:space="preserve">hether </w:t>
      </w:r>
      <w:r>
        <w:rPr>
          <w:b/>
          <w:bCs/>
          <w:sz w:val="22"/>
          <w:lang w:val="en-US"/>
        </w:rPr>
        <w:t>or not</w:t>
      </w:r>
      <w:proofErr w:type="gramEnd"/>
      <w:r>
        <w:rPr>
          <w:b/>
          <w:bCs/>
          <w:sz w:val="22"/>
          <w:lang w:val="en-US"/>
        </w:rPr>
        <w:t xml:space="preserve">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 xml:space="preserve">Introducing separate FGs supported </w:t>
      </w:r>
      <w:proofErr w:type="gramStart"/>
      <w:r w:rsidRPr="006E0D13">
        <w:rPr>
          <w:b/>
          <w:bCs/>
          <w:sz w:val="22"/>
          <w:highlight w:val="yellow"/>
          <w:lang w:val="en-US"/>
        </w:rPr>
        <w:t>by:</w:t>
      </w:r>
      <w:proofErr w:type="gramEnd"/>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w:t>
            </w:r>
            <w:proofErr w:type="spellStart"/>
            <w:r>
              <w:rPr>
                <w:sz w:val="22"/>
                <w:lang w:val="en-US"/>
              </w:rPr>
              <w:t>Sanechips</w:t>
            </w:r>
            <w:proofErr w:type="spellEnd"/>
            <w:r>
              <w:rPr>
                <w:sz w:val="22"/>
                <w:lang w:val="en-US"/>
              </w:rPr>
              <w:t xml:space="preserve">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 xml:space="preserve">To add to Ericsson’s comment, we </w:t>
            </w:r>
            <w:proofErr w:type="gramStart"/>
            <w:r>
              <w:rPr>
                <w:sz w:val="22"/>
                <w:lang w:val="en-US"/>
              </w:rPr>
              <w:t>don’t</w:t>
            </w:r>
            <w:proofErr w:type="gramEnd"/>
            <w:r>
              <w:rPr>
                <w:sz w:val="22"/>
                <w:lang w:val="en-US"/>
              </w:rPr>
              <w:t xml:space="preserve">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w:t>
            </w:r>
            <w:proofErr w:type="spellStart"/>
            <w:r>
              <w:rPr>
                <w:sz w:val="22"/>
              </w:rPr>
              <w:t>HiSilicon</w:t>
            </w:r>
            <w:proofErr w:type="spellEnd"/>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 xml:space="preserve">esource reservation for DL in </w:t>
                  </w:r>
                  <w:proofErr w:type="spellStart"/>
                  <w:r w:rsidRPr="00B052A5">
                    <w:rPr>
                      <w:sz w:val="18"/>
                      <w:szCs w:val="18"/>
                    </w:rPr>
                    <w:t>C</w:t>
                  </w:r>
                  <w:r w:rsidR="00870494">
                    <w:rPr>
                      <w:sz w:val="18"/>
                      <w:szCs w:val="18"/>
                    </w:rPr>
                    <w:t>E</w:t>
                  </w:r>
                  <w:r w:rsidRPr="00B052A5">
                    <w:rPr>
                      <w:sz w:val="18"/>
                      <w:szCs w:val="18"/>
                    </w:rPr>
                    <w:t>modeA</w:t>
                  </w:r>
                  <w:proofErr w:type="spellEnd"/>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Subframe-level time-domain resource reservation in DL in </w:t>
                  </w:r>
                  <w:proofErr w:type="spellStart"/>
                  <w:r w:rsidRPr="00B052A5">
                    <w:rPr>
                      <w:rFonts w:ascii="Times New Roman" w:eastAsia="MS Gothic" w:hAnsi="Times New Roman"/>
                      <w:szCs w:val="18"/>
                      <w:lang w:eastAsia="ja-JP"/>
                    </w:rPr>
                    <w:t>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72CDF4D2" w14:textId="5B19BA82"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w:t>
                  </w:r>
                  <w:r w:rsidR="00870494">
                    <w:rPr>
                      <w:sz w:val="18"/>
                      <w:szCs w:val="18"/>
                    </w:rPr>
                    <w:t>E</w:t>
                  </w:r>
                  <w:r w:rsidRPr="00B052A5">
                    <w:rPr>
                      <w:sz w:val="18"/>
                      <w:szCs w:val="18"/>
                    </w:rPr>
                    <w:t>modeA</w:t>
                  </w:r>
                  <w:proofErr w:type="spellEnd"/>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 xml:space="preserve">esource reservation for DL in </w:t>
                  </w:r>
                  <w:proofErr w:type="spellStart"/>
                  <w:r w:rsidRPr="00B052A5">
                    <w:rPr>
                      <w:sz w:val="18"/>
                      <w:szCs w:val="18"/>
                    </w:rPr>
                    <w:t>C</w:t>
                  </w:r>
                  <w:r w:rsidR="00870494">
                    <w:rPr>
                      <w:sz w:val="18"/>
                      <w:szCs w:val="18"/>
                    </w:rPr>
                    <w:t>E</w:t>
                  </w:r>
                  <w:r w:rsidRPr="00B052A5">
                    <w:rPr>
                      <w:sz w:val="18"/>
                      <w:szCs w:val="18"/>
                    </w:rPr>
                    <w:t>modeA</w:t>
                  </w:r>
                  <w:proofErr w:type="spellEnd"/>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 xml:space="preserve">lot/symbol-level time-domain resource reservation in DL in </w:t>
                  </w:r>
                  <w:proofErr w:type="spellStart"/>
                  <w:r w:rsidRPr="00B052A5">
                    <w:rPr>
                      <w:rFonts w:ascii="Times New Roman" w:eastAsia="MS Gothic" w:hAnsi="Times New Roman"/>
                      <w:szCs w:val="18"/>
                      <w:lang w:eastAsia="ja-JP"/>
                    </w:rPr>
                    <w:t>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476BA3E1" w14:textId="4769F1F5"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w:t>
                  </w:r>
                  <w:r w:rsidR="00870494">
                    <w:rPr>
                      <w:sz w:val="18"/>
                      <w:szCs w:val="18"/>
                    </w:rPr>
                    <w:t>E</w:t>
                  </w:r>
                  <w:r w:rsidRPr="00B052A5">
                    <w:rPr>
                      <w:sz w:val="18"/>
                      <w:szCs w:val="18"/>
                    </w:rPr>
                    <w:t>modeA</w:t>
                  </w:r>
                  <w:proofErr w:type="spellEnd"/>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067588">
            <w:pPr>
              <w:spacing w:after="0"/>
              <w:jc w:val="both"/>
              <w:rPr>
                <w:sz w:val="22"/>
                <w:lang w:val="en-US"/>
              </w:rPr>
            </w:pPr>
            <w:r>
              <w:rPr>
                <w:sz w:val="22"/>
                <w:lang w:val="en-US"/>
              </w:rPr>
              <w:t>Ericsson 3</w:t>
            </w:r>
          </w:p>
        </w:tc>
        <w:tc>
          <w:tcPr>
            <w:tcW w:w="7982" w:type="dxa"/>
          </w:tcPr>
          <w:p w14:paraId="46F4D811" w14:textId="6E5D32D6" w:rsidR="00870494" w:rsidRPr="00857E3D" w:rsidRDefault="00870494" w:rsidP="00067588">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067588">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DC1F80A" w:rsidR="00087320" w:rsidRDefault="00087320" w:rsidP="00087320">
            <w:pPr>
              <w:rPr>
                <w:sz w:val="22"/>
                <w:lang w:val="en-US"/>
              </w:rPr>
            </w:pPr>
            <w:r>
              <w:rPr>
                <w:sz w:val="22"/>
                <w:lang w:val="en-US"/>
              </w:rPr>
              <w:t xml:space="preserve">Our inclination is not to be a burden to test and make available all the levels of granularity. Companies can also consider - may be this is </w:t>
            </w:r>
            <w:proofErr w:type="spellStart"/>
            <w:r>
              <w:rPr>
                <w:sz w:val="22"/>
                <w:lang w:val="en-US"/>
              </w:rPr>
              <w:t>a</w:t>
            </w:r>
            <w:proofErr w:type="spellEnd"/>
            <w:r>
              <w:rPr>
                <w:sz w:val="22"/>
                <w:lang w:val="en-US"/>
              </w:rPr>
              <w:t xml:space="preserve"> case of excessive granularity</w:t>
            </w:r>
            <w:proofErr w:type="gramStart"/>
            <w:r>
              <w:rPr>
                <w:sz w:val="22"/>
                <w:lang w:val="en-US"/>
              </w:rPr>
              <w:t xml:space="preserve">.  </w:t>
            </w:r>
            <w:proofErr w:type="gramEnd"/>
            <w:r>
              <w:rPr>
                <w:sz w:val="22"/>
                <w:lang w:val="en-US"/>
              </w:rPr>
              <w:t>We are OK with 2 FGs, one for the subframe-level granularity and one for slot/symbol granularity</w:t>
            </w:r>
            <w:proofErr w:type="gramStart"/>
            <w:r>
              <w:rPr>
                <w:sz w:val="22"/>
                <w:lang w:val="en-US"/>
              </w:rPr>
              <w:t xml:space="preserve">.  </w:t>
            </w:r>
            <w:proofErr w:type="gramEnd"/>
            <w:r>
              <w:rPr>
                <w:sz w:val="22"/>
                <w:lang w:val="en-US"/>
              </w:rPr>
              <w:t>If it is a common understanding that subframe-level</w:t>
            </w:r>
            <w:r w:rsidR="008B763F">
              <w:rPr>
                <w:sz w:val="22"/>
                <w:lang w:val="en-US"/>
              </w:rPr>
              <w:t xml:space="preserve"> reservation always </w:t>
            </w:r>
            <w:proofErr w:type="gramStart"/>
            <w:r>
              <w:rPr>
                <w:sz w:val="22"/>
                <w:lang w:val="en-US"/>
              </w:rPr>
              <w:t>exist</w:t>
            </w:r>
            <w:proofErr w:type="gramEnd"/>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bl>
    <w:p w14:paraId="753D6CCE" w14:textId="433FB796"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 xml:space="preserve">UE features for </w:t>
      </w:r>
      <w:proofErr w:type="spellStart"/>
      <w:r w:rsidR="0074587E" w:rsidRPr="0074587E">
        <w:rPr>
          <w:rFonts w:eastAsia="MS Mincho"/>
          <w:sz w:val="22"/>
        </w:rPr>
        <w:t>eMTC</w:t>
      </w:r>
      <w:proofErr w:type="spellEnd"/>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 xml:space="preserve">Huawei, </w:t>
      </w:r>
      <w:proofErr w:type="spellStart"/>
      <w:r w:rsidR="0074587E" w:rsidRPr="0074587E">
        <w:rPr>
          <w:rFonts w:eastAsia="MS Mincho"/>
          <w:sz w:val="22"/>
        </w:rPr>
        <w:t>HiSilicon</w:t>
      </w:r>
      <w:proofErr w:type="spellEnd"/>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 xml:space="preserve">Huawei, </w:t>
      </w:r>
      <w:proofErr w:type="spellStart"/>
      <w:r w:rsidRPr="008A6859">
        <w:rPr>
          <w:rFonts w:eastAsia="MS Mincho"/>
          <w:sz w:val="22"/>
        </w:rPr>
        <w:t>HiSilicon</w:t>
      </w:r>
      <w:proofErr w:type="spellEnd"/>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1430" w14:textId="77777777" w:rsidR="007315F7" w:rsidRDefault="007315F7">
      <w:r>
        <w:separator/>
      </w:r>
    </w:p>
  </w:endnote>
  <w:endnote w:type="continuationSeparator" w:id="0">
    <w:p w14:paraId="06BA3906" w14:textId="77777777" w:rsidR="007315F7" w:rsidRDefault="007315F7">
      <w:r>
        <w:continuationSeparator/>
      </w:r>
    </w:p>
  </w:endnote>
  <w:endnote w:type="continuationNotice" w:id="1">
    <w:p w14:paraId="3D972609" w14:textId="77777777" w:rsidR="007315F7" w:rsidRDefault="0073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0F529C" w:rsidRPr="00000924" w:rsidRDefault="000F529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903FE" w14:textId="77777777" w:rsidR="007315F7" w:rsidRDefault="007315F7">
      <w:r>
        <w:separator/>
      </w:r>
    </w:p>
  </w:footnote>
  <w:footnote w:type="continuationSeparator" w:id="0">
    <w:p w14:paraId="1B0E3877" w14:textId="77777777" w:rsidR="007315F7" w:rsidRDefault="007315F7">
      <w:r>
        <w:continuationSeparator/>
      </w:r>
    </w:p>
  </w:footnote>
  <w:footnote w:type="continuationNotice" w:id="1">
    <w:p w14:paraId="0735A049" w14:textId="77777777" w:rsidR="007315F7" w:rsidRDefault="007315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05223-33C8-4D83-A1A7-7D71CC0A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3218</Words>
  <Characters>18345</Characters>
  <Application>Microsoft Office Word</Application>
  <DocSecurity>0</DocSecurity>
  <Lines>152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Siva Subramani</cp:lastModifiedBy>
  <cp:revision>9</cp:revision>
  <cp:lastPrinted>2017-08-09T04:40:00Z</cp:lastPrinted>
  <dcterms:created xsi:type="dcterms:W3CDTF">2020-04-22T12:26:00Z</dcterms:created>
  <dcterms:modified xsi:type="dcterms:W3CDTF">2020-04-22T12:29:00Z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