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F75EDE"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F75EDE"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F75EDE"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Futurewei’s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hyperlink r:id="rId15" w:history="1">
              <w:r w:rsidRPr="0068537A">
                <w:rPr>
                  <w:rFonts w:eastAsia="Batang"/>
                  <w:color w:val="0000FF"/>
                  <w:sz w:val="20"/>
                  <w:szCs w:val="20"/>
                  <w:u w:val="single"/>
                  <w:lang w:eastAsia="en-US"/>
                </w:rPr>
                <w:t>R1-2001086</w:t>
              </w:r>
            </w:hyperlink>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hyperlink r:id="rId16" w:history="1">
              <w:r w:rsidRPr="0068537A">
                <w:rPr>
                  <w:rFonts w:eastAsia="Batang"/>
                  <w:color w:val="0000FF"/>
                  <w:sz w:val="20"/>
                  <w:szCs w:val="20"/>
                  <w:u w:val="single"/>
                  <w:lang w:eastAsia="en-US"/>
                </w:rPr>
                <w:t>R1-2001214</w:t>
              </w:r>
            </w:hyperlink>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0C7AE7C" w14:textId="775616D2" w:rsidR="0043723F" w:rsidRPr="008E64C2" w:rsidRDefault="0043723F" w:rsidP="0043723F">
      <w:pPr>
        <w:pStyle w:val="Heading1"/>
      </w:pPr>
      <w:r w:rsidRPr="008E64C2">
        <w:t>Issue #</w:t>
      </w:r>
      <w:r w:rsidR="008916C4">
        <w:t>5</w:t>
      </w:r>
      <w:r w:rsidRPr="008E64C2">
        <w:t xml:space="preserve">: </w:t>
      </w:r>
      <w:r>
        <w:t>TDD HARQ-ACK bundling mechanism</w:t>
      </w:r>
    </w:p>
    <w:p w14:paraId="577D7AC6" w14:textId="54020A6A" w:rsidR="0043723F" w:rsidRDefault="0043723F" w:rsidP="0043723F">
      <w:pPr>
        <w:pStyle w:val="BodyText"/>
      </w:pPr>
      <w:r>
        <w:t xml:space="preserve">ZTE’s contribution </w:t>
      </w:r>
      <w:r>
        <w:fldChar w:fldCharType="begin"/>
      </w:r>
      <w:r>
        <w:instrText xml:space="preserve"> REF _Ref37807558 \r \h </w:instrText>
      </w:r>
      <w:r>
        <w:fldChar w:fldCharType="separate"/>
      </w:r>
      <w:r w:rsidR="007954CD">
        <w:t>[18]</w:t>
      </w:r>
      <w:r>
        <w:fldChar w:fldCharType="end"/>
      </w:r>
      <w:r>
        <w:t xml:space="preserve"> proposes that the TDD HARQ-ACK bundling should be based on legacy TDD bundling mechanism, whereas Qualcomm’s contribution </w:t>
      </w:r>
      <w:r>
        <w:fldChar w:fldCharType="begin"/>
      </w:r>
      <w:r>
        <w:instrText xml:space="preserve"> REF _Ref37807609 \r \h </w:instrText>
      </w:r>
      <w:r>
        <w:fldChar w:fldCharType="separate"/>
      </w:r>
      <w:r w:rsidR="007954CD">
        <w:t>[20]</w:t>
      </w:r>
      <w:r>
        <w:fldChar w:fldCharType="end"/>
      </w:r>
      <w:r>
        <w:t xml:space="preserve"> proposes to disallow bundling spanning different multi-TB PDSCHs (see Section 2.3.3 in ZTE’s contribution and Issue #3 in Qualcomm’s contribution for further discussion).</w:t>
      </w:r>
    </w:p>
    <w:p w14:paraId="03DBF2D2" w14:textId="54F2E4D4" w:rsidR="0043723F" w:rsidRDefault="007541EE" w:rsidP="007541EE">
      <w:pPr>
        <w:pStyle w:val="Proposal"/>
        <w:numPr>
          <w:ilvl w:val="0"/>
          <w:numId w:val="0"/>
        </w:numPr>
        <w:ind w:left="1304" w:hanging="1304"/>
        <w:rPr>
          <w:highlight w:val="yellow"/>
        </w:rPr>
      </w:pPr>
      <w:r>
        <w:rPr>
          <w:highlight w:val="yellow"/>
        </w:rPr>
        <w:t>Proposal 5-1:</w:t>
      </w:r>
      <w:r>
        <w:rPr>
          <w:highlight w:val="yellow"/>
        </w:rPr>
        <w:tab/>
      </w:r>
      <w:r w:rsidR="0043723F" w:rsidRPr="00C32906">
        <w:rPr>
          <w:highlight w:val="yellow"/>
        </w:rPr>
        <w:t>Discuss and decide on</w:t>
      </w:r>
      <w:r w:rsidR="0043723F">
        <w:rPr>
          <w:highlight w:val="yellow"/>
        </w:rPr>
        <w:t xml:space="preserve"> potential changes to allow TDD HARQ-ACK bundling</w:t>
      </w:r>
      <w:r w:rsidR="0043723F" w:rsidRPr="00C32906">
        <w:rPr>
          <w:highlight w:val="yellow"/>
        </w:rPr>
        <w:t>.</w:t>
      </w:r>
    </w:p>
    <w:tbl>
      <w:tblPr>
        <w:tblStyle w:val="TableGrid"/>
        <w:tblW w:w="0" w:type="auto"/>
        <w:tblLook w:val="04A0" w:firstRow="1" w:lastRow="0" w:firstColumn="1" w:lastColumn="0" w:noHBand="0" w:noVBand="1"/>
      </w:tblPr>
      <w:tblGrid>
        <w:gridCol w:w="2263"/>
        <w:gridCol w:w="7366"/>
      </w:tblGrid>
      <w:tr w:rsidR="006B5999" w14:paraId="79C82AEA" w14:textId="77777777" w:rsidTr="00832506">
        <w:tc>
          <w:tcPr>
            <w:tcW w:w="2263" w:type="dxa"/>
            <w:shd w:val="clear" w:color="auto" w:fill="BFBFBF" w:themeFill="background1" w:themeFillShade="BF"/>
          </w:tcPr>
          <w:p w14:paraId="2E2071E6" w14:textId="77777777" w:rsidR="006B5999" w:rsidRPr="00330BD6" w:rsidRDefault="006B5999" w:rsidP="00832506">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DBE54CE" w14:textId="132B88D8" w:rsidR="006B5999" w:rsidRPr="00330BD6" w:rsidRDefault="006B5999" w:rsidP="00832506">
            <w:pPr>
              <w:pStyle w:val="BodyText"/>
              <w:rPr>
                <w:b/>
                <w:bCs/>
                <w:sz w:val="20"/>
                <w:szCs w:val="20"/>
              </w:rPr>
            </w:pPr>
            <w:r w:rsidRPr="00330BD6">
              <w:rPr>
                <w:b/>
                <w:bCs/>
                <w:sz w:val="20"/>
                <w:szCs w:val="20"/>
              </w:rPr>
              <w:t>Comments</w:t>
            </w:r>
            <w:r>
              <w:rPr>
                <w:b/>
                <w:bCs/>
                <w:sz w:val="20"/>
                <w:szCs w:val="20"/>
              </w:rPr>
              <w:t xml:space="preserve"> on Proposal </w:t>
            </w:r>
            <w:r w:rsidR="00A63D0C">
              <w:rPr>
                <w:b/>
                <w:bCs/>
                <w:sz w:val="20"/>
                <w:szCs w:val="20"/>
              </w:rPr>
              <w:t>5-1</w:t>
            </w:r>
          </w:p>
        </w:tc>
      </w:tr>
      <w:tr w:rsidR="006B5999" w14:paraId="377132CC" w14:textId="77777777" w:rsidTr="00832506">
        <w:tc>
          <w:tcPr>
            <w:tcW w:w="2263" w:type="dxa"/>
          </w:tcPr>
          <w:p w14:paraId="0F23492C" w14:textId="4BA3C8C6" w:rsidR="006B5999" w:rsidRPr="0032493C" w:rsidRDefault="006A21A3" w:rsidP="00832506">
            <w:pPr>
              <w:pStyle w:val="BodyText"/>
              <w:rPr>
                <w:color w:val="C00000"/>
                <w:sz w:val="20"/>
                <w:szCs w:val="20"/>
              </w:rPr>
            </w:pPr>
            <w:r w:rsidRPr="0032493C">
              <w:rPr>
                <w:color w:val="C00000"/>
                <w:sz w:val="20"/>
                <w:szCs w:val="20"/>
              </w:rPr>
              <w:t>Qualcomm</w:t>
            </w:r>
          </w:p>
        </w:tc>
        <w:tc>
          <w:tcPr>
            <w:tcW w:w="7366" w:type="dxa"/>
          </w:tcPr>
          <w:p w14:paraId="255C748F" w14:textId="17DF8525" w:rsidR="009564EE" w:rsidRPr="0032493C" w:rsidRDefault="00817E47" w:rsidP="00832506">
            <w:pPr>
              <w:pStyle w:val="BodyText"/>
              <w:rPr>
                <w:color w:val="C00000"/>
                <w:sz w:val="20"/>
                <w:szCs w:val="20"/>
              </w:rPr>
            </w:pPr>
            <w:r w:rsidRPr="0032493C">
              <w:rPr>
                <w:color w:val="C00000"/>
                <w:sz w:val="20"/>
                <w:szCs w:val="20"/>
              </w:rPr>
              <w:t xml:space="preserve">In the TP that was agreed </w:t>
            </w:r>
            <w:r w:rsidR="005D2F05" w:rsidRPr="0032493C">
              <w:rPr>
                <w:color w:val="C00000"/>
                <w:sz w:val="20"/>
                <w:szCs w:val="20"/>
              </w:rPr>
              <w:t>in RAN1 100-e (and endorsed in</w:t>
            </w:r>
            <w:r w:rsidR="0034519A" w:rsidRPr="0032493C">
              <w:rPr>
                <w:color w:val="C00000"/>
                <w:sz w:val="20"/>
                <w:szCs w:val="20"/>
              </w:rPr>
              <w:t xml:space="preserve"> clause 10.2 of</w:t>
            </w:r>
            <w:r w:rsidR="005D2F05" w:rsidRPr="0032493C">
              <w:rPr>
                <w:color w:val="C00000"/>
                <w:sz w:val="20"/>
                <w:szCs w:val="20"/>
              </w:rPr>
              <w:t xml:space="preserve"> the latest version of the specification -g10)</w:t>
            </w:r>
            <w:r w:rsidR="0034519A" w:rsidRPr="0032493C">
              <w:rPr>
                <w:color w:val="C00000"/>
                <w:sz w:val="20"/>
                <w:szCs w:val="20"/>
              </w:rPr>
              <w:t xml:space="preserve">, </w:t>
            </w:r>
            <w:r w:rsidR="003D79CE" w:rsidRPr="0032493C">
              <w:rPr>
                <w:b/>
                <w:bCs/>
                <w:color w:val="C00000"/>
                <w:sz w:val="20"/>
                <w:szCs w:val="20"/>
              </w:rPr>
              <w:t>HARQ-ACK bundling „within the TBs of a multi-TB</w:t>
            </w:r>
            <w:r w:rsidR="009564EE" w:rsidRPr="0032493C">
              <w:rPr>
                <w:b/>
                <w:bCs/>
                <w:color w:val="C00000"/>
                <w:sz w:val="20"/>
                <w:szCs w:val="20"/>
              </w:rPr>
              <w:t xml:space="preserve"> transmission</w:t>
            </w:r>
            <w:r w:rsidR="003D79CE" w:rsidRPr="0032493C">
              <w:rPr>
                <w:b/>
                <w:bCs/>
                <w:color w:val="C00000"/>
                <w:sz w:val="20"/>
                <w:szCs w:val="20"/>
              </w:rPr>
              <w:t>“</w:t>
            </w:r>
            <w:r w:rsidR="009564EE" w:rsidRPr="0032493C">
              <w:rPr>
                <w:b/>
                <w:bCs/>
                <w:color w:val="C00000"/>
                <w:sz w:val="20"/>
                <w:szCs w:val="20"/>
              </w:rPr>
              <w:t xml:space="preserve"> was enabled</w:t>
            </w:r>
            <w:r w:rsidR="0032493C" w:rsidRPr="0032493C">
              <w:rPr>
                <w:b/>
                <w:bCs/>
                <w:color w:val="C00000"/>
                <w:sz w:val="20"/>
                <w:szCs w:val="20"/>
              </w:rPr>
              <w:t xml:space="preserve"> for TDD</w:t>
            </w:r>
            <w:r w:rsidR="009564EE" w:rsidRPr="0032493C">
              <w:rPr>
                <w:color w:val="C00000"/>
                <w:sz w:val="20"/>
                <w:szCs w:val="20"/>
              </w:rPr>
              <w:t>—in a similar manner to the FDD agreements.</w:t>
            </w:r>
          </w:p>
          <w:p w14:paraId="0FEE4925" w14:textId="77D12585" w:rsidR="00A72A61" w:rsidRPr="0032493C" w:rsidRDefault="009564EE" w:rsidP="00832506">
            <w:pPr>
              <w:pStyle w:val="BodyText"/>
              <w:rPr>
                <w:color w:val="C00000"/>
                <w:sz w:val="20"/>
                <w:szCs w:val="20"/>
              </w:rPr>
            </w:pPr>
            <w:r w:rsidRPr="0032493C">
              <w:rPr>
                <w:color w:val="C00000"/>
                <w:sz w:val="20"/>
                <w:szCs w:val="20"/>
              </w:rPr>
              <w:t xml:space="preserve">However, </w:t>
            </w:r>
            <w:r w:rsidR="001109A1" w:rsidRPr="0032493C">
              <w:rPr>
                <w:color w:val="C00000"/>
                <w:sz w:val="20"/>
                <w:szCs w:val="20"/>
              </w:rPr>
              <w:t>the „TDD-specific“ bundling (what exist today when number of repetitions is 1) is more complex for this setup</w:t>
            </w:r>
            <w:r w:rsidR="00FE5123" w:rsidRPr="0032493C">
              <w:rPr>
                <w:color w:val="C00000"/>
                <w:sz w:val="20"/>
                <w:szCs w:val="20"/>
              </w:rPr>
              <w:t xml:space="preserve">—e.g., interpreting DAI </w:t>
            </w:r>
            <w:r w:rsidR="00A72A61" w:rsidRPr="0032493C">
              <w:rPr>
                <w:color w:val="C00000"/>
                <w:sz w:val="20"/>
                <w:szCs w:val="20"/>
              </w:rPr>
              <w:t>fields, etc.</w:t>
            </w:r>
            <w:r w:rsidR="00B07D32">
              <w:rPr>
                <w:color w:val="C00000"/>
                <w:sz w:val="20"/>
                <w:szCs w:val="20"/>
              </w:rPr>
              <w:t xml:space="preserve"> There were no agreements made </w:t>
            </w:r>
            <w:r w:rsidR="00D00D35">
              <w:rPr>
                <w:color w:val="C00000"/>
                <w:sz w:val="20"/>
                <w:szCs w:val="20"/>
              </w:rPr>
              <w:t>on how to address this type of bundling for multi-TB scheduling in RAN1 100-e.</w:t>
            </w:r>
          </w:p>
          <w:p w14:paraId="3CACEF05" w14:textId="76170C5F" w:rsidR="00AB06FF" w:rsidRPr="0032493C" w:rsidRDefault="00A72A61" w:rsidP="00832506">
            <w:pPr>
              <w:pStyle w:val="BodyText"/>
              <w:rPr>
                <w:color w:val="C00000"/>
                <w:sz w:val="20"/>
                <w:szCs w:val="20"/>
              </w:rPr>
            </w:pPr>
            <w:r w:rsidRPr="0032493C">
              <w:rPr>
                <w:color w:val="C00000"/>
                <w:sz w:val="20"/>
                <w:szCs w:val="20"/>
              </w:rPr>
              <w:t xml:space="preserve">Since </w:t>
            </w:r>
            <w:r w:rsidR="007B73F8">
              <w:rPr>
                <w:color w:val="C00000"/>
                <w:sz w:val="20"/>
                <w:szCs w:val="20"/>
              </w:rPr>
              <w:t>with the current „within one multi-TB transmission“ bundling</w:t>
            </w:r>
            <w:r w:rsidR="007B4DF4">
              <w:rPr>
                <w:color w:val="C00000"/>
                <w:sz w:val="20"/>
                <w:szCs w:val="20"/>
              </w:rPr>
              <w:t xml:space="preserve">, </w:t>
            </w:r>
            <w:r w:rsidRPr="0032493C">
              <w:rPr>
                <w:color w:val="C00000"/>
                <w:sz w:val="20"/>
                <w:szCs w:val="20"/>
              </w:rPr>
              <w:t>we are already recovering</w:t>
            </w:r>
            <w:r w:rsidR="00137C03" w:rsidRPr="0032493C">
              <w:rPr>
                <w:color w:val="C00000"/>
                <w:sz w:val="20"/>
                <w:szCs w:val="20"/>
              </w:rPr>
              <w:t xml:space="preserve"> the </w:t>
            </w:r>
            <w:r w:rsidRPr="0032493C">
              <w:rPr>
                <w:color w:val="C00000"/>
                <w:sz w:val="20"/>
                <w:szCs w:val="20"/>
              </w:rPr>
              <w:t>throughput loss</w:t>
            </w:r>
            <w:r w:rsidR="00137C03" w:rsidRPr="0032493C">
              <w:rPr>
                <w:color w:val="C00000"/>
                <w:sz w:val="20"/>
                <w:szCs w:val="20"/>
              </w:rPr>
              <w:t xml:space="preserve"> </w:t>
            </w:r>
            <w:r w:rsidR="007B4DF4">
              <w:rPr>
                <w:color w:val="C00000"/>
                <w:sz w:val="20"/>
                <w:szCs w:val="20"/>
              </w:rPr>
              <w:t>vis-a-vis</w:t>
            </w:r>
            <w:r w:rsidR="00137C03" w:rsidRPr="0032493C">
              <w:rPr>
                <w:color w:val="C00000"/>
                <w:sz w:val="20"/>
                <w:szCs w:val="20"/>
              </w:rPr>
              <w:t xml:space="preserve"> not doing „any bundling“, we </w:t>
            </w:r>
            <w:r w:rsidR="00AB06FF" w:rsidRPr="0032493C">
              <w:rPr>
                <w:color w:val="C00000"/>
                <w:sz w:val="20"/>
                <w:szCs w:val="20"/>
              </w:rPr>
              <w:t>pr</w:t>
            </w:r>
            <w:r w:rsidR="007B4DF4">
              <w:rPr>
                <w:color w:val="C00000"/>
                <w:sz w:val="20"/>
                <w:szCs w:val="20"/>
              </w:rPr>
              <w:t>opose</w:t>
            </w:r>
            <w:r w:rsidR="00AB06FF" w:rsidRPr="0032493C">
              <w:rPr>
                <w:color w:val="C00000"/>
                <w:sz w:val="20"/>
                <w:szCs w:val="20"/>
              </w:rPr>
              <w:t xml:space="preserve"> to </w:t>
            </w:r>
            <w:r w:rsidR="00AB06FF" w:rsidRPr="008D5A55">
              <w:rPr>
                <w:b/>
                <w:bCs/>
                <w:color w:val="C00000"/>
                <w:sz w:val="20"/>
                <w:szCs w:val="20"/>
              </w:rPr>
              <w:t xml:space="preserve">disable TDD-specific bundling—much like what is done </w:t>
            </w:r>
            <w:r w:rsidR="008D5A55">
              <w:rPr>
                <w:b/>
                <w:bCs/>
                <w:color w:val="C00000"/>
                <w:sz w:val="20"/>
                <w:szCs w:val="20"/>
              </w:rPr>
              <w:t>for legacy single-TB scheduling</w:t>
            </w:r>
            <w:r w:rsidR="00AB06FF" w:rsidRPr="008D5A55">
              <w:rPr>
                <w:b/>
                <w:bCs/>
                <w:color w:val="C00000"/>
                <w:sz w:val="20"/>
                <w:szCs w:val="20"/>
              </w:rPr>
              <w:t xml:space="preserve"> when the number of repetitions is greater than 1</w:t>
            </w:r>
            <w:r w:rsidR="00AB06FF" w:rsidRPr="0032493C">
              <w:rPr>
                <w:color w:val="C00000"/>
                <w:sz w:val="20"/>
                <w:szCs w:val="20"/>
              </w:rPr>
              <w:t>.</w:t>
            </w:r>
          </w:p>
          <w:p w14:paraId="43D261EA" w14:textId="7A5017D8" w:rsidR="001E7F6F" w:rsidRDefault="00AB06FF" w:rsidP="00832506">
            <w:pPr>
              <w:pStyle w:val="BodyText"/>
              <w:rPr>
                <w:color w:val="C00000"/>
                <w:sz w:val="20"/>
                <w:szCs w:val="20"/>
              </w:rPr>
            </w:pPr>
            <w:r w:rsidRPr="0032493C">
              <w:rPr>
                <w:color w:val="C00000"/>
                <w:sz w:val="20"/>
                <w:szCs w:val="20"/>
              </w:rPr>
              <w:t xml:space="preserve">Our </w:t>
            </w:r>
            <w:r w:rsidRPr="008D5A55">
              <w:rPr>
                <w:b/>
                <w:bCs/>
                <w:color w:val="C00000"/>
                <w:sz w:val="20"/>
                <w:szCs w:val="20"/>
              </w:rPr>
              <w:t xml:space="preserve">TPs </w:t>
            </w:r>
            <w:r w:rsidR="00143FA9" w:rsidRPr="008D5A55">
              <w:rPr>
                <w:b/>
                <w:bCs/>
                <w:color w:val="C00000"/>
                <w:sz w:val="20"/>
                <w:szCs w:val="20"/>
              </w:rPr>
              <w:t>in Section 3 of</w:t>
            </w:r>
            <w:r w:rsidR="00A72A61" w:rsidRPr="008D5A55">
              <w:rPr>
                <w:b/>
                <w:bCs/>
                <w:color w:val="C00000"/>
                <w:sz w:val="20"/>
                <w:szCs w:val="20"/>
              </w:rPr>
              <w:t xml:space="preserve"> </w:t>
            </w:r>
            <w:r w:rsidR="005D2F05" w:rsidRPr="008D5A55">
              <w:rPr>
                <w:b/>
                <w:bCs/>
                <w:color w:val="C00000"/>
                <w:sz w:val="20"/>
                <w:szCs w:val="20"/>
              </w:rPr>
              <w:t xml:space="preserve"> </w:t>
            </w:r>
            <w:hyperlink r:id="rId17" w:history="1">
              <w:r w:rsidR="00143FA9" w:rsidRPr="008D5A55">
                <w:rPr>
                  <w:rStyle w:val="Hyperlink"/>
                  <w:b/>
                  <w:bCs/>
                  <w:color w:val="C00000"/>
                  <w:sz w:val="20"/>
                  <w:szCs w:val="20"/>
                  <w:lang w:val="en-GB"/>
                </w:rPr>
                <w:t>R1-2002174</w:t>
              </w:r>
            </w:hyperlink>
            <w:r w:rsidR="00143FA9" w:rsidRPr="0032493C">
              <w:rPr>
                <w:color w:val="C00000"/>
                <w:sz w:val="20"/>
                <w:szCs w:val="20"/>
              </w:rPr>
              <w:t xml:space="preserve"> </w:t>
            </w:r>
            <w:r w:rsidR="00143FA9" w:rsidRPr="00E27A13">
              <w:rPr>
                <w:b/>
                <w:bCs/>
                <w:color w:val="C00000"/>
                <w:sz w:val="20"/>
                <w:szCs w:val="20"/>
              </w:rPr>
              <w:t>im</w:t>
            </w:r>
            <w:r w:rsidR="00963E0C" w:rsidRPr="00E27A13">
              <w:rPr>
                <w:b/>
                <w:bCs/>
                <w:color w:val="C00000"/>
                <w:sz w:val="20"/>
                <w:szCs w:val="20"/>
              </w:rPr>
              <w:t>plement such a disabling</w:t>
            </w:r>
            <w:r w:rsidR="00963E0C" w:rsidRPr="0032493C">
              <w:rPr>
                <w:color w:val="C00000"/>
                <w:sz w:val="20"/>
                <w:szCs w:val="20"/>
              </w:rPr>
              <w:t xml:space="preserve">—by essentially constraining valid scheduling to the case that </w:t>
            </w:r>
            <w:r w:rsidR="00963E0C" w:rsidRPr="00E27A13">
              <w:rPr>
                <w:b/>
                <w:bCs/>
                <w:color w:val="C00000"/>
                <w:sz w:val="20"/>
                <w:szCs w:val="20"/>
              </w:rPr>
              <w:t>in any given ACK-ing opportunity, the UE shall not expect</w:t>
            </w:r>
            <w:r w:rsidR="008F5C37">
              <w:rPr>
                <w:b/>
                <w:bCs/>
                <w:color w:val="C00000"/>
                <w:sz w:val="20"/>
                <w:szCs w:val="20"/>
              </w:rPr>
              <w:t xml:space="preserve"> multiple</w:t>
            </w:r>
            <w:r w:rsidR="0053706E" w:rsidRPr="00E27A13">
              <w:rPr>
                <w:b/>
                <w:bCs/>
                <w:color w:val="C00000"/>
                <w:sz w:val="20"/>
                <w:szCs w:val="20"/>
              </w:rPr>
              <w:t xml:space="preserve"> multi-TB </w:t>
            </w:r>
            <w:r w:rsidR="00537862">
              <w:rPr>
                <w:b/>
                <w:bCs/>
                <w:color w:val="C00000"/>
                <w:sz w:val="20"/>
                <w:szCs w:val="20"/>
              </w:rPr>
              <w:t>transmissions</w:t>
            </w:r>
            <w:r w:rsidR="0053706E" w:rsidRPr="00E27A13">
              <w:rPr>
                <w:b/>
                <w:bCs/>
                <w:color w:val="C00000"/>
                <w:sz w:val="20"/>
                <w:szCs w:val="20"/>
              </w:rPr>
              <w:t xml:space="preserve"> corresponding to which it must send an ACK</w:t>
            </w:r>
            <w:r w:rsidR="0053706E" w:rsidRPr="0032493C">
              <w:rPr>
                <w:color w:val="C00000"/>
                <w:sz w:val="20"/>
                <w:szCs w:val="20"/>
              </w:rPr>
              <w:t>. Such scheduling</w:t>
            </w:r>
            <w:r w:rsidR="00563F8B" w:rsidRPr="0032493C">
              <w:rPr>
                <w:color w:val="C00000"/>
                <w:sz w:val="20"/>
                <w:szCs w:val="20"/>
              </w:rPr>
              <w:t xml:space="preserve"> </w:t>
            </w:r>
            <w:r w:rsidR="00563F8B" w:rsidRPr="001E7F6F">
              <w:rPr>
                <w:b/>
                <w:bCs/>
                <w:color w:val="C00000"/>
                <w:sz w:val="20"/>
                <w:szCs w:val="20"/>
              </w:rPr>
              <w:t xml:space="preserve">eliminates bundling „across different multi-TB </w:t>
            </w:r>
            <w:r w:rsidR="009C1A21" w:rsidRPr="001E7F6F">
              <w:rPr>
                <w:b/>
                <w:bCs/>
                <w:color w:val="C00000"/>
                <w:sz w:val="20"/>
                <w:szCs w:val="20"/>
              </w:rPr>
              <w:t>transmissions</w:t>
            </w:r>
            <w:r w:rsidR="00563F8B" w:rsidRPr="001E7F6F">
              <w:rPr>
                <w:b/>
                <w:bCs/>
                <w:color w:val="C00000"/>
                <w:sz w:val="20"/>
                <w:szCs w:val="20"/>
              </w:rPr>
              <w:t>“</w:t>
            </w:r>
            <w:r w:rsidR="009C1A21" w:rsidRPr="0032493C">
              <w:rPr>
                <w:color w:val="C00000"/>
                <w:sz w:val="20"/>
                <w:szCs w:val="20"/>
              </w:rPr>
              <w:t xml:space="preserve">, while still retaining the throughput benefits </w:t>
            </w:r>
            <w:r w:rsidR="00C3375A" w:rsidRPr="0032493C">
              <w:rPr>
                <w:color w:val="C00000"/>
                <w:sz w:val="20"/>
                <w:szCs w:val="20"/>
              </w:rPr>
              <w:t>from bundling via the „within one multi-TB transmission“ bundling.</w:t>
            </w:r>
          </w:p>
          <w:p w14:paraId="6DAFA284" w14:textId="77777777" w:rsidR="00AC1B64" w:rsidRDefault="00AC1B64" w:rsidP="00832506">
            <w:pPr>
              <w:pStyle w:val="BodyText"/>
              <w:rPr>
                <w:color w:val="C00000"/>
                <w:sz w:val="20"/>
                <w:szCs w:val="20"/>
              </w:rPr>
            </w:pPr>
          </w:p>
          <w:p w14:paraId="6AC625D1" w14:textId="637D56E7" w:rsidR="001E7F6F" w:rsidRPr="0032493C" w:rsidRDefault="001E7F6F" w:rsidP="00832506">
            <w:pPr>
              <w:pStyle w:val="BodyText"/>
              <w:rPr>
                <w:color w:val="C00000"/>
                <w:sz w:val="20"/>
                <w:szCs w:val="20"/>
              </w:rPr>
            </w:pPr>
            <w:r>
              <w:rPr>
                <w:color w:val="C00000"/>
                <w:sz w:val="20"/>
                <w:szCs w:val="20"/>
              </w:rPr>
              <w:t xml:space="preserve">As a result, we propose to </w:t>
            </w:r>
            <w:r w:rsidRPr="001E7F6F">
              <w:rPr>
                <w:b/>
                <w:bCs/>
                <w:color w:val="C00000"/>
                <w:sz w:val="20"/>
                <w:szCs w:val="20"/>
              </w:rPr>
              <w:t>endorse the</w:t>
            </w:r>
            <w:r>
              <w:rPr>
                <w:color w:val="C00000"/>
                <w:sz w:val="20"/>
                <w:szCs w:val="20"/>
              </w:rPr>
              <w:t xml:space="preserve"> </w:t>
            </w:r>
            <w:r w:rsidRPr="008D5A55">
              <w:rPr>
                <w:b/>
                <w:bCs/>
                <w:color w:val="C00000"/>
                <w:sz w:val="20"/>
                <w:szCs w:val="20"/>
              </w:rPr>
              <w:t>TPs</w:t>
            </w:r>
            <w:r w:rsidR="00041BEE">
              <w:rPr>
                <w:b/>
                <w:bCs/>
                <w:color w:val="C00000"/>
                <w:sz w:val="20"/>
                <w:szCs w:val="20"/>
              </w:rPr>
              <w:t xml:space="preserve"> 5, 6 and 7</w:t>
            </w:r>
            <w:r w:rsidRPr="008D5A55">
              <w:rPr>
                <w:b/>
                <w:bCs/>
                <w:color w:val="C00000"/>
                <w:sz w:val="20"/>
                <w:szCs w:val="20"/>
              </w:rPr>
              <w:t xml:space="preserve"> in Section 3 of  </w:t>
            </w:r>
            <w:hyperlink r:id="rId18" w:history="1">
              <w:r w:rsidRPr="008D5A55">
                <w:rPr>
                  <w:rStyle w:val="Hyperlink"/>
                  <w:b/>
                  <w:bCs/>
                  <w:color w:val="C00000"/>
                  <w:sz w:val="20"/>
                  <w:szCs w:val="20"/>
                  <w:lang w:val="en-GB"/>
                </w:rPr>
                <w:t>R1-2002174</w:t>
              </w:r>
            </w:hyperlink>
            <w:r>
              <w:rPr>
                <w:b/>
                <w:bCs/>
                <w:color w:val="C00000"/>
                <w:sz w:val="20"/>
                <w:szCs w:val="20"/>
              </w:rPr>
              <w:t>.</w:t>
            </w:r>
          </w:p>
          <w:p w14:paraId="29338FB2" w14:textId="77777777" w:rsidR="00C3375A" w:rsidRPr="0032493C" w:rsidRDefault="00C3375A" w:rsidP="00832506">
            <w:pPr>
              <w:pStyle w:val="BodyText"/>
              <w:rPr>
                <w:color w:val="C00000"/>
                <w:sz w:val="20"/>
                <w:szCs w:val="20"/>
              </w:rPr>
            </w:pPr>
          </w:p>
          <w:p w14:paraId="62D9BA29" w14:textId="77777777" w:rsidR="00C3375A" w:rsidRPr="001E7F6F" w:rsidRDefault="00556C3B" w:rsidP="00832506">
            <w:pPr>
              <w:pStyle w:val="BodyText"/>
              <w:rPr>
                <w:b/>
                <w:bCs/>
                <w:i/>
                <w:iCs/>
                <w:color w:val="C00000"/>
                <w:sz w:val="20"/>
                <w:szCs w:val="20"/>
                <w:u w:val="single"/>
              </w:rPr>
            </w:pPr>
            <w:r w:rsidRPr="001E7F6F">
              <w:rPr>
                <w:b/>
                <w:bCs/>
                <w:i/>
                <w:iCs/>
                <w:color w:val="C00000"/>
                <w:sz w:val="20"/>
                <w:szCs w:val="20"/>
                <w:u w:val="single"/>
              </w:rPr>
              <w:t>Response to ZTE’s comment on our approved TP in RAN1 100-e:</w:t>
            </w:r>
          </w:p>
          <w:p w14:paraId="03A8B283" w14:textId="57B16EAF" w:rsidR="00556C3B" w:rsidRPr="001E7F6F" w:rsidRDefault="00556C3B" w:rsidP="00832506">
            <w:pPr>
              <w:pStyle w:val="BodyText"/>
              <w:rPr>
                <w:i/>
                <w:iCs/>
                <w:color w:val="C00000"/>
                <w:sz w:val="20"/>
                <w:szCs w:val="20"/>
              </w:rPr>
            </w:pPr>
            <w:r w:rsidRPr="001E7F6F">
              <w:rPr>
                <w:i/>
                <w:iCs/>
                <w:color w:val="C00000"/>
                <w:sz w:val="20"/>
                <w:szCs w:val="20"/>
              </w:rPr>
              <w:t xml:space="preserve">We are not sure we fully understand </w:t>
            </w:r>
            <w:r w:rsidR="0094016C" w:rsidRPr="001E7F6F">
              <w:rPr>
                <w:i/>
                <w:iCs/>
                <w:color w:val="C00000"/>
                <w:sz w:val="20"/>
                <w:szCs w:val="20"/>
              </w:rPr>
              <w:t xml:space="preserve">the concern. The way the approved TP is written, </w:t>
            </w:r>
            <w:r w:rsidR="002D4E6C" w:rsidRPr="001E7F6F">
              <w:rPr>
                <w:i/>
                <w:iCs/>
                <w:color w:val="C00000"/>
                <w:sz w:val="20"/>
                <w:szCs w:val="20"/>
              </w:rPr>
              <w:t xml:space="preserve">there is never the scope for one bundle’s ACKs starting before </w:t>
            </w:r>
            <w:r w:rsidR="00675D16" w:rsidRPr="001E7F6F">
              <w:rPr>
                <w:i/>
                <w:iCs/>
                <w:color w:val="C00000"/>
                <w:sz w:val="20"/>
                <w:szCs w:val="20"/>
              </w:rPr>
              <w:t xml:space="preserve">the previous bundle’s ACKs have completely finished. Since the maximum bundle size is 4, we do not see how </w:t>
            </w:r>
            <w:r w:rsidR="00F674B8" w:rsidRPr="001E7F6F">
              <w:rPr>
                <w:i/>
                <w:iCs/>
                <w:color w:val="C00000"/>
                <w:sz w:val="20"/>
                <w:szCs w:val="20"/>
              </w:rPr>
              <w:t xml:space="preserve">more than 4 TBs </w:t>
            </w:r>
            <w:r w:rsidR="00584FFA" w:rsidRPr="001E7F6F">
              <w:rPr>
                <w:i/>
                <w:iCs/>
                <w:color w:val="C00000"/>
                <w:sz w:val="20"/>
                <w:szCs w:val="20"/>
              </w:rPr>
              <w:t>can get ACK-ed in any given subframe.</w:t>
            </w:r>
          </w:p>
          <w:p w14:paraId="16265291" w14:textId="77777777" w:rsidR="0032493C" w:rsidRDefault="00DD20D7" w:rsidP="00832506">
            <w:pPr>
              <w:pStyle w:val="BodyText"/>
              <w:rPr>
                <w:i/>
                <w:iCs/>
                <w:color w:val="C00000"/>
                <w:sz w:val="20"/>
                <w:szCs w:val="20"/>
              </w:rPr>
            </w:pPr>
            <w:r w:rsidRPr="001E7F6F">
              <w:rPr>
                <w:i/>
                <w:iCs/>
                <w:color w:val="C00000"/>
                <w:sz w:val="20"/>
                <w:szCs w:val="20"/>
              </w:rPr>
              <w:lastRenderedPageBreak/>
              <w:t xml:space="preserve">Please note that </w:t>
            </w:r>
            <w:r w:rsidRPr="003571E0">
              <w:rPr>
                <w:b/>
                <w:bCs/>
                <w:i/>
                <w:iCs/>
                <w:color w:val="C00000"/>
                <w:sz w:val="20"/>
                <w:szCs w:val="20"/>
              </w:rPr>
              <w:t>the TP doesn’t have any correspondence to the „legacy k-table“</w:t>
            </w:r>
            <w:r w:rsidRPr="001E7F6F">
              <w:rPr>
                <w:i/>
                <w:iCs/>
                <w:color w:val="C00000"/>
                <w:sz w:val="20"/>
                <w:szCs w:val="20"/>
              </w:rPr>
              <w:t xml:space="preserve"> </w:t>
            </w:r>
            <w:r w:rsidR="005175C1" w:rsidRPr="001E7F6F">
              <w:rPr>
                <w:i/>
                <w:iCs/>
                <w:color w:val="C00000"/>
                <w:sz w:val="20"/>
                <w:szCs w:val="20"/>
              </w:rPr>
              <w:t>with regards to deciding which subframes need to be ACK-ed at subframe n.</w:t>
            </w:r>
            <w:r w:rsidR="003042D0" w:rsidRPr="001E7F6F">
              <w:rPr>
                <w:i/>
                <w:iCs/>
                <w:color w:val="C00000"/>
                <w:sz w:val="20"/>
                <w:szCs w:val="20"/>
              </w:rPr>
              <w:t xml:space="preserve"> </w:t>
            </w:r>
            <w:r w:rsidR="005B02E1" w:rsidRPr="001E7F6F">
              <w:rPr>
                <w:i/>
                <w:iCs/>
                <w:color w:val="C00000"/>
                <w:sz w:val="20"/>
                <w:szCs w:val="20"/>
              </w:rPr>
              <w:t>As a result</w:t>
            </w:r>
            <w:r w:rsidR="005B02E1" w:rsidRPr="00192BBC">
              <w:rPr>
                <w:b/>
                <w:bCs/>
                <w:i/>
                <w:iCs/>
                <w:color w:val="C00000"/>
                <w:sz w:val="20"/>
                <w:szCs w:val="20"/>
              </w:rPr>
              <w:t>, t</w:t>
            </w:r>
            <w:r w:rsidR="003042D0" w:rsidRPr="00192BBC">
              <w:rPr>
                <w:b/>
                <w:bCs/>
                <w:i/>
                <w:iCs/>
                <w:color w:val="C00000"/>
                <w:sz w:val="20"/>
                <w:szCs w:val="20"/>
              </w:rPr>
              <w:t>here is no mention of „k“</w:t>
            </w:r>
            <w:r w:rsidR="005B02E1" w:rsidRPr="00192BBC">
              <w:rPr>
                <w:b/>
                <w:bCs/>
                <w:i/>
                <w:iCs/>
                <w:color w:val="C00000"/>
                <w:sz w:val="20"/>
                <w:szCs w:val="20"/>
              </w:rPr>
              <w:t xml:space="preserve"> for multi-TB TDD timeline determination</w:t>
            </w:r>
            <w:r w:rsidR="005B02E1" w:rsidRPr="001E7F6F">
              <w:rPr>
                <w:i/>
                <w:iCs/>
                <w:color w:val="C00000"/>
                <w:sz w:val="20"/>
                <w:szCs w:val="20"/>
              </w:rPr>
              <w:t>.</w:t>
            </w:r>
            <w:r w:rsidR="00AF5366" w:rsidRPr="001E7F6F">
              <w:rPr>
                <w:i/>
                <w:iCs/>
                <w:color w:val="C00000"/>
                <w:sz w:val="20"/>
                <w:szCs w:val="20"/>
              </w:rPr>
              <w:t xml:space="preserve"> By removing the dependence on „k“, the timeline for ACKs essentially becomes</w:t>
            </w:r>
            <w:r w:rsidR="00AF5366" w:rsidRPr="0032493C">
              <w:rPr>
                <w:color w:val="C00000"/>
                <w:sz w:val="20"/>
                <w:szCs w:val="20"/>
              </w:rPr>
              <w:t xml:space="preserve"> </w:t>
            </w:r>
            <w:r w:rsidR="00AF5366" w:rsidRPr="001E7F6F">
              <w:rPr>
                <w:i/>
                <w:iCs/>
                <w:color w:val="C00000"/>
                <w:sz w:val="20"/>
                <w:szCs w:val="20"/>
              </w:rPr>
              <w:t>sequential—i.e., bundle-by-bundle</w:t>
            </w:r>
            <w:r w:rsidR="00E75404" w:rsidRPr="001E7F6F">
              <w:rPr>
                <w:i/>
                <w:iCs/>
                <w:color w:val="C00000"/>
                <w:sz w:val="20"/>
                <w:szCs w:val="20"/>
              </w:rPr>
              <w:t xml:space="preserve">, at the earliest transmission opportunity </w:t>
            </w:r>
            <w:r w:rsidR="00E75404" w:rsidRPr="00627A75">
              <w:rPr>
                <w:b/>
                <w:bCs/>
                <w:i/>
                <w:iCs/>
                <w:color w:val="C00000"/>
                <w:sz w:val="20"/>
                <w:szCs w:val="20"/>
              </w:rPr>
              <w:t>when the last bundle’s ACKs</w:t>
            </w:r>
            <w:r w:rsidR="00BE0B29" w:rsidRPr="00627A75">
              <w:rPr>
                <w:b/>
                <w:bCs/>
                <w:i/>
                <w:iCs/>
                <w:color w:val="C00000"/>
                <w:sz w:val="20"/>
                <w:szCs w:val="20"/>
              </w:rPr>
              <w:t xml:space="preserve"> (max bundlesize 4)</w:t>
            </w:r>
            <w:r w:rsidR="00E75404" w:rsidRPr="00627A75">
              <w:rPr>
                <w:b/>
                <w:bCs/>
                <w:i/>
                <w:iCs/>
                <w:color w:val="C00000"/>
                <w:sz w:val="20"/>
                <w:szCs w:val="20"/>
              </w:rPr>
              <w:t xml:space="preserve"> </w:t>
            </w:r>
            <w:r w:rsidR="00BE0B29" w:rsidRPr="00627A75">
              <w:rPr>
                <w:b/>
                <w:bCs/>
                <w:i/>
                <w:iCs/>
                <w:color w:val="C00000"/>
                <w:sz w:val="20"/>
                <w:szCs w:val="20"/>
              </w:rPr>
              <w:t xml:space="preserve">have completely finished and the </w:t>
            </w:r>
            <w:r w:rsidR="0032493C" w:rsidRPr="00627A75">
              <w:rPr>
                <w:b/>
                <w:bCs/>
                <w:i/>
                <w:iCs/>
                <w:color w:val="C00000"/>
                <w:sz w:val="20"/>
                <w:szCs w:val="20"/>
              </w:rPr>
              <w:t>current bundle is ready for ACK-ing</w:t>
            </w:r>
            <w:r w:rsidR="0032493C" w:rsidRPr="001E7F6F">
              <w:rPr>
                <w:i/>
                <w:iCs/>
                <w:color w:val="C00000"/>
                <w:sz w:val="20"/>
                <w:szCs w:val="20"/>
              </w:rPr>
              <w:t>.</w:t>
            </w:r>
          </w:p>
          <w:p w14:paraId="57BAE1B1" w14:textId="3C6CC05D" w:rsidR="00B72426" w:rsidRPr="0032493C" w:rsidRDefault="00B72426" w:rsidP="00832506">
            <w:pPr>
              <w:pStyle w:val="BodyText"/>
              <w:rPr>
                <w:color w:val="C00000"/>
                <w:sz w:val="20"/>
                <w:szCs w:val="20"/>
              </w:rPr>
            </w:pPr>
            <w:r>
              <w:rPr>
                <w:i/>
                <w:iCs/>
                <w:color w:val="C00000"/>
                <w:sz w:val="20"/>
                <w:szCs w:val="20"/>
              </w:rPr>
              <w:t>Please let us know if we are missing something.</w:t>
            </w:r>
          </w:p>
        </w:tc>
      </w:tr>
      <w:tr w:rsidR="006B5999" w14:paraId="37F977E7" w14:textId="77777777" w:rsidTr="00832506">
        <w:tc>
          <w:tcPr>
            <w:tcW w:w="2263" w:type="dxa"/>
          </w:tcPr>
          <w:p w14:paraId="0CB67A61" w14:textId="42FEB5C8" w:rsidR="006B5999" w:rsidRPr="00330BD6" w:rsidRDefault="00116161" w:rsidP="00832506">
            <w:pPr>
              <w:pStyle w:val="BodyText"/>
              <w:rPr>
                <w:sz w:val="20"/>
                <w:szCs w:val="20"/>
              </w:rPr>
            </w:pPr>
            <w:r>
              <w:rPr>
                <w:sz w:val="20"/>
                <w:szCs w:val="20"/>
              </w:rPr>
              <w:lastRenderedPageBreak/>
              <w:t>Ericsson</w:t>
            </w:r>
          </w:p>
        </w:tc>
        <w:tc>
          <w:tcPr>
            <w:tcW w:w="7366" w:type="dxa"/>
          </w:tcPr>
          <w:p w14:paraId="4F818C8A" w14:textId="00B98DDB" w:rsidR="006B5999" w:rsidRPr="00116161" w:rsidRDefault="00116161" w:rsidP="00832506">
            <w:pPr>
              <w:pStyle w:val="BodyText"/>
              <w:rPr>
                <w:sz w:val="20"/>
                <w:szCs w:val="20"/>
              </w:rPr>
            </w:pPr>
            <w:r w:rsidRPr="00116161">
              <w:rPr>
                <w:sz w:val="20"/>
                <w:szCs w:val="20"/>
              </w:rPr>
              <w:t>We are fine with Qualcomm’s approach in principle</w:t>
            </w:r>
            <w:r>
              <w:rPr>
                <w:sz w:val="20"/>
                <w:szCs w:val="20"/>
              </w:rPr>
              <w:t xml:space="preserve">. If the approach can be agreed in principle, we will in the next step take a closer look at the </w:t>
            </w:r>
            <w:r w:rsidRPr="00116161">
              <w:rPr>
                <w:sz w:val="20"/>
                <w:szCs w:val="20"/>
              </w:rPr>
              <w:t>TPs</w:t>
            </w:r>
            <w:r>
              <w:rPr>
                <w:sz w:val="20"/>
                <w:szCs w:val="20"/>
              </w:rPr>
              <w:t xml:space="preserve"> </w:t>
            </w:r>
            <w:r w:rsidRPr="00116161">
              <w:rPr>
                <w:sz w:val="20"/>
                <w:szCs w:val="20"/>
              </w:rPr>
              <w:t>in Section 3 in</w:t>
            </w:r>
            <w:r>
              <w:rPr>
                <w:sz w:val="20"/>
                <w:szCs w:val="20"/>
              </w:rPr>
              <w:t xml:space="preserve"> Qualcomm’s contribution</w:t>
            </w:r>
            <w:r w:rsidRPr="00116161">
              <w:rPr>
                <w:sz w:val="20"/>
                <w:szCs w:val="20"/>
              </w:rPr>
              <w:t xml:space="preserve"> </w:t>
            </w:r>
            <w:hyperlink r:id="rId19" w:history="1">
              <w:r w:rsidRPr="00116161">
                <w:rPr>
                  <w:rStyle w:val="Hyperlink"/>
                  <w:sz w:val="20"/>
                  <w:szCs w:val="20"/>
                  <w:lang w:val="en-GB"/>
                </w:rPr>
                <w:t>R1-2002174</w:t>
              </w:r>
            </w:hyperlink>
            <w:r>
              <w:rPr>
                <w:sz w:val="20"/>
                <w:szCs w:val="20"/>
              </w:rPr>
              <w:t>.</w:t>
            </w:r>
            <w:bookmarkStart w:id="4" w:name="_GoBack"/>
            <w:bookmarkEnd w:id="4"/>
          </w:p>
        </w:tc>
      </w:tr>
      <w:tr w:rsidR="006B5999" w14:paraId="43AD0D79" w14:textId="77777777" w:rsidTr="00832506">
        <w:tc>
          <w:tcPr>
            <w:tcW w:w="2263" w:type="dxa"/>
          </w:tcPr>
          <w:p w14:paraId="7879B6BA" w14:textId="77777777" w:rsidR="006B5999" w:rsidRPr="00330BD6" w:rsidRDefault="006B5999" w:rsidP="00832506">
            <w:pPr>
              <w:pStyle w:val="BodyText"/>
              <w:rPr>
                <w:sz w:val="20"/>
                <w:szCs w:val="20"/>
              </w:rPr>
            </w:pPr>
          </w:p>
        </w:tc>
        <w:tc>
          <w:tcPr>
            <w:tcW w:w="7366" w:type="dxa"/>
          </w:tcPr>
          <w:p w14:paraId="7063E74B" w14:textId="77777777" w:rsidR="006B5999" w:rsidRPr="00330BD6" w:rsidRDefault="006B5999" w:rsidP="00832506">
            <w:pPr>
              <w:pStyle w:val="BodyText"/>
              <w:rPr>
                <w:sz w:val="20"/>
                <w:szCs w:val="20"/>
              </w:rPr>
            </w:pPr>
          </w:p>
        </w:tc>
      </w:tr>
      <w:tr w:rsidR="006B5999" w14:paraId="75E77EBD" w14:textId="77777777" w:rsidTr="00832506">
        <w:tc>
          <w:tcPr>
            <w:tcW w:w="2263" w:type="dxa"/>
          </w:tcPr>
          <w:p w14:paraId="60EAC414" w14:textId="77777777" w:rsidR="006B5999" w:rsidRPr="00330BD6" w:rsidRDefault="006B5999" w:rsidP="00832506">
            <w:pPr>
              <w:pStyle w:val="BodyText"/>
              <w:rPr>
                <w:sz w:val="20"/>
                <w:szCs w:val="20"/>
              </w:rPr>
            </w:pPr>
          </w:p>
        </w:tc>
        <w:tc>
          <w:tcPr>
            <w:tcW w:w="7366" w:type="dxa"/>
          </w:tcPr>
          <w:p w14:paraId="29712D67" w14:textId="77777777" w:rsidR="006B5999" w:rsidRPr="00330BD6" w:rsidRDefault="006B5999" w:rsidP="00832506">
            <w:pPr>
              <w:pStyle w:val="BodyText"/>
              <w:rPr>
                <w:sz w:val="20"/>
                <w:szCs w:val="20"/>
              </w:rPr>
            </w:pPr>
          </w:p>
        </w:tc>
      </w:tr>
      <w:tr w:rsidR="006B5999" w14:paraId="539076C7" w14:textId="77777777" w:rsidTr="00832506">
        <w:tc>
          <w:tcPr>
            <w:tcW w:w="2263" w:type="dxa"/>
          </w:tcPr>
          <w:p w14:paraId="4CF60CF3" w14:textId="77777777" w:rsidR="006B5999" w:rsidRPr="00330BD6" w:rsidRDefault="006B5999" w:rsidP="00832506">
            <w:pPr>
              <w:pStyle w:val="BodyText"/>
              <w:rPr>
                <w:sz w:val="20"/>
                <w:szCs w:val="20"/>
              </w:rPr>
            </w:pPr>
          </w:p>
        </w:tc>
        <w:tc>
          <w:tcPr>
            <w:tcW w:w="7366" w:type="dxa"/>
          </w:tcPr>
          <w:p w14:paraId="165B9C86" w14:textId="77777777" w:rsidR="006B5999" w:rsidRPr="00330BD6" w:rsidRDefault="006B5999" w:rsidP="00832506">
            <w:pPr>
              <w:pStyle w:val="BodyText"/>
              <w:rPr>
                <w:sz w:val="20"/>
                <w:szCs w:val="20"/>
              </w:rPr>
            </w:pPr>
          </w:p>
        </w:tc>
      </w:tr>
      <w:tr w:rsidR="006B5999" w14:paraId="6325B77A" w14:textId="77777777" w:rsidTr="00832506">
        <w:tc>
          <w:tcPr>
            <w:tcW w:w="2263" w:type="dxa"/>
          </w:tcPr>
          <w:p w14:paraId="68298FAD" w14:textId="77777777" w:rsidR="006B5999" w:rsidRPr="00330BD6" w:rsidRDefault="006B5999" w:rsidP="00832506">
            <w:pPr>
              <w:pStyle w:val="BodyText"/>
              <w:rPr>
                <w:sz w:val="20"/>
                <w:szCs w:val="20"/>
              </w:rPr>
            </w:pPr>
          </w:p>
        </w:tc>
        <w:tc>
          <w:tcPr>
            <w:tcW w:w="7366" w:type="dxa"/>
          </w:tcPr>
          <w:p w14:paraId="1D79C275" w14:textId="77777777" w:rsidR="006B5999" w:rsidRPr="00330BD6" w:rsidRDefault="006B5999" w:rsidP="00832506">
            <w:pPr>
              <w:pStyle w:val="BodyText"/>
              <w:rPr>
                <w:sz w:val="20"/>
                <w:szCs w:val="20"/>
              </w:rPr>
            </w:pPr>
          </w:p>
        </w:tc>
      </w:tr>
      <w:tr w:rsidR="006B5999" w14:paraId="3FED258F" w14:textId="77777777" w:rsidTr="00832506">
        <w:tc>
          <w:tcPr>
            <w:tcW w:w="2263" w:type="dxa"/>
          </w:tcPr>
          <w:p w14:paraId="38FCAD45" w14:textId="77777777" w:rsidR="006B5999" w:rsidRPr="00330BD6" w:rsidRDefault="006B5999" w:rsidP="00832506">
            <w:pPr>
              <w:pStyle w:val="BodyText"/>
              <w:rPr>
                <w:sz w:val="20"/>
                <w:szCs w:val="20"/>
              </w:rPr>
            </w:pPr>
          </w:p>
        </w:tc>
        <w:tc>
          <w:tcPr>
            <w:tcW w:w="7366" w:type="dxa"/>
          </w:tcPr>
          <w:p w14:paraId="509003C3" w14:textId="77777777" w:rsidR="006B5999" w:rsidRPr="00330BD6" w:rsidRDefault="006B5999" w:rsidP="00832506">
            <w:pPr>
              <w:pStyle w:val="BodyText"/>
              <w:rPr>
                <w:sz w:val="20"/>
                <w:szCs w:val="20"/>
              </w:rPr>
            </w:pPr>
          </w:p>
        </w:tc>
      </w:tr>
    </w:tbl>
    <w:p w14:paraId="46C997A0" w14:textId="77777777" w:rsidR="00AE1BB4" w:rsidRPr="0045684E" w:rsidRDefault="00AE1BB4" w:rsidP="00AE1BB4">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5" w:name="_In-sequence_SDU_delivery"/>
      <w:bookmarkEnd w:id="3"/>
      <w:bookmarkEnd w:id="5"/>
      <w:r w:rsidRPr="00CE0424">
        <w:t>References</w:t>
      </w:r>
    </w:p>
    <w:bookmarkStart w:id="6" w:name="_Ref189809556"/>
    <w:bookmarkStart w:id="7" w:name="_Ref174151459"/>
    <w:bookmarkStart w:id="8"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6"/>
      <w:bookmarkEnd w:id="7"/>
    </w:p>
    <w:bookmarkStart w:id="9" w:name="_Ref32837626"/>
    <w:bookmarkEnd w:id="8"/>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9"/>
    </w:p>
    <w:bookmarkStart w:id="10"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10"/>
    </w:p>
    <w:bookmarkStart w:id="11"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1"/>
    </w:p>
    <w:bookmarkStart w:id="12"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2"/>
    </w:p>
    <w:bookmarkStart w:id="13"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3"/>
      <w:r w:rsidR="00D26CDD">
        <w:rPr>
          <w:rFonts w:cs="Arial"/>
          <w:lang w:val="en-US"/>
        </w:rPr>
        <w:t>1</w:t>
      </w:r>
    </w:p>
    <w:p w14:paraId="59C82BD2" w14:textId="75DB2594" w:rsidR="00030C9B" w:rsidRPr="00FC14A2"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0"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1"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2"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4"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4"/>
    </w:p>
    <w:p w14:paraId="4D25DC1A" w14:textId="3510A732" w:rsidR="00D26CDD" w:rsidRDefault="00F75EDE"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F75EDE"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D26CDD" w:rsidRPr="00D26CDD">
          <w:rPr>
            <w:rStyle w:val="Hyperlink"/>
            <w:rFonts w:cs="Arial"/>
            <w:lang w:val="en-US"/>
          </w:rPr>
          <w:t>R1-2001431</w:t>
        </w:r>
      </w:hyperlink>
      <w:r w:rsidR="00D26CDD">
        <w:rPr>
          <w:rFonts w:cs="Arial"/>
          <w:lang w:val="en-US"/>
        </w:rPr>
        <w:t>, Corrections for 36.212</w:t>
      </w:r>
    </w:p>
    <w:bookmarkStart w:id="15"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5"/>
    </w:p>
    <w:bookmarkStart w:id="16"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Huawei, HiSilicon</w:t>
      </w:r>
      <w:bookmarkEnd w:id="16"/>
    </w:p>
    <w:bookmarkStart w:id="17"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7"/>
    </w:p>
    <w:bookmarkStart w:id="18"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8"/>
    </w:p>
    <w:bookmarkStart w:id="19"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9"/>
    </w:p>
    <w:bookmarkStart w:id="20"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20"/>
    </w:p>
    <w:bookmarkStart w:id="21"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lastRenderedPageBreak/>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1"/>
    </w:p>
    <w:bookmarkStart w:id="22"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r w:rsidR="00CF76AF" w:rsidRPr="00DD75B4">
        <w:rPr>
          <w:rFonts w:cs="Arial"/>
          <w:lang w:val="en-US"/>
        </w:rPr>
        <w:t>Futurewei</w:t>
      </w:r>
      <w:bookmarkEnd w:id="22"/>
    </w:p>
    <w:bookmarkStart w:id="23"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3"/>
    </w:p>
    <w:p w14:paraId="0AB4597C" w14:textId="15143602" w:rsidR="00BC3886" w:rsidRPr="00DD75B4" w:rsidRDefault="00F75EDE"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4811" w14:textId="77777777" w:rsidR="00F75EDE" w:rsidRDefault="00F75EDE">
      <w:r>
        <w:separator/>
      </w:r>
    </w:p>
  </w:endnote>
  <w:endnote w:type="continuationSeparator" w:id="0">
    <w:p w14:paraId="18F7CF77" w14:textId="77777777" w:rsidR="00F75EDE" w:rsidRDefault="00F7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0F12B7" w:rsidRDefault="000F12B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778B8" w14:textId="77777777" w:rsidR="00F75EDE" w:rsidRDefault="00F75EDE">
      <w:r>
        <w:separator/>
      </w:r>
    </w:p>
  </w:footnote>
  <w:footnote w:type="continuationSeparator" w:id="0">
    <w:p w14:paraId="7B61FFB4" w14:textId="77777777" w:rsidR="00F75EDE" w:rsidRDefault="00F75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0F12B7" w:rsidRDefault="000F12B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4"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8"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9"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7"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6"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9"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0"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3"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5"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6"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8"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9"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3"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6"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7"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8"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0"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1"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2"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3"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8"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9"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3"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99"/>
  </w:num>
  <w:num w:numId="3">
    <w:abstractNumId w:val="71"/>
  </w:num>
  <w:num w:numId="4">
    <w:abstractNumId w:val="73"/>
  </w:num>
  <w:num w:numId="5">
    <w:abstractNumId w:val="60"/>
  </w:num>
  <w:num w:numId="6">
    <w:abstractNumId w:val="86"/>
  </w:num>
  <w:num w:numId="7">
    <w:abstractNumId w:val="112"/>
  </w:num>
  <w:num w:numId="8">
    <w:abstractNumId w:val="61"/>
  </w:num>
  <w:num w:numId="9">
    <w:abstractNumId w:val="52"/>
  </w:num>
  <w:num w:numId="10">
    <w:abstractNumId w:val="2"/>
  </w:num>
  <w:num w:numId="11">
    <w:abstractNumId w:val="1"/>
  </w:num>
  <w:num w:numId="12">
    <w:abstractNumId w:val="0"/>
  </w:num>
  <w:num w:numId="13">
    <w:abstractNumId w:val="106"/>
  </w:num>
  <w:num w:numId="14">
    <w:abstractNumId w:val="108"/>
  </w:num>
  <w:num w:numId="15">
    <w:abstractNumId w:val="80"/>
  </w:num>
  <w:num w:numId="16">
    <w:abstractNumId w:val="119"/>
  </w:num>
  <w:num w:numId="17">
    <w:abstractNumId w:val="36"/>
  </w:num>
  <w:num w:numId="18">
    <w:abstractNumId w:val="45"/>
  </w:num>
  <w:num w:numId="19">
    <w:abstractNumId w:val="12"/>
  </w:num>
  <w:num w:numId="20">
    <w:abstractNumId w:val="145"/>
  </w:num>
  <w:num w:numId="21">
    <w:abstractNumId w:val="63"/>
  </w:num>
  <w:num w:numId="22">
    <w:abstractNumId w:val="134"/>
  </w:num>
  <w:num w:numId="23">
    <w:abstractNumId w:val="33"/>
  </w:num>
  <w:num w:numId="24">
    <w:abstractNumId w:val="96"/>
  </w:num>
  <w:num w:numId="25">
    <w:abstractNumId w:val="83"/>
  </w:num>
  <w:num w:numId="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5"/>
  </w:num>
  <w:num w:numId="31">
    <w:abstractNumId w:val="10"/>
  </w:num>
  <w:num w:numId="32">
    <w:abstractNumId w:val="37"/>
  </w:num>
  <w:num w:numId="33">
    <w:abstractNumId w:val="159"/>
  </w:num>
  <w:num w:numId="34">
    <w:abstractNumId w:val="160"/>
  </w:num>
  <w:num w:numId="35">
    <w:abstractNumId w:val="91"/>
  </w:num>
  <w:num w:numId="36">
    <w:abstractNumId w:val="99"/>
  </w:num>
  <w:num w:numId="37">
    <w:abstractNumId w:val="99"/>
  </w:num>
  <w:num w:numId="38">
    <w:abstractNumId w:val="107"/>
  </w:num>
  <w:num w:numId="39">
    <w:abstractNumId w:val="21"/>
  </w:num>
  <w:num w:numId="40">
    <w:abstractNumId w:val="49"/>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164"/>
  </w:num>
  <w:num w:numId="44">
    <w:abstractNumId w:val="98"/>
  </w:num>
  <w:num w:numId="45">
    <w:abstractNumId w:val="90"/>
  </w:num>
  <w:num w:numId="46">
    <w:abstractNumId w:val="6"/>
  </w:num>
  <w:num w:numId="47">
    <w:abstractNumId w:val="149"/>
  </w:num>
  <w:num w:numId="48">
    <w:abstractNumId w:val="82"/>
  </w:num>
  <w:num w:numId="49">
    <w:abstractNumId w:val="14"/>
  </w:num>
  <w:num w:numId="50">
    <w:abstractNumId w:val="18"/>
  </w:num>
  <w:num w:numId="51">
    <w:abstractNumId w:val="67"/>
  </w:num>
  <w:num w:numId="52">
    <w:abstractNumId w:val="78"/>
  </w:num>
  <w:num w:numId="53">
    <w:abstractNumId w:val="77"/>
  </w:num>
  <w:num w:numId="54">
    <w:abstractNumId w:val="132"/>
  </w:num>
  <w:num w:numId="55">
    <w:abstractNumId w:val="131"/>
  </w:num>
  <w:num w:numId="56">
    <w:abstractNumId w:val="69"/>
  </w:num>
  <w:num w:numId="57">
    <w:abstractNumId w:val="110"/>
  </w:num>
  <w:num w:numId="58">
    <w:abstractNumId w:val="85"/>
  </w:num>
  <w:num w:numId="59">
    <w:abstractNumId w:val="103"/>
  </w:num>
  <w:num w:numId="60">
    <w:abstractNumId w:val="92"/>
  </w:num>
  <w:num w:numId="61">
    <w:abstractNumId w:val="133"/>
  </w:num>
  <w:num w:numId="6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num>
  <w:num w:numId="67">
    <w:abstractNumId w:val="76"/>
  </w:num>
  <w:num w:numId="68">
    <w:abstractNumId w:val="144"/>
  </w:num>
  <w:num w:numId="69">
    <w:abstractNumId w:val="138"/>
  </w:num>
  <w:num w:numId="70">
    <w:abstractNumId w:val="22"/>
  </w:num>
  <w:num w:numId="71">
    <w:abstractNumId w:val="65"/>
  </w:num>
  <w:num w:numId="72">
    <w:abstractNumId w:val="152"/>
  </w:num>
  <w:num w:numId="73">
    <w:abstractNumId w:val="84"/>
  </w:num>
  <w:num w:numId="74">
    <w:abstractNumId w:val="64"/>
  </w:num>
  <w:num w:numId="75">
    <w:abstractNumId w:val="30"/>
  </w:num>
  <w:num w:numId="76">
    <w:abstractNumId w:val="27"/>
  </w:num>
  <w:num w:numId="77">
    <w:abstractNumId w:val="41"/>
  </w:num>
  <w:num w:numId="78">
    <w:abstractNumId w:val="139"/>
  </w:num>
  <w:num w:numId="79">
    <w:abstractNumId w:val="68"/>
  </w:num>
  <w:num w:numId="80">
    <w:abstractNumId w:val="100"/>
  </w:num>
  <w:num w:numId="81">
    <w:abstractNumId w:val="154"/>
  </w:num>
  <w:num w:numId="82">
    <w:abstractNumId w:val="19"/>
  </w:num>
  <w:num w:numId="83">
    <w:abstractNumId w:val="114"/>
  </w:num>
  <w:num w:numId="84">
    <w:abstractNumId w:val="123"/>
  </w:num>
  <w:num w:numId="85">
    <w:abstractNumId w:val="23"/>
  </w:num>
  <w:num w:numId="86">
    <w:abstractNumId w:val="124"/>
  </w:num>
  <w:num w:numId="87">
    <w:abstractNumId w:val="42"/>
  </w:num>
  <w:num w:numId="88">
    <w:abstractNumId w:val="142"/>
  </w:num>
  <w:num w:numId="89">
    <w:abstractNumId w:val="66"/>
  </w:num>
  <w:num w:numId="90">
    <w:abstractNumId w:val="120"/>
  </w:num>
  <w:num w:numId="91">
    <w:abstractNumId w:val="11"/>
  </w:num>
  <w:num w:numId="92">
    <w:abstractNumId w:val="28"/>
  </w:num>
  <w:num w:numId="93">
    <w:abstractNumId w:val="115"/>
  </w:num>
  <w:num w:numId="94">
    <w:abstractNumId w:val="101"/>
  </w:num>
  <w:num w:numId="95">
    <w:abstractNumId w:val="53"/>
  </w:num>
  <w:num w:numId="96">
    <w:abstractNumId w:val="162"/>
  </w:num>
  <w:num w:numId="97">
    <w:abstractNumId w:val="116"/>
  </w:num>
  <w:num w:numId="98">
    <w:abstractNumId w:val="59"/>
  </w:num>
  <w:num w:numId="99">
    <w:abstractNumId w:val="109"/>
  </w:num>
  <w:num w:numId="100">
    <w:abstractNumId w:val="43"/>
  </w:num>
  <w:num w:numId="101">
    <w:abstractNumId w:val="40"/>
  </w:num>
  <w:num w:numId="10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27"/>
  </w:num>
  <w:num w:numId="105">
    <w:abstractNumId w:val="56"/>
  </w:num>
  <w:num w:numId="106">
    <w:abstractNumId w:val="156"/>
  </w:num>
  <w:num w:numId="107">
    <w:abstractNumId w:val="121"/>
  </w:num>
  <w:num w:numId="108">
    <w:abstractNumId w:val="32"/>
  </w:num>
  <w:num w:numId="109">
    <w:abstractNumId w:val="93"/>
  </w:num>
  <w:num w:numId="110">
    <w:abstractNumId w:val="25"/>
  </w:num>
  <w:num w:numId="111">
    <w:abstractNumId w:val="118"/>
  </w:num>
  <w:num w:numId="112">
    <w:abstractNumId w:val="58"/>
  </w:num>
  <w:num w:numId="113">
    <w:abstractNumId w:val="161"/>
  </w:num>
  <w:num w:numId="114">
    <w:abstractNumId w:val="88"/>
  </w:num>
  <w:num w:numId="115">
    <w:abstractNumId w:val="125"/>
  </w:num>
  <w:num w:numId="116">
    <w:abstractNumId w:val="31"/>
  </w:num>
  <w:num w:numId="117">
    <w:abstractNumId w:val="126"/>
  </w:num>
  <w:num w:numId="118">
    <w:abstractNumId w:val="155"/>
  </w:num>
  <w:num w:numId="119">
    <w:abstractNumId w:val="130"/>
  </w:num>
  <w:num w:numId="120">
    <w:abstractNumId w:val="79"/>
  </w:num>
  <w:num w:numId="121">
    <w:abstractNumId w:val="150"/>
  </w:num>
  <w:num w:numId="122">
    <w:abstractNumId w:val="62"/>
  </w:num>
  <w:num w:numId="123">
    <w:abstractNumId w:val="29"/>
  </w:num>
  <w:num w:numId="124">
    <w:abstractNumId w:val="51"/>
  </w:num>
  <w:num w:numId="125">
    <w:abstractNumId w:val="163"/>
  </w:num>
  <w:num w:numId="126">
    <w:abstractNumId w:val="17"/>
  </w:num>
  <w:num w:numId="127">
    <w:abstractNumId w:val="16"/>
  </w:num>
  <w:num w:numId="128">
    <w:abstractNumId w:val="5"/>
  </w:num>
  <w:num w:numId="129">
    <w:abstractNumId w:val="158"/>
  </w:num>
  <w:num w:numId="130">
    <w:abstractNumId w:val="128"/>
  </w:num>
  <w:num w:numId="131">
    <w:abstractNumId w:val="153"/>
  </w:num>
  <w:num w:numId="132">
    <w:abstractNumId w:val="135"/>
  </w:num>
  <w:num w:numId="133">
    <w:abstractNumId w:val="38"/>
  </w:num>
  <w:num w:numId="134">
    <w:abstractNumId w:val="70"/>
  </w:num>
  <w:num w:numId="135">
    <w:abstractNumId w:val="74"/>
  </w:num>
  <w:num w:numId="136">
    <w:abstractNumId w:val="102"/>
  </w:num>
  <w:num w:numId="137">
    <w:abstractNumId w:val="55"/>
  </w:num>
  <w:num w:numId="138">
    <w:abstractNumId w:val="105"/>
  </w:num>
  <w:num w:numId="139">
    <w:abstractNumId w:val="104"/>
  </w:num>
  <w:num w:numId="140">
    <w:abstractNumId w:val="8"/>
  </w:num>
  <w:num w:numId="141">
    <w:abstractNumId w:val="20"/>
  </w:num>
  <w:num w:numId="142">
    <w:abstractNumId w:val="117"/>
  </w:num>
  <w:num w:numId="143">
    <w:abstractNumId w:val="141"/>
  </w:num>
  <w:num w:numId="144">
    <w:abstractNumId w:val="47"/>
  </w:num>
  <w:num w:numId="145">
    <w:abstractNumId w:val="140"/>
  </w:num>
  <w:num w:numId="146">
    <w:abstractNumId w:val="157"/>
  </w:num>
  <w:num w:numId="147">
    <w:abstractNumId w:val="146"/>
  </w:num>
  <w:num w:numId="148">
    <w:abstractNumId w:val="113"/>
  </w:num>
  <w:num w:numId="149">
    <w:abstractNumId w:val="87"/>
  </w:num>
  <w:num w:numId="150">
    <w:abstractNumId w:val="147"/>
  </w:num>
  <w:num w:numId="151">
    <w:abstractNumId w:val="75"/>
  </w:num>
  <w:num w:numId="152">
    <w:abstractNumId w:val="24"/>
  </w:num>
  <w:num w:numId="153">
    <w:abstractNumId w:val="94"/>
  </w:num>
  <w:num w:numId="154">
    <w:abstractNumId w:val="50"/>
  </w:num>
  <w:num w:numId="155">
    <w:abstractNumId w:val="46"/>
  </w:num>
  <w:num w:numId="156">
    <w:abstractNumId w:val="151"/>
  </w:num>
  <w:num w:numId="157">
    <w:abstractNumId w:val="122"/>
  </w:num>
  <w:num w:numId="158">
    <w:abstractNumId w:val="9"/>
  </w:num>
  <w:num w:numId="159">
    <w:abstractNumId w:val="111"/>
  </w:num>
  <w:num w:numId="160">
    <w:abstractNumId w:val="35"/>
  </w:num>
  <w:num w:numId="161">
    <w:abstractNumId w:val="129"/>
  </w:num>
  <w:num w:numId="162">
    <w:abstractNumId w:val="97"/>
  </w:num>
  <w:num w:numId="163">
    <w:abstractNumId w:val="44"/>
  </w:num>
  <w:num w:numId="164">
    <w:abstractNumId w:val="4"/>
  </w:num>
  <w:num w:numId="165">
    <w:abstractNumId w:val="34"/>
  </w:num>
  <w:num w:numId="166">
    <w:abstractNumId w:val="148"/>
  </w:num>
  <w:num w:numId="167">
    <w:abstractNumId w:val="72"/>
  </w:num>
  <w:num w:numId="168">
    <w:abstractNumId w:val="48"/>
  </w:num>
  <w:num w:numId="169">
    <w:abstractNumId w:val="15"/>
  </w:num>
  <w:num w:numId="170">
    <w:abstractNumId w:val="143"/>
  </w:num>
  <w:num w:numId="171">
    <w:abstractNumId w:val="39"/>
  </w:num>
  <w:num w:numId="172">
    <w:abstractNumId w:val="136"/>
  </w:num>
  <w:num w:numId="173">
    <w:abstractNumId w:val="137"/>
  </w:num>
  <w:num w:numId="174">
    <w:abstractNumId w:val="81"/>
  </w:num>
  <w:num w:numId="175">
    <w:abstractNumId w:val="71"/>
  </w:num>
  <w:num w:numId="176">
    <w:abstractNumId w:val="57"/>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41298"/>
    <w:rsid w:val="00041BEE"/>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87D72"/>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09A1"/>
    <w:rsid w:val="00112770"/>
    <w:rsid w:val="00113CF4"/>
    <w:rsid w:val="00114E9A"/>
    <w:rsid w:val="00115374"/>
    <w:rsid w:val="001153EA"/>
    <w:rsid w:val="00115643"/>
    <w:rsid w:val="00116161"/>
    <w:rsid w:val="00116765"/>
    <w:rsid w:val="001179AE"/>
    <w:rsid w:val="00117C69"/>
    <w:rsid w:val="001213B6"/>
    <w:rsid w:val="001219F5"/>
    <w:rsid w:val="00121A20"/>
    <w:rsid w:val="0012377F"/>
    <w:rsid w:val="00124314"/>
    <w:rsid w:val="001245C8"/>
    <w:rsid w:val="00126B4A"/>
    <w:rsid w:val="00127960"/>
    <w:rsid w:val="0013285B"/>
    <w:rsid w:val="00132F8D"/>
    <w:rsid w:val="00132FD0"/>
    <w:rsid w:val="00133E59"/>
    <w:rsid w:val="001344C0"/>
    <w:rsid w:val="001346FA"/>
    <w:rsid w:val="00135252"/>
    <w:rsid w:val="00137AB5"/>
    <w:rsid w:val="00137C03"/>
    <w:rsid w:val="00137F0B"/>
    <w:rsid w:val="0014269A"/>
    <w:rsid w:val="00143FA9"/>
    <w:rsid w:val="00144801"/>
    <w:rsid w:val="00145C64"/>
    <w:rsid w:val="00151E23"/>
    <w:rsid w:val="001526E0"/>
    <w:rsid w:val="00152BEB"/>
    <w:rsid w:val="00153836"/>
    <w:rsid w:val="001548D7"/>
    <w:rsid w:val="001551B5"/>
    <w:rsid w:val="00155D48"/>
    <w:rsid w:val="00156AE4"/>
    <w:rsid w:val="0016091D"/>
    <w:rsid w:val="00162665"/>
    <w:rsid w:val="0016399D"/>
    <w:rsid w:val="001652CA"/>
    <w:rsid w:val="001659C1"/>
    <w:rsid w:val="0016738B"/>
    <w:rsid w:val="00171286"/>
    <w:rsid w:val="001720A2"/>
    <w:rsid w:val="00173A8E"/>
    <w:rsid w:val="0017502C"/>
    <w:rsid w:val="0017732B"/>
    <w:rsid w:val="0018143F"/>
    <w:rsid w:val="00181FF8"/>
    <w:rsid w:val="00183C44"/>
    <w:rsid w:val="00183F94"/>
    <w:rsid w:val="00186D90"/>
    <w:rsid w:val="00190AC1"/>
    <w:rsid w:val="00192BBC"/>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C121D"/>
    <w:rsid w:val="001C1CE5"/>
    <w:rsid w:val="001C3766"/>
    <w:rsid w:val="001C3D2A"/>
    <w:rsid w:val="001C695B"/>
    <w:rsid w:val="001C6DA6"/>
    <w:rsid w:val="001D4556"/>
    <w:rsid w:val="001D51BA"/>
    <w:rsid w:val="001D53E7"/>
    <w:rsid w:val="001D619E"/>
    <w:rsid w:val="001D6342"/>
    <w:rsid w:val="001D662B"/>
    <w:rsid w:val="001D6D53"/>
    <w:rsid w:val="001E27A0"/>
    <w:rsid w:val="001E57DE"/>
    <w:rsid w:val="001E58E2"/>
    <w:rsid w:val="001E7AED"/>
    <w:rsid w:val="001E7F6F"/>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3051B"/>
    <w:rsid w:val="00230765"/>
    <w:rsid w:val="00230D18"/>
    <w:rsid w:val="0023107B"/>
    <w:rsid w:val="002319E4"/>
    <w:rsid w:val="00235296"/>
    <w:rsid w:val="00235632"/>
    <w:rsid w:val="00235872"/>
    <w:rsid w:val="002377FD"/>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34B2"/>
    <w:rsid w:val="002D458F"/>
    <w:rsid w:val="002D48B0"/>
    <w:rsid w:val="002D49D7"/>
    <w:rsid w:val="002D4E6C"/>
    <w:rsid w:val="002D5B37"/>
    <w:rsid w:val="002D7637"/>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42D0"/>
    <w:rsid w:val="0030501F"/>
    <w:rsid w:val="00307BA1"/>
    <w:rsid w:val="0031141F"/>
    <w:rsid w:val="00311702"/>
    <w:rsid w:val="00311E82"/>
    <w:rsid w:val="003131C5"/>
    <w:rsid w:val="0031326A"/>
    <w:rsid w:val="00313FD6"/>
    <w:rsid w:val="003143BD"/>
    <w:rsid w:val="00315363"/>
    <w:rsid w:val="00315909"/>
    <w:rsid w:val="003203ED"/>
    <w:rsid w:val="003206AC"/>
    <w:rsid w:val="0032229E"/>
    <w:rsid w:val="00322C9F"/>
    <w:rsid w:val="00323520"/>
    <w:rsid w:val="0032493C"/>
    <w:rsid w:val="00324D23"/>
    <w:rsid w:val="003251A7"/>
    <w:rsid w:val="00325C8C"/>
    <w:rsid w:val="003273E3"/>
    <w:rsid w:val="00327E2E"/>
    <w:rsid w:val="00331276"/>
    <w:rsid w:val="00331552"/>
    <w:rsid w:val="00331751"/>
    <w:rsid w:val="00331DDE"/>
    <w:rsid w:val="00334579"/>
    <w:rsid w:val="00335858"/>
    <w:rsid w:val="00336BDA"/>
    <w:rsid w:val="00337707"/>
    <w:rsid w:val="00337E2C"/>
    <w:rsid w:val="003420C4"/>
    <w:rsid w:val="00342BD7"/>
    <w:rsid w:val="003449B2"/>
    <w:rsid w:val="00344BC8"/>
    <w:rsid w:val="0034519A"/>
    <w:rsid w:val="00345E74"/>
    <w:rsid w:val="00346DB5"/>
    <w:rsid w:val="003472C2"/>
    <w:rsid w:val="003477B1"/>
    <w:rsid w:val="0035010D"/>
    <w:rsid w:val="003503FA"/>
    <w:rsid w:val="00350F7B"/>
    <w:rsid w:val="00351063"/>
    <w:rsid w:val="00352077"/>
    <w:rsid w:val="00353360"/>
    <w:rsid w:val="003556C7"/>
    <w:rsid w:val="00355CA5"/>
    <w:rsid w:val="003571E0"/>
    <w:rsid w:val="00357380"/>
    <w:rsid w:val="00357CD5"/>
    <w:rsid w:val="003602D9"/>
    <w:rsid w:val="003604CE"/>
    <w:rsid w:val="00360F7A"/>
    <w:rsid w:val="0036488D"/>
    <w:rsid w:val="00370E47"/>
    <w:rsid w:val="003742AC"/>
    <w:rsid w:val="00377CE1"/>
    <w:rsid w:val="00377D21"/>
    <w:rsid w:val="00380A39"/>
    <w:rsid w:val="00385BF0"/>
    <w:rsid w:val="00385EAB"/>
    <w:rsid w:val="00386025"/>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6CF3"/>
    <w:rsid w:val="003C6EE9"/>
    <w:rsid w:val="003C7806"/>
    <w:rsid w:val="003D109F"/>
    <w:rsid w:val="003D2478"/>
    <w:rsid w:val="003D27C6"/>
    <w:rsid w:val="003D3C45"/>
    <w:rsid w:val="003D4C80"/>
    <w:rsid w:val="003D5B1F"/>
    <w:rsid w:val="003D79CE"/>
    <w:rsid w:val="003E0FAA"/>
    <w:rsid w:val="003E15FA"/>
    <w:rsid w:val="003E1705"/>
    <w:rsid w:val="003E2EA2"/>
    <w:rsid w:val="003E55E4"/>
    <w:rsid w:val="003E74E3"/>
    <w:rsid w:val="003E7856"/>
    <w:rsid w:val="003F05C7"/>
    <w:rsid w:val="003F2C43"/>
    <w:rsid w:val="003F2CD4"/>
    <w:rsid w:val="003F6BBE"/>
    <w:rsid w:val="004000E8"/>
    <w:rsid w:val="00400380"/>
    <w:rsid w:val="004015C1"/>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6645"/>
    <w:rsid w:val="0045684E"/>
    <w:rsid w:val="00457565"/>
    <w:rsid w:val="00457B71"/>
    <w:rsid w:val="004611AB"/>
    <w:rsid w:val="00461E30"/>
    <w:rsid w:val="004641B0"/>
    <w:rsid w:val="00464689"/>
    <w:rsid w:val="004664B6"/>
    <w:rsid w:val="004669E2"/>
    <w:rsid w:val="00466D98"/>
    <w:rsid w:val="0046710F"/>
    <w:rsid w:val="00470C31"/>
    <w:rsid w:val="00471DE0"/>
    <w:rsid w:val="004734D0"/>
    <w:rsid w:val="0047556B"/>
    <w:rsid w:val="00475CB3"/>
    <w:rsid w:val="00477768"/>
    <w:rsid w:val="004841FB"/>
    <w:rsid w:val="00486A9F"/>
    <w:rsid w:val="00487CD0"/>
    <w:rsid w:val="00491982"/>
    <w:rsid w:val="004925D7"/>
    <w:rsid w:val="00492BC5"/>
    <w:rsid w:val="004964F1"/>
    <w:rsid w:val="004A06C1"/>
    <w:rsid w:val="004A0F26"/>
    <w:rsid w:val="004A16BC"/>
    <w:rsid w:val="004A2B94"/>
    <w:rsid w:val="004A2F3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36B1"/>
    <w:rsid w:val="004D6973"/>
    <w:rsid w:val="004D7EBD"/>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75C1"/>
    <w:rsid w:val="0052054A"/>
    <w:rsid w:val="005219CF"/>
    <w:rsid w:val="005227CD"/>
    <w:rsid w:val="00522CBB"/>
    <w:rsid w:val="00530CE9"/>
    <w:rsid w:val="00531D45"/>
    <w:rsid w:val="00534B59"/>
    <w:rsid w:val="00536759"/>
    <w:rsid w:val="00536D80"/>
    <w:rsid w:val="0053706E"/>
    <w:rsid w:val="00537862"/>
    <w:rsid w:val="00537C62"/>
    <w:rsid w:val="005423CB"/>
    <w:rsid w:val="00542D4A"/>
    <w:rsid w:val="00543364"/>
    <w:rsid w:val="00543E3B"/>
    <w:rsid w:val="00544169"/>
    <w:rsid w:val="00544524"/>
    <w:rsid w:val="00546970"/>
    <w:rsid w:val="005507B8"/>
    <w:rsid w:val="00550E49"/>
    <w:rsid w:val="00550EB1"/>
    <w:rsid w:val="0055222F"/>
    <w:rsid w:val="005530A0"/>
    <w:rsid w:val="00553AF8"/>
    <w:rsid w:val="00554E19"/>
    <w:rsid w:val="00556C3B"/>
    <w:rsid w:val="0056121F"/>
    <w:rsid w:val="005620A5"/>
    <w:rsid w:val="00562226"/>
    <w:rsid w:val="005622A9"/>
    <w:rsid w:val="00563F8B"/>
    <w:rsid w:val="00566FD1"/>
    <w:rsid w:val="005673D3"/>
    <w:rsid w:val="00572505"/>
    <w:rsid w:val="0057335F"/>
    <w:rsid w:val="00573F9C"/>
    <w:rsid w:val="00574E58"/>
    <w:rsid w:val="00574FB5"/>
    <w:rsid w:val="0057589A"/>
    <w:rsid w:val="00582809"/>
    <w:rsid w:val="00583056"/>
    <w:rsid w:val="005830F0"/>
    <w:rsid w:val="00584FFA"/>
    <w:rsid w:val="005853A8"/>
    <w:rsid w:val="005855E8"/>
    <w:rsid w:val="00585EE6"/>
    <w:rsid w:val="0058798C"/>
    <w:rsid w:val="005900FA"/>
    <w:rsid w:val="00591F0A"/>
    <w:rsid w:val="00592E2D"/>
    <w:rsid w:val="005935A4"/>
    <w:rsid w:val="005948C2"/>
    <w:rsid w:val="00595DCA"/>
    <w:rsid w:val="0059779B"/>
    <w:rsid w:val="00597EB9"/>
    <w:rsid w:val="005A065E"/>
    <w:rsid w:val="005A209A"/>
    <w:rsid w:val="005A2B1C"/>
    <w:rsid w:val="005A57E4"/>
    <w:rsid w:val="005A662D"/>
    <w:rsid w:val="005B02E1"/>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2F05"/>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7A75"/>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5D16"/>
    <w:rsid w:val="006771F9"/>
    <w:rsid w:val="006776D7"/>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21A3"/>
    <w:rsid w:val="006A30A0"/>
    <w:rsid w:val="006A46FB"/>
    <w:rsid w:val="006A476E"/>
    <w:rsid w:val="006A4D6A"/>
    <w:rsid w:val="006A5E28"/>
    <w:rsid w:val="006A697B"/>
    <w:rsid w:val="006A75BE"/>
    <w:rsid w:val="006A7AFF"/>
    <w:rsid w:val="006B1816"/>
    <w:rsid w:val="006B2099"/>
    <w:rsid w:val="006B219F"/>
    <w:rsid w:val="006B2AF3"/>
    <w:rsid w:val="006B4A5F"/>
    <w:rsid w:val="006B4D27"/>
    <w:rsid w:val="006B50CF"/>
    <w:rsid w:val="006B5999"/>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E39"/>
    <w:rsid w:val="006E565E"/>
    <w:rsid w:val="006E673D"/>
    <w:rsid w:val="006E7D3B"/>
    <w:rsid w:val="006F1B70"/>
    <w:rsid w:val="006F3207"/>
    <w:rsid w:val="006F341D"/>
    <w:rsid w:val="006F3815"/>
    <w:rsid w:val="006F3CDE"/>
    <w:rsid w:val="006F4D48"/>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57D0"/>
    <w:rsid w:val="00726073"/>
    <w:rsid w:val="00726EA6"/>
    <w:rsid w:val="00727208"/>
    <w:rsid w:val="0072720F"/>
    <w:rsid w:val="00727680"/>
    <w:rsid w:val="00730C1D"/>
    <w:rsid w:val="007319D9"/>
    <w:rsid w:val="007348B1"/>
    <w:rsid w:val="00735BC5"/>
    <w:rsid w:val="007362A6"/>
    <w:rsid w:val="00736D7D"/>
    <w:rsid w:val="00740E58"/>
    <w:rsid w:val="00743DEB"/>
    <w:rsid w:val="00744493"/>
    <w:rsid w:val="007445A0"/>
    <w:rsid w:val="0074524B"/>
    <w:rsid w:val="007456B2"/>
    <w:rsid w:val="00745742"/>
    <w:rsid w:val="007468A0"/>
    <w:rsid w:val="00747D8B"/>
    <w:rsid w:val="00751228"/>
    <w:rsid w:val="007541EE"/>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29A"/>
    <w:rsid w:val="00793CD8"/>
    <w:rsid w:val="0079409B"/>
    <w:rsid w:val="007954CD"/>
    <w:rsid w:val="00795C92"/>
    <w:rsid w:val="00796231"/>
    <w:rsid w:val="007974E3"/>
    <w:rsid w:val="007A1CB3"/>
    <w:rsid w:val="007A306F"/>
    <w:rsid w:val="007A3D4E"/>
    <w:rsid w:val="007A43A6"/>
    <w:rsid w:val="007A4EA9"/>
    <w:rsid w:val="007A58A6"/>
    <w:rsid w:val="007A6062"/>
    <w:rsid w:val="007B2419"/>
    <w:rsid w:val="007B3123"/>
    <w:rsid w:val="007B3BA9"/>
    <w:rsid w:val="007B3D2D"/>
    <w:rsid w:val="007B3E37"/>
    <w:rsid w:val="007B49CD"/>
    <w:rsid w:val="007B4DF4"/>
    <w:rsid w:val="007B50AE"/>
    <w:rsid w:val="007B51DF"/>
    <w:rsid w:val="007B5450"/>
    <w:rsid w:val="007B6F5E"/>
    <w:rsid w:val="007B73F8"/>
    <w:rsid w:val="007C05DD"/>
    <w:rsid w:val="007C240F"/>
    <w:rsid w:val="007C2586"/>
    <w:rsid w:val="007C3D18"/>
    <w:rsid w:val="007C5D77"/>
    <w:rsid w:val="007C5D8E"/>
    <w:rsid w:val="007C60BF"/>
    <w:rsid w:val="007C6636"/>
    <w:rsid w:val="007C6A07"/>
    <w:rsid w:val="007C75A1"/>
    <w:rsid w:val="007C77A5"/>
    <w:rsid w:val="007D04E5"/>
    <w:rsid w:val="007D0823"/>
    <w:rsid w:val="007D1D3C"/>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F16B7"/>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E47"/>
    <w:rsid w:val="00817F7E"/>
    <w:rsid w:val="00820F30"/>
    <w:rsid w:val="008212AC"/>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9B2"/>
    <w:rsid w:val="008444E8"/>
    <w:rsid w:val="008448BA"/>
    <w:rsid w:val="00844E80"/>
    <w:rsid w:val="00845942"/>
    <w:rsid w:val="00846FE7"/>
    <w:rsid w:val="00854439"/>
    <w:rsid w:val="008546E8"/>
    <w:rsid w:val="00856911"/>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41E3"/>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5A55"/>
    <w:rsid w:val="008D6D1A"/>
    <w:rsid w:val="008E065E"/>
    <w:rsid w:val="008E0927"/>
    <w:rsid w:val="008E1909"/>
    <w:rsid w:val="008E4D37"/>
    <w:rsid w:val="008E64C2"/>
    <w:rsid w:val="008F0A0B"/>
    <w:rsid w:val="008F1C4E"/>
    <w:rsid w:val="008F1EAB"/>
    <w:rsid w:val="008F2F5B"/>
    <w:rsid w:val="008F33DC"/>
    <w:rsid w:val="008F477F"/>
    <w:rsid w:val="008F4EB4"/>
    <w:rsid w:val="008F5C37"/>
    <w:rsid w:val="009015DE"/>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783E"/>
    <w:rsid w:val="00930B0E"/>
    <w:rsid w:val="00931BD9"/>
    <w:rsid w:val="0093250D"/>
    <w:rsid w:val="009368F3"/>
    <w:rsid w:val="00937258"/>
    <w:rsid w:val="0094016C"/>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4EE"/>
    <w:rsid w:val="0095681E"/>
    <w:rsid w:val="009572D4"/>
    <w:rsid w:val="00961921"/>
    <w:rsid w:val="009636ED"/>
    <w:rsid w:val="00963E0C"/>
    <w:rsid w:val="0096430A"/>
    <w:rsid w:val="0096458B"/>
    <w:rsid w:val="00964C39"/>
    <w:rsid w:val="0096554B"/>
    <w:rsid w:val="0096584A"/>
    <w:rsid w:val="009661CB"/>
    <w:rsid w:val="00967461"/>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D0D"/>
    <w:rsid w:val="009B7E87"/>
    <w:rsid w:val="009C0169"/>
    <w:rsid w:val="009C1288"/>
    <w:rsid w:val="009C1A21"/>
    <w:rsid w:val="009C1D02"/>
    <w:rsid w:val="009C403E"/>
    <w:rsid w:val="009C4304"/>
    <w:rsid w:val="009C6681"/>
    <w:rsid w:val="009D3D19"/>
    <w:rsid w:val="009D41DA"/>
    <w:rsid w:val="009D4FF0"/>
    <w:rsid w:val="009D571E"/>
    <w:rsid w:val="009D5A30"/>
    <w:rsid w:val="009D703C"/>
    <w:rsid w:val="009D709C"/>
    <w:rsid w:val="009D718F"/>
    <w:rsid w:val="009E068F"/>
    <w:rsid w:val="009E1139"/>
    <w:rsid w:val="009E14E0"/>
    <w:rsid w:val="009E35DB"/>
    <w:rsid w:val="009E47A3"/>
    <w:rsid w:val="009E5A5F"/>
    <w:rsid w:val="009F08F3"/>
    <w:rsid w:val="009F2E00"/>
    <w:rsid w:val="009F2E34"/>
    <w:rsid w:val="009F344F"/>
    <w:rsid w:val="009F46D3"/>
    <w:rsid w:val="00A0016E"/>
    <w:rsid w:val="00A002F1"/>
    <w:rsid w:val="00A031D8"/>
    <w:rsid w:val="00A034F5"/>
    <w:rsid w:val="00A038D9"/>
    <w:rsid w:val="00A03F03"/>
    <w:rsid w:val="00A048A8"/>
    <w:rsid w:val="00A04F49"/>
    <w:rsid w:val="00A11E91"/>
    <w:rsid w:val="00A13E54"/>
    <w:rsid w:val="00A163EE"/>
    <w:rsid w:val="00A17AFC"/>
    <w:rsid w:val="00A17F63"/>
    <w:rsid w:val="00A2193B"/>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2E1D"/>
    <w:rsid w:val="00A53815"/>
    <w:rsid w:val="00A560F5"/>
    <w:rsid w:val="00A61499"/>
    <w:rsid w:val="00A6164D"/>
    <w:rsid w:val="00A62A77"/>
    <w:rsid w:val="00A62E7E"/>
    <w:rsid w:val="00A63483"/>
    <w:rsid w:val="00A63D0C"/>
    <w:rsid w:val="00A643C2"/>
    <w:rsid w:val="00A657D7"/>
    <w:rsid w:val="00A660AC"/>
    <w:rsid w:val="00A67E6C"/>
    <w:rsid w:val="00A71167"/>
    <w:rsid w:val="00A71B2E"/>
    <w:rsid w:val="00A71B99"/>
    <w:rsid w:val="00A72A61"/>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A016F"/>
    <w:rsid w:val="00AA15EA"/>
    <w:rsid w:val="00AA1ED6"/>
    <w:rsid w:val="00AA3116"/>
    <w:rsid w:val="00AA51D6"/>
    <w:rsid w:val="00AA6C61"/>
    <w:rsid w:val="00AB06FF"/>
    <w:rsid w:val="00AB0BC8"/>
    <w:rsid w:val="00AB11CA"/>
    <w:rsid w:val="00AB14D9"/>
    <w:rsid w:val="00AB4AB8"/>
    <w:rsid w:val="00AB655E"/>
    <w:rsid w:val="00AB6D3E"/>
    <w:rsid w:val="00AC007F"/>
    <w:rsid w:val="00AC19C6"/>
    <w:rsid w:val="00AC1B64"/>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BB4"/>
    <w:rsid w:val="00AE1E07"/>
    <w:rsid w:val="00AE2144"/>
    <w:rsid w:val="00AE27AC"/>
    <w:rsid w:val="00AE40E0"/>
    <w:rsid w:val="00AE4DBA"/>
    <w:rsid w:val="00AE4F07"/>
    <w:rsid w:val="00AE6325"/>
    <w:rsid w:val="00AF1C5D"/>
    <w:rsid w:val="00AF3BF7"/>
    <w:rsid w:val="00AF42D7"/>
    <w:rsid w:val="00AF5366"/>
    <w:rsid w:val="00AF64B9"/>
    <w:rsid w:val="00AF67D1"/>
    <w:rsid w:val="00B006FE"/>
    <w:rsid w:val="00B007CB"/>
    <w:rsid w:val="00B010DA"/>
    <w:rsid w:val="00B01507"/>
    <w:rsid w:val="00B026F9"/>
    <w:rsid w:val="00B02AA9"/>
    <w:rsid w:val="00B02FA3"/>
    <w:rsid w:val="00B04B65"/>
    <w:rsid w:val="00B05084"/>
    <w:rsid w:val="00B06AD2"/>
    <w:rsid w:val="00B07BF2"/>
    <w:rsid w:val="00B07D32"/>
    <w:rsid w:val="00B121F3"/>
    <w:rsid w:val="00B14616"/>
    <w:rsid w:val="00B1550A"/>
    <w:rsid w:val="00B157F9"/>
    <w:rsid w:val="00B20256"/>
    <w:rsid w:val="00B204F8"/>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51C96"/>
    <w:rsid w:val="00B51CB8"/>
    <w:rsid w:val="00B51D79"/>
    <w:rsid w:val="00B520AB"/>
    <w:rsid w:val="00B548B7"/>
    <w:rsid w:val="00B575E5"/>
    <w:rsid w:val="00B57B16"/>
    <w:rsid w:val="00B60228"/>
    <w:rsid w:val="00B642EA"/>
    <w:rsid w:val="00B664C7"/>
    <w:rsid w:val="00B67AB7"/>
    <w:rsid w:val="00B705B3"/>
    <w:rsid w:val="00B70D91"/>
    <w:rsid w:val="00B72426"/>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886"/>
    <w:rsid w:val="00BC3D78"/>
    <w:rsid w:val="00BC4D2E"/>
    <w:rsid w:val="00BC6D0A"/>
    <w:rsid w:val="00BC6FF0"/>
    <w:rsid w:val="00BD368E"/>
    <w:rsid w:val="00BD4244"/>
    <w:rsid w:val="00BD48AC"/>
    <w:rsid w:val="00BD5F1A"/>
    <w:rsid w:val="00BD785B"/>
    <w:rsid w:val="00BD7E30"/>
    <w:rsid w:val="00BE045A"/>
    <w:rsid w:val="00BE0B29"/>
    <w:rsid w:val="00BE1234"/>
    <w:rsid w:val="00BE151F"/>
    <w:rsid w:val="00BE2FA6"/>
    <w:rsid w:val="00BE333F"/>
    <w:rsid w:val="00BE49E0"/>
    <w:rsid w:val="00BE6B91"/>
    <w:rsid w:val="00BE7406"/>
    <w:rsid w:val="00BE7603"/>
    <w:rsid w:val="00BF03EF"/>
    <w:rsid w:val="00BF078F"/>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375A"/>
    <w:rsid w:val="00C36C3F"/>
    <w:rsid w:val="00C3719D"/>
    <w:rsid w:val="00C37CB2"/>
    <w:rsid w:val="00C40D65"/>
    <w:rsid w:val="00C40F8B"/>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AD"/>
    <w:rsid w:val="00C75224"/>
    <w:rsid w:val="00C75D2F"/>
    <w:rsid w:val="00C76186"/>
    <w:rsid w:val="00C767BE"/>
    <w:rsid w:val="00C76E3C"/>
    <w:rsid w:val="00C770C1"/>
    <w:rsid w:val="00C81568"/>
    <w:rsid w:val="00C84B4F"/>
    <w:rsid w:val="00C85B13"/>
    <w:rsid w:val="00C86D45"/>
    <w:rsid w:val="00C9027A"/>
    <w:rsid w:val="00C9068E"/>
    <w:rsid w:val="00C93814"/>
    <w:rsid w:val="00C93C4B"/>
    <w:rsid w:val="00C944AB"/>
    <w:rsid w:val="00C95742"/>
    <w:rsid w:val="00C95B40"/>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0D35"/>
    <w:rsid w:val="00D020F8"/>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50658"/>
    <w:rsid w:val="00D52023"/>
    <w:rsid w:val="00D52AB0"/>
    <w:rsid w:val="00D546FF"/>
    <w:rsid w:val="00D552A0"/>
    <w:rsid w:val="00D555CB"/>
    <w:rsid w:val="00D55AD5"/>
    <w:rsid w:val="00D55F18"/>
    <w:rsid w:val="00D564D4"/>
    <w:rsid w:val="00D56FCB"/>
    <w:rsid w:val="00D576CA"/>
    <w:rsid w:val="00D61AF5"/>
    <w:rsid w:val="00D623D2"/>
    <w:rsid w:val="00D652B5"/>
    <w:rsid w:val="00D66155"/>
    <w:rsid w:val="00D66BB5"/>
    <w:rsid w:val="00D708B0"/>
    <w:rsid w:val="00D71402"/>
    <w:rsid w:val="00D72AD8"/>
    <w:rsid w:val="00D72E98"/>
    <w:rsid w:val="00D75019"/>
    <w:rsid w:val="00D75612"/>
    <w:rsid w:val="00D765BB"/>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305E"/>
    <w:rsid w:val="00DA5417"/>
    <w:rsid w:val="00DA56E8"/>
    <w:rsid w:val="00DA57D0"/>
    <w:rsid w:val="00DB03D2"/>
    <w:rsid w:val="00DB0A9F"/>
    <w:rsid w:val="00DB377D"/>
    <w:rsid w:val="00DB7444"/>
    <w:rsid w:val="00DC1019"/>
    <w:rsid w:val="00DC2298"/>
    <w:rsid w:val="00DC2D36"/>
    <w:rsid w:val="00DC4521"/>
    <w:rsid w:val="00DC53EF"/>
    <w:rsid w:val="00DC70ED"/>
    <w:rsid w:val="00DD15D4"/>
    <w:rsid w:val="00DD20D7"/>
    <w:rsid w:val="00DD2EFE"/>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27A13"/>
    <w:rsid w:val="00E30B5A"/>
    <w:rsid w:val="00E3123D"/>
    <w:rsid w:val="00E31451"/>
    <w:rsid w:val="00E31461"/>
    <w:rsid w:val="00E31A56"/>
    <w:rsid w:val="00E31D43"/>
    <w:rsid w:val="00E32608"/>
    <w:rsid w:val="00E34188"/>
    <w:rsid w:val="00E34B6E"/>
    <w:rsid w:val="00E35559"/>
    <w:rsid w:val="00E3723A"/>
    <w:rsid w:val="00E37860"/>
    <w:rsid w:val="00E379D1"/>
    <w:rsid w:val="00E37F53"/>
    <w:rsid w:val="00E44504"/>
    <w:rsid w:val="00E446F1"/>
    <w:rsid w:val="00E450E5"/>
    <w:rsid w:val="00E466B6"/>
    <w:rsid w:val="00E46886"/>
    <w:rsid w:val="00E476BF"/>
    <w:rsid w:val="00E47A56"/>
    <w:rsid w:val="00E47AEF"/>
    <w:rsid w:val="00E5043D"/>
    <w:rsid w:val="00E525AF"/>
    <w:rsid w:val="00E53B75"/>
    <w:rsid w:val="00E54E3B"/>
    <w:rsid w:val="00E57565"/>
    <w:rsid w:val="00E631C1"/>
    <w:rsid w:val="00E63261"/>
    <w:rsid w:val="00E63838"/>
    <w:rsid w:val="00E64434"/>
    <w:rsid w:val="00E64B5A"/>
    <w:rsid w:val="00E66FF0"/>
    <w:rsid w:val="00E67C51"/>
    <w:rsid w:val="00E72EFC"/>
    <w:rsid w:val="00E75404"/>
    <w:rsid w:val="00E758EC"/>
    <w:rsid w:val="00E76119"/>
    <w:rsid w:val="00E8234C"/>
    <w:rsid w:val="00E83AA9"/>
    <w:rsid w:val="00E85928"/>
    <w:rsid w:val="00E86F64"/>
    <w:rsid w:val="00E87822"/>
    <w:rsid w:val="00E90395"/>
    <w:rsid w:val="00E90E49"/>
    <w:rsid w:val="00E917F9"/>
    <w:rsid w:val="00E9291C"/>
    <w:rsid w:val="00E93FFE"/>
    <w:rsid w:val="00E94268"/>
    <w:rsid w:val="00E94F8A"/>
    <w:rsid w:val="00E967E8"/>
    <w:rsid w:val="00EA17BD"/>
    <w:rsid w:val="00EA32D9"/>
    <w:rsid w:val="00EA5A87"/>
    <w:rsid w:val="00EA5B07"/>
    <w:rsid w:val="00EA7A41"/>
    <w:rsid w:val="00EA7E4D"/>
    <w:rsid w:val="00EB077B"/>
    <w:rsid w:val="00EB3DC3"/>
    <w:rsid w:val="00EB4EA2"/>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E6223"/>
    <w:rsid w:val="00EE65C0"/>
    <w:rsid w:val="00EF18FE"/>
    <w:rsid w:val="00EF5787"/>
    <w:rsid w:val="00EF59A6"/>
    <w:rsid w:val="00EF60D0"/>
    <w:rsid w:val="00F0100A"/>
    <w:rsid w:val="00F01B7D"/>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D8"/>
    <w:rsid w:val="00F272F9"/>
    <w:rsid w:val="00F274DA"/>
    <w:rsid w:val="00F30828"/>
    <w:rsid w:val="00F30C18"/>
    <w:rsid w:val="00F313D6"/>
    <w:rsid w:val="00F37B91"/>
    <w:rsid w:val="00F40463"/>
    <w:rsid w:val="00F40F0C"/>
    <w:rsid w:val="00F438B8"/>
    <w:rsid w:val="00F43C48"/>
    <w:rsid w:val="00F458AF"/>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4C2B"/>
    <w:rsid w:val="00F651BE"/>
    <w:rsid w:val="00F674B8"/>
    <w:rsid w:val="00F6766A"/>
    <w:rsid w:val="00F67F53"/>
    <w:rsid w:val="00F703BE"/>
    <w:rsid w:val="00F7168F"/>
    <w:rsid w:val="00F71D16"/>
    <w:rsid w:val="00F71F69"/>
    <w:rsid w:val="00F72B72"/>
    <w:rsid w:val="00F72F50"/>
    <w:rsid w:val="00F74BB9"/>
    <w:rsid w:val="00F75582"/>
    <w:rsid w:val="00F75EDE"/>
    <w:rsid w:val="00F76EFA"/>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5A"/>
    <w:rsid w:val="00FA5EF2"/>
    <w:rsid w:val="00FA6D8C"/>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5123"/>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
    <w:basedOn w:val="Normal"/>
    <w:next w:val="Normal"/>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hyperlink" Target="http://www.3gpp.org/ftp/TSG_RAN/WG1_RL1/TSGR1_100b_e/Docs/R1-2002174.zip" TargetMode="External"/><Relationship Id="rId26" Type="http://schemas.openxmlformats.org/officeDocument/2006/relationships/hyperlink" Target="https://www.3gpp.org/ftp/tsg_ran/WG1_RL1/TSGR1_100_e/Docs/R1-2001427.zip" TargetMode="External"/><Relationship Id="rId3" Type="http://schemas.openxmlformats.org/officeDocument/2006/relationships/customXml" Target="../customXml/item3.xml"/><Relationship Id="rId21" Type="http://schemas.openxmlformats.org/officeDocument/2006/relationships/hyperlink" Target="http://www.3gpp.org/ftp/TSG_RAN/WG1_RL1/TSGR1_99/Docs/R1-1913612.zip" TargetMode="Externa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hyperlink" Target="http://www.3gpp.org/ftp/TSG_RAN/WG1_RL1/TSGR1_100b_e/Docs/R1-2002174.zip" TargetMode="External"/><Relationship Id="rId25" Type="http://schemas.openxmlformats.org/officeDocument/2006/relationships/hyperlink" Target="http://www.3gpp.org/ftp/TSG_RAN/WG1_RL1/TSGR1_99/Docs/R1-1913615.zip" TargetMode="External"/><Relationship Id="rId2" Type="http://schemas.openxmlformats.org/officeDocument/2006/relationships/customXml" Target="../customXml/item2.xml"/><Relationship Id="rId16" Type="http://schemas.openxmlformats.org/officeDocument/2006/relationships/hyperlink" Target="https://www.3gpp.org/ftp/tsg_ran/WG1_RL1/TSGR1_100_e/Docs/R1-2001214.zip" TargetMode="External"/><Relationship Id="rId20" Type="http://schemas.openxmlformats.org/officeDocument/2006/relationships/hyperlink" Target="http://www.3gpp.org/ftp/TSG_RAN/WG1_RL1/TSGR1_99/Docs/R1-191361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www.3gpp.org/ftp/TSG_RAN/WG1_RL1/TSGR1_99/Docs/R1-1913684.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0_e/Docs/R1-2001086.zip" TargetMode="External"/><Relationship Id="rId23" Type="http://schemas.openxmlformats.org/officeDocument/2006/relationships/hyperlink" Target="http://www.3gpp.org/ftp/TSG_RAN/WG1_RL1/TSGR1_99/Docs/R1-1913614.zip" TargetMode="External"/><Relationship Id="rId28" Type="http://schemas.openxmlformats.org/officeDocument/2006/relationships/hyperlink" Target="https://www.3gpp.org/ftp/tsg_ran/WG1_RL1/TSGR1_100b_e/Docs/R1-2002512.zip" TargetMode="External"/><Relationship Id="rId10" Type="http://schemas.openxmlformats.org/officeDocument/2006/relationships/endnotes" Target="endnotes.xml"/><Relationship Id="rId19" Type="http://schemas.openxmlformats.org/officeDocument/2006/relationships/hyperlink" Target="http://www.3gpp.org/ftp/TSG_RAN/WG1_RL1/TSGR1_100b_e/Docs/R1-200217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99/Docs/R1-1913613.zip" TargetMode="External"/><Relationship Id="rId27" Type="http://schemas.openxmlformats.org/officeDocument/2006/relationships/hyperlink" Target="https://www.3gpp.org/ftp/tsg_ran/WG1_RL1/TSGR1_100_e/Docs/R1-2001431.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F002-5198-417B-8866-4A22093D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E580F1-A3D0-4DB6-A7C1-743FB6F1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37</TotalTime>
  <Pages>4</Pages>
  <Words>1768</Words>
  <Characters>9371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11117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53</cp:revision>
  <cp:lastPrinted>2008-01-31T07:09:00Z</cp:lastPrinted>
  <dcterms:created xsi:type="dcterms:W3CDTF">2020-04-20T10:03:00Z</dcterms:created>
  <dcterms:modified xsi:type="dcterms:W3CDTF">2020-04-22T06:27:00Z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