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0B474" w14:textId="52FA173C" w:rsidR="00A8476E" w:rsidRDefault="00A8476E" w:rsidP="00A8476E">
      <w:pPr>
        <w:pStyle w:val="3GPPHeader"/>
        <w:spacing w:after="60"/>
        <w:rPr>
          <w:sz w:val="32"/>
          <w:szCs w:val="32"/>
          <w:highlight w:val="yellow"/>
        </w:rPr>
      </w:pPr>
      <w:r>
        <w:t>3GPP TSG-RAN WG1 Meeting #100bis-e</w:t>
      </w:r>
      <w:r>
        <w:tab/>
      </w:r>
      <w:r>
        <w:rPr>
          <w:sz w:val="32"/>
          <w:szCs w:val="32"/>
        </w:rPr>
        <w:t>R1-</w:t>
      </w:r>
      <w:r w:rsidR="008C63A1" w:rsidRPr="008C63A1">
        <w:rPr>
          <w:sz w:val="32"/>
          <w:szCs w:val="32"/>
        </w:rPr>
        <w:t>20</w:t>
      </w:r>
      <w:r w:rsidR="00BC3886">
        <w:rPr>
          <w:sz w:val="32"/>
          <w:szCs w:val="32"/>
        </w:rPr>
        <w:t>xxxxx</w:t>
      </w:r>
    </w:p>
    <w:p w14:paraId="700790FE" w14:textId="07978AC5" w:rsidR="00A8476E" w:rsidRDefault="00A8476E" w:rsidP="00A8476E">
      <w:pPr>
        <w:pStyle w:val="3GPPHeader"/>
      </w:pPr>
      <w:bookmarkStart w:id="0" w:name="_Hlk32581729"/>
      <w:r>
        <w:t>e-Meeting, April 20</w:t>
      </w:r>
      <w:r>
        <w:rPr>
          <w:vertAlign w:val="superscript"/>
        </w:rPr>
        <w:t>th</w:t>
      </w:r>
      <w:r>
        <w:t xml:space="preserve"> – 30</w:t>
      </w:r>
      <w:r>
        <w:rPr>
          <w:vertAlign w:val="superscript"/>
        </w:rPr>
        <w:t>th</w:t>
      </w:r>
      <w:r>
        <w:t>, 2020</w:t>
      </w:r>
      <w:bookmarkEnd w:id="0"/>
    </w:p>
    <w:p w14:paraId="0F68A88C" w14:textId="77777777" w:rsidR="00E90E49" w:rsidRPr="00CE0424" w:rsidRDefault="00E90E49" w:rsidP="00357380">
      <w:pPr>
        <w:pStyle w:val="3GPPHeader"/>
      </w:pPr>
    </w:p>
    <w:p w14:paraId="3D16C792" w14:textId="6C2EBEF0"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655C5EEB"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BC3886">
        <w:rPr>
          <w:rFonts w:cs="Arial"/>
          <w:sz w:val="22"/>
          <w:lang w:val="en-US"/>
        </w:rPr>
        <w:t xml:space="preserve"> #2</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Multi-TB scheduling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Heading1"/>
        <w:jc w:val="both"/>
        <w:textAlignment w:val="auto"/>
        <w:rPr>
          <w:lang w:val="en-US"/>
        </w:rPr>
      </w:pPr>
      <w:r>
        <w:rPr>
          <w:lang w:val="en-US"/>
        </w:rPr>
        <w:t>Introduction</w:t>
      </w:r>
    </w:p>
    <w:p w14:paraId="3C038A55" w14:textId="69491175" w:rsidR="00F11F22" w:rsidRDefault="00F11F22" w:rsidP="00F11F22">
      <w:pPr>
        <w:pStyle w:val="BodyText"/>
        <w:rPr>
          <w:rFonts w:cs="Arial"/>
          <w:lang w:val="en-US"/>
        </w:rPr>
      </w:pPr>
      <w:r w:rsidRPr="00F93282">
        <w:rPr>
          <w:rFonts w:cs="Arial"/>
          <w:lang w:val="en-US"/>
        </w:rPr>
        <w:t>In the Rel-16 work item on “Additional MTC enhancements for LTE”</w:t>
      </w:r>
      <w:r>
        <w:rPr>
          <w:rFonts w:cs="Arial"/>
        </w:rPr>
        <w:t xml:space="preserve"> </w:t>
      </w:r>
      <w:r>
        <w:rPr>
          <w:rFonts w:cs="Arial"/>
        </w:rPr>
        <w:fldChar w:fldCharType="begin"/>
      </w:r>
      <w:r>
        <w:rPr>
          <w:rFonts w:cs="Arial"/>
        </w:rPr>
        <w:instrText xml:space="preserve"> REF _Ref189809556 \r \h </w:instrText>
      </w:r>
      <w:r>
        <w:rPr>
          <w:rFonts w:cs="Arial"/>
        </w:rPr>
      </w:r>
      <w:r>
        <w:rPr>
          <w:rFonts w:cs="Arial"/>
        </w:rPr>
        <w:fldChar w:fldCharType="separate"/>
      </w:r>
      <w:r w:rsidR="007954CD">
        <w:rPr>
          <w:rFonts w:cs="Arial"/>
        </w:rPr>
        <w:t>[1]</w:t>
      </w:r>
      <w:r>
        <w:rPr>
          <w:rFonts w:cs="Arial"/>
        </w:rPr>
        <w:fldChar w:fldCharType="end"/>
      </w:r>
      <w:r w:rsidRPr="00F93282">
        <w:rPr>
          <w:rFonts w:cs="Arial"/>
          <w:lang w:val="en-US"/>
        </w:rPr>
        <w:t xml:space="preserve">, one of the objectives is to </w:t>
      </w:r>
      <w:r>
        <w:rPr>
          <w:rFonts w:cs="Arial"/>
          <w:lang w:val="en-US"/>
        </w:rPr>
        <w:t xml:space="preserve">specify </w:t>
      </w:r>
      <w:r w:rsidR="000579B3">
        <w:rPr>
          <w:rFonts w:cs="Arial"/>
          <w:lang w:val="en-US"/>
        </w:rPr>
        <w:t>support for scheduling of multiple DL/UL transport blocks</w:t>
      </w:r>
      <w:r w:rsidRPr="00F93282">
        <w:rPr>
          <w:rFonts w:cs="Arial"/>
          <w:lang w:val="en-US"/>
        </w:rPr>
        <w:t>.</w:t>
      </w:r>
    </w:p>
    <w:tbl>
      <w:tblPr>
        <w:tblStyle w:val="TableGrid"/>
        <w:tblW w:w="0" w:type="auto"/>
        <w:tblLook w:val="04A0" w:firstRow="1" w:lastRow="0" w:firstColumn="1" w:lastColumn="0" w:noHBand="0" w:noVBand="1"/>
      </w:tblPr>
      <w:tblGrid>
        <w:gridCol w:w="9629"/>
      </w:tblGrid>
      <w:tr w:rsidR="00F11F22" w:rsidRPr="00386025" w14:paraId="4B9F36B7" w14:textId="77777777" w:rsidTr="006D4092">
        <w:tc>
          <w:tcPr>
            <w:tcW w:w="9629" w:type="dxa"/>
          </w:tcPr>
          <w:p w14:paraId="6B9B4A6F" w14:textId="1141DC10" w:rsidR="00F11F22" w:rsidRPr="00386025" w:rsidRDefault="00F11F22" w:rsidP="006D4092">
            <w:pPr>
              <w:spacing w:after="0"/>
              <w:rPr>
                <w:rFonts w:eastAsia="Times New Roman"/>
                <w:bCs/>
                <w:sz w:val="20"/>
                <w:szCs w:val="20"/>
              </w:rPr>
            </w:pPr>
            <w:r w:rsidRPr="00386025">
              <w:rPr>
                <w:rFonts w:eastAsia="Times New Roman"/>
                <w:bCs/>
                <w:sz w:val="20"/>
                <w:szCs w:val="20"/>
              </w:rPr>
              <w:t>The objective is to specify the following set of improvements for machine-type communications for BL/CE UEs.</w:t>
            </w:r>
          </w:p>
          <w:p w14:paraId="3F83753E" w14:textId="7BE9CABF" w:rsidR="00F11F22" w:rsidRPr="00386025" w:rsidRDefault="00F11F22" w:rsidP="006D4092">
            <w:pPr>
              <w:spacing w:after="0"/>
              <w:rPr>
                <w:rFonts w:eastAsia="Times New Roman"/>
                <w:bCs/>
                <w:sz w:val="20"/>
                <w:szCs w:val="20"/>
              </w:rPr>
            </w:pPr>
          </w:p>
          <w:p w14:paraId="5313F59A" w14:textId="0CF30A30" w:rsidR="009A4FC3" w:rsidRPr="00386025" w:rsidRDefault="009A4FC3" w:rsidP="006D4092">
            <w:pPr>
              <w:spacing w:after="0"/>
              <w:rPr>
                <w:rFonts w:eastAsia="Times New Roman"/>
                <w:bCs/>
                <w:sz w:val="20"/>
                <w:szCs w:val="20"/>
              </w:rPr>
            </w:pPr>
            <w:r w:rsidRPr="00386025">
              <w:rPr>
                <w:rFonts w:eastAsia="Times New Roman"/>
                <w:bCs/>
                <w:sz w:val="20"/>
                <w:szCs w:val="20"/>
              </w:rPr>
              <w:t>[...]</w:t>
            </w:r>
          </w:p>
          <w:p w14:paraId="62DA9440" w14:textId="77777777" w:rsidR="009A4FC3" w:rsidRPr="00386025" w:rsidRDefault="009A4FC3" w:rsidP="006D4092">
            <w:pPr>
              <w:spacing w:after="0"/>
              <w:rPr>
                <w:rFonts w:eastAsia="Times New Roman"/>
                <w:bCs/>
                <w:sz w:val="20"/>
                <w:szCs w:val="20"/>
              </w:rPr>
            </w:pPr>
          </w:p>
          <w:p w14:paraId="6B805E06" w14:textId="77777777" w:rsidR="00386025" w:rsidRPr="00386025" w:rsidRDefault="00386025" w:rsidP="00386025">
            <w:pPr>
              <w:spacing w:after="0"/>
              <w:rPr>
                <w:b/>
                <w:bCs/>
                <w:sz w:val="20"/>
                <w:szCs w:val="20"/>
              </w:rPr>
            </w:pPr>
            <w:r w:rsidRPr="00386025">
              <w:rPr>
                <w:b/>
                <w:bCs/>
                <w:sz w:val="20"/>
                <w:szCs w:val="20"/>
              </w:rPr>
              <w:t>Scheduling enhancement:</w:t>
            </w:r>
          </w:p>
          <w:p w14:paraId="36A3EB1D" w14:textId="77777777" w:rsidR="00386025" w:rsidRPr="00386025" w:rsidRDefault="00386025" w:rsidP="00B121F3">
            <w:pPr>
              <w:numPr>
                <w:ilvl w:val="0"/>
                <w:numId w:val="38"/>
              </w:numPr>
              <w:spacing w:after="0"/>
              <w:textAlignment w:val="auto"/>
              <w:rPr>
                <w:bCs/>
                <w:sz w:val="20"/>
                <w:szCs w:val="20"/>
              </w:rPr>
            </w:pPr>
            <w:r w:rsidRPr="00386025">
              <w:rPr>
                <w:bCs/>
                <w:sz w:val="20"/>
                <w:szCs w:val="20"/>
              </w:rPr>
              <w:t xml:space="preserve">Specify scheduling multiple DL/UL transport blocks </w:t>
            </w:r>
            <w:bookmarkStart w:id="1" w:name="_Hlk516765510"/>
            <w:r w:rsidRPr="00386025">
              <w:rPr>
                <w:bCs/>
                <w:sz w:val="20"/>
                <w:szCs w:val="20"/>
              </w:rPr>
              <w:t xml:space="preserve">with single DCI </w:t>
            </w:r>
            <w:bookmarkEnd w:id="1"/>
            <w:r w:rsidRPr="00386025">
              <w:rPr>
                <w:bCs/>
                <w:sz w:val="20"/>
                <w:szCs w:val="20"/>
              </w:rPr>
              <w:t>for SC-PTM and unicast [RAN1, RAN2]</w:t>
            </w:r>
          </w:p>
          <w:p w14:paraId="6F59304F" w14:textId="77777777" w:rsidR="00F11F22" w:rsidRPr="00386025" w:rsidRDefault="00F11F22" w:rsidP="006D4092">
            <w:pPr>
              <w:spacing w:after="0"/>
              <w:rPr>
                <w:rFonts w:eastAsia="Times New Roman"/>
                <w:bCs/>
                <w:sz w:val="20"/>
                <w:szCs w:val="20"/>
              </w:rPr>
            </w:pPr>
          </w:p>
        </w:tc>
      </w:tr>
    </w:tbl>
    <w:p w14:paraId="3602F99A" w14:textId="77777777" w:rsidR="00F11F22" w:rsidRPr="00F93282" w:rsidRDefault="00F11F22" w:rsidP="00F11F22">
      <w:pPr>
        <w:pStyle w:val="BodyText"/>
        <w:rPr>
          <w:rFonts w:cs="Arial"/>
          <w:lang w:val="en-US"/>
        </w:rPr>
      </w:pPr>
    </w:p>
    <w:p w14:paraId="24D8B8F4" w14:textId="03BDE3C8" w:rsidR="00205265" w:rsidRPr="00205265" w:rsidRDefault="00F11F22" w:rsidP="00D91ED6">
      <w:pPr>
        <w:pStyle w:val="BodyText"/>
        <w:rPr>
          <w:rFonts w:eastAsia="SimSun" w:cs="Arial"/>
          <w:lang w:eastAsia="ja-JP"/>
        </w:rPr>
      </w:pPr>
      <w:r w:rsidRPr="00A371ED">
        <w:rPr>
          <w:rFonts w:cs="Arial"/>
        </w:rPr>
        <w:t xml:space="preserve">RAN1 </w:t>
      </w:r>
      <w:r w:rsidR="00205265">
        <w:rPr>
          <w:rFonts w:cs="Arial"/>
        </w:rPr>
        <w:t>agreements made until RAN1#99 are summarized in</w:t>
      </w:r>
      <w:r w:rsidRPr="00A371ED">
        <w:rPr>
          <w:rFonts w:cs="Arial"/>
        </w:rPr>
        <w:t xml:space="preserve"> </w:t>
      </w:r>
      <w:r>
        <w:rPr>
          <w:rFonts w:cs="Arial"/>
        </w:rPr>
        <w:fldChar w:fldCharType="begin"/>
      </w:r>
      <w:r>
        <w:rPr>
          <w:rFonts w:cs="Arial"/>
        </w:rPr>
        <w:instrText xml:space="preserve"> REF _Ref32837626 \r \h </w:instrText>
      </w:r>
      <w:r>
        <w:rPr>
          <w:rFonts w:cs="Arial"/>
        </w:rPr>
      </w:r>
      <w:r>
        <w:rPr>
          <w:rFonts w:cs="Arial"/>
        </w:rPr>
        <w:fldChar w:fldCharType="separate"/>
      </w:r>
      <w:r w:rsidR="007954CD">
        <w:rPr>
          <w:rFonts w:cs="Arial"/>
        </w:rPr>
        <w:t>[2]</w:t>
      </w:r>
      <w:r>
        <w:rPr>
          <w:rFonts w:cs="Arial"/>
        </w:rPr>
        <w:fldChar w:fldCharType="end"/>
      </w:r>
      <w:r w:rsidR="00205265">
        <w:rPr>
          <w:rFonts w:cs="Arial"/>
        </w:rPr>
        <w:t xml:space="preserve"> and RAN1 agreements made in RAN1#100e are listed below.</w:t>
      </w:r>
      <w:r w:rsidR="00205265" w:rsidRPr="00205265">
        <w:rPr>
          <w:rFonts w:cs="Arial"/>
        </w:rPr>
        <w:t xml:space="preserve"> </w:t>
      </w:r>
      <w:r w:rsidR="00205265">
        <w:rPr>
          <w:rFonts w:cs="Arial"/>
        </w:rPr>
        <w:t xml:space="preserve">RAN2 agreements are summarized in </w:t>
      </w:r>
      <w:r w:rsidR="00205265">
        <w:rPr>
          <w:rFonts w:cs="Arial"/>
        </w:rPr>
        <w:fldChar w:fldCharType="begin"/>
      </w:r>
      <w:r w:rsidR="00205265">
        <w:rPr>
          <w:rFonts w:cs="Arial"/>
        </w:rPr>
        <w:instrText xml:space="preserve"> REF _Ref32837633 \r \h </w:instrText>
      </w:r>
      <w:r w:rsidR="00205265">
        <w:rPr>
          <w:rFonts w:cs="Arial"/>
        </w:rPr>
      </w:r>
      <w:r w:rsidR="00205265">
        <w:rPr>
          <w:rFonts w:cs="Arial"/>
        </w:rPr>
        <w:fldChar w:fldCharType="separate"/>
      </w:r>
      <w:r w:rsidR="007954CD">
        <w:rPr>
          <w:rFonts w:cs="Arial"/>
        </w:rPr>
        <w:t>[3]</w:t>
      </w:r>
      <w:r w:rsidR="00205265">
        <w:rPr>
          <w:rFonts w:cs="Arial"/>
        </w:rPr>
        <w:fldChar w:fldCharType="end"/>
      </w:r>
      <w:r w:rsidR="00205265" w:rsidRPr="00A371ED">
        <w:rPr>
          <w:rFonts w:cs="Arial"/>
        </w:rPr>
        <w:t xml:space="preserve">. The endorsed L1 configuration parameter list can be found in </w:t>
      </w:r>
      <w:r w:rsidR="00205265">
        <w:rPr>
          <w:rFonts w:cs="Arial"/>
        </w:rPr>
        <w:fldChar w:fldCharType="begin"/>
      </w:r>
      <w:r w:rsidR="00205265">
        <w:rPr>
          <w:rFonts w:cs="Arial"/>
        </w:rPr>
        <w:instrText xml:space="preserve"> REF _Ref32837643 \r \h </w:instrText>
      </w:r>
      <w:r w:rsidR="00205265">
        <w:rPr>
          <w:rFonts w:cs="Arial"/>
        </w:rPr>
      </w:r>
      <w:r w:rsidR="00205265">
        <w:rPr>
          <w:rFonts w:cs="Arial"/>
        </w:rPr>
        <w:fldChar w:fldCharType="separate"/>
      </w:r>
      <w:r w:rsidR="007954CD">
        <w:rPr>
          <w:rFonts w:cs="Arial"/>
        </w:rPr>
        <w:t>[4]</w:t>
      </w:r>
      <w:r w:rsidR="00205265">
        <w:rPr>
          <w:rFonts w:cs="Arial"/>
        </w:rPr>
        <w:fldChar w:fldCharType="end"/>
      </w:r>
      <w:r w:rsidR="00AD1BED">
        <w:rPr>
          <w:rFonts w:cs="Arial"/>
        </w:rPr>
        <w:t xml:space="preserve">, the initial RAN1 UE feature list in </w:t>
      </w:r>
      <w:r w:rsidR="00D11405">
        <w:rPr>
          <w:rFonts w:cs="Arial"/>
        </w:rPr>
        <w:fldChar w:fldCharType="begin"/>
      </w:r>
      <w:r w:rsidR="00D11405">
        <w:rPr>
          <w:rFonts w:cs="Arial"/>
        </w:rPr>
        <w:instrText xml:space="preserve"> REF _Ref37784479 \r \h </w:instrText>
      </w:r>
      <w:r w:rsidR="00D11405">
        <w:rPr>
          <w:rFonts w:cs="Arial"/>
        </w:rPr>
      </w:r>
      <w:r w:rsidR="00D11405">
        <w:rPr>
          <w:rFonts w:cs="Arial"/>
        </w:rPr>
        <w:fldChar w:fldCharType="separate"/>
      </w:r>
      <w:r w:rsidR="007954CD">
        <w:rPr>
          <w:rFonts w:cs="Arial"/>
        </w:rPr>
        <w:t>[5]</w:t>
      </w:r>
      <w:r w:rsidR="00D11405">
        <w:rPr>
          <w:rFonts w:cs="Arial"/>
        </w:rPr>
        <w:fldChar w:fldCharType="end"/>
      </w:r>
      <w:r w:rsidR="00AD1BED">
        <w:rPr>
          <w:rFonts w:cs="Arial"/>
        </w:rPr>
        <w:t>,</w:t>
      </w:r>
      <w:r w:rsidR="00205265" w:rsidRPr="00A371ED">
        <w:rPr>
          <w:rFonts w:cs="Arial"/>
        </w:rPr>
        <w:t xml:space="preserve"> and the endorsed RAN1 CRs in </w:t>
      </w:r>
      <w:r w:rsidR="00205265">
        <w:rPr>
          <w:rFonts w:cs="Arial"/>
        </w:rPr>
        <w:fldChar w:fldCharType="begin"/>
      </w:r>
      <w:r w:rsidR="00205265">
        <w:rPr>
          <w:rFonts w:cs="Arial"/>
        </w:rPr>
        <w:instrText xml:space="preserve"> REF _Ref32837650 \r \h </w:instrText>
      </w:r>
      <w:r w:rsidR="00205265">
        <w:rPr>
          <w:rFonts w:cs="Arial"/>
        </w:rPr>
      </w:r>
      <w:r w:rsidR="00205265">
        <w:rPr>
          <w:rFonts w:cs="Arial"/>
        </w:rPr>
        <w:fldChar w:fldCharType="separate"/>
      </w:r>
      <w:r w:rsidR="007954CD">
        <w:rPr>
          <w:rFonts w:cs="Arial"/>
        </w:rPr>
        <w:t>[6]</w:t>
      </w:r>
      <w:r w:rsidR="00205265">
        <w:rPr>
          <w:rFonts w:cs="Arial"/>
        </w:rPr>
        <w:fldChar w:fldCharType="end"/>
      </w:r>
      <w:r w:rsidR="00205265" w:rsidRPr="00A371ED">
        <w:rPr>
          <w:rFonts w:cs="Arial"/>
        </w:rPr>
        <w:t xml:space="preserve"> –</w:t>
      </w:r>
      <w:r w:rsidR="00205265">
        <w:rPr>
          <w:rFonts w:cs="Arial"/>
        </w:rPr>
        <w:t xml:space="preserve"> </w:t>
      </w:r>
      <w:r w:rsidR="00205265">
        <w:rPr>
          <w:rFonts w:cs="Arial"/>
        </w:rPr>
        <w:fldChar w:fldCharType="begin"/>
      </w:r>
      <w:r w:rsidR="00205265">
        <w:rPr>
          <w:rFonts w:cs="Arial"/>
        </w:rPr>
        <w:instrText xml:space="preserve"> REF _Ref37691818 \r \h </w:instrText>
      </w:r>
      <w:r w:rsidR="00205265">
        <w:rPr>
          <w:rFonts w:cs="Arial"/>
        </w:rPr>
      </w:r>
      <w:r w:rsidR="00205265">
        <w:rPr>
          <w:rFonts w:cs="Arial"/>
        </w:rPr>
        <w:fldChar w:fldCharType="separate"/>
      </w:r>
      <w:r w:rsidR="007954CD">
        <w:rPr>
          <w:rFonts w:cs="Arial"/>
        </w:rPr>
        <w:t>[16]</w:t>
      </w:r>
      <w:r w:rsidR="00205265">
        <w:rPr>
          <w:rFonts w:cs="Arial"/>
        </w:rPr>
        <w:fldChar w:fldCharType="end"/>
      </w:r>
      <w:r w:rsidR="00205265" w:rsidRPr="00A371ED">
        <w:rPr>
          <w:rFonts w:cs="Arial"/>
        </w:rPr>
        <w:t>.</w:t>
      </w:r>
    </w:p>
    <w:tbl>
      <w:tblPr>
        <w:tblStyle w:val="TableGrid"/>
        <w:tblW w:w="0" w:type="auto"/>
        <w:tblLook w:val="04A0" w:firstRow="1" w:lastRow="0" w:firstColumn="1" w:lastColumn="0" w:noHBand="0" w:noVBand="1"/>
      </w:tblPr>
      <w:tblGrid>
        <w:gridCol w:w="9629"/>
      </w:tblGrid>
      <w:tr w:rsidR="00205265" w:rsidRPr="0068537A" w14:paraId="0CACF6A5" w14:textId="77777777" w:rsidTr="00205265">
        <w:tc>
          <w:tcPr>
            <w:tcW w:w="9629" w:type="dxa"/>
          </w:tcPr>
          <w:p w14:paraId="608D389F" w14:textId="26D831BF" w:rsidR="0068537A" w:rsidRPr="0068537A" w:rsidRDefault="004B746F" w:rsidP="0068537A">
            <w:pPr>
              <w:overflowPunct/>
              <w:autoSpaceDE/>
              <w:autoSpaceDN/>
              <w:adjustRightInd/>
              <w:spacing w:after="0"/>
              <w:textAlignment w:val="auto"/>
              <w:rPr>
                <w:rFonts w:eastAsia="Batang"/>
                <w:sz w:val="20"/>
                <w:szCs w:val="20"/>
                <w:lang w:eastAsia="x-none"/>
              </w:rPr>
            </w:pPr>
            <w:hyperlink r:id="rId11" w:history="1">
              <w:r w:rsidR="0068537A" w:rsidRPr="0068537A">
                <w:rPr>
                  <w:rFonts w:eastAsia="Batang"/>
                  <w:b/>
                  <w:bCs/>
                  <w:color w:val="0000FF"/>
                  <w:sz w:val="20"/>
                  <w:szCs w:val="20"/>
                  <w:u w:val="single"/>
                  <w:lang w:eastAsia="x-none"/>
                </w:rPr>
                <w:t>R1-2001056</w:t>
              </w:r>
            </w:hyperlink>
            <w:r w:rsidR="0068537A" w:rsidRPr="0068537A">
              <w:rPr>
                <w:rFonts w:eastAsia="Batang"/>
                <w:sz w:val="20"/>
                <w:szCs w:val="20"/>
                <w:lang w:eastAsia="x-none"/>
              </w:rPr>
              <w:tab/>
              <w:t>Feature lead summary for Multi-TB scheduling for LTE-MTC</w:t>
            </w:r>
            <w:r w:rsidR="0068537A" w:rsidRPr="0068537A">
              <w:rPr>
                <w:rFonts w:eastAsia="Batang"/>
                <w:sz w:val="20"/>
                <w:szCs w:val="20"/>
                <w:lang w:eastAsia="x-none"/>
              </w:rPr>
              <w:tab/>
              <w:t>Ericsson</w:t>
            </w:r>
          </w:p>
          <w:p w14:paraId="24C22898" w14:textId="4EF927CE" w:rsidR="0068537A" w:rsidRPr="0068537A" w:rsidRDefault="004B746F" w:rsidP="0068537A">
            <w:pPr>
              <w:overflowPunct/>
              <w:autoSpaceDE/>
              <w:autoSpaceDN/>
              <w:adjustRightInd/>
              <w:spacing w:after="0"/>
              <w:textAlignment w:val="auto"/>
              <w:rPr>
                <w:rFonts w:eastAsia="Batang"/>
                <w:sz w:val="20"/>
                <w:szCs w:val="20"/>
                <w:lang w:eastAsia="x-none"/>
              </w:rPr>
            </w:pPr>
            <w:hyperlink r:id="rId12" w:history="1">
              <w:r w:rsidR="0068537A" w:rsidRPr="0068537A">
                <w:rPr>
                  <w:rFonts w:eastAsia="Batang"/>
                  <w:b/>
                  <w:bCs/>
                  <w:color w:val="0000FF"/>
                  <w:sz w:val="20"/>
                  <w:szCs w:val="20"/>
                  <w:u w:val="single"/>
                  <w:lang w:eastAsia="x-none"/>
                </w:rPr>
                <w:t>R1-2001185</w:t>
              </w:r>
            </w:hyperlink>
            <w:r w:rsidR="0068537A" w:rsidRPr="0068537A">
              <w:rPr>
                <w:rFonts w:eastAsia="Batang"/>
                <w:sz w:val="20"/>
                <w:szCs w:val="20"/>
                <w:lang w:eastAsia="x-none"/>
              </w:rPr>
              <w:tab/>
              <w:t>Feature lead summary#2 for Multi-TB scheduling for LTE-MTC</w:t>
            </w:r>
            <w:r w:rsidR="0068537A" w:rsidRPr="0068537A">
              <w:rPr>
                <w:rFonts w:eastAsia="Batang"/>
                <w:sz w:val="20"/>
                <w:szCs w:val="20"/>
                <w:lang w:eastAsia="x-none"/>
              </w:rPr>
              <w:tab/>
              <w:t>Ericsson</w:t>
            </w:r>
          </w:p>
          <w:p w14:paraId="479C1A39" w14:textId="4778E540" w:rsidR="0068537A" w:rsidRPr="0068537A" w:rsidRDefault="004B746F" w:rsidP="0068537A">
            <w:pPr>
              <w:overflowPunct/>
              <w:autoSpaceDE/>
              <w:autoSpaceDN/>
              <w:adjustRightInd/>
              <w:spacing w:after="0"/>
              <w:textAlignment w:val="auto"/>
              <w:rPr>
                <w:rFonts w:eastAsia="Batang"/>
                <w:b/>
                <w:bCs/>
                <w:sz w:val="20"/>
                <w:szCs w:val="20"/>
                <w:lang w:eastAsia="x-none"/>
              </w:rPr>
            </w:pPr>
            <w:hyperlink r:id="rId13" w:history="1">
              <w:r w:rsidR="0068537A" w:rsidRPr="0068537A">
                <w:rPr>
                  <w:rFonts w:eastAsia="Batang"/>
                  <w:b/>
                  <w:bCs/>
                  <w:color w:val="0000FF"/>
                  <w:sz w:val="20"/>
                  <w:szCs w:val="20"/>
                  <w:u w:val="single"/>
                  <w:lang w:eastAsia="x-none"/>
                </w:rPr>
                <w:t>R1-2001220</w:t>
              </w:r>
            </w:hyperlink>
            <w:r w:rsidR="0068537A" w:rsidRPr="0068537A">
              <w:rPr>
                <w:rFonts w:eastAsia="Batang"/>
                <w:sz w:val="20"/>
                <w:szCs w:val="20"/>
                <w:lang w:eastAsia="x-none"/>
              </w:rPr>
              <w:tab/>
              <w:t>Feature lead summary#3 for Multi-TB scheduling for LTE-MTC</w:t>
            </w:r>
            <w:r w:rsidR="0068537A" w:rsidRPr="0068537A">
              <w:rPr>
                <w:rFonts w:eastAsia="Batang"/>
                <w:sz w:val="20"/>
                <w:szCs w:val="20"/>
                <w:lang w:eastAsia="x-none"/>
              </w:rPr>
              <w:tab/>
              <w:t>Ericsson</w:t>
            </w:r>
          </w:p>
          <w:p w14:paraId="4AA6CFBA" w14:textId="77777777" w:rsidR="0068537A" w:rsidRPr="0068537A" w:rsidRDefault="0068537A" w:rsidP="0068537A">
            <w:pPr>
              <w:overflowPunct/>
              <w:autoSpaceDE/>
              <w:autoSpaceDN/>
              <w:adjustRightInd/>
              <w:spacing w:after="0"/>
              <w:textAlignment w:val="auto"/>
              <w:rPr>
                <w:rFonts w:eastAsia="Batang"/>
                <w:sz w:val="20"/>
                <w:szCs w:val="20"/>
                <w:lang w:eastAsia="x-none"/>
              </w:rPr>
            </w:pPr>
          </w:p>
          <w:p w14:paraId="7C7BF64C"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[100e-LTE-eMTC5-Multi-TB-01] – Johan (Ericsson)</w:t>
            </w:r>
          </w:p>
          <w:p w14:paraId="3AA4B8BF"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HARQ/NDI/RV/FH encoding for both FDD and TDD</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5C504A08" w14:textId="77777777" w:rsidR="0068537A" w:rsidRPr="0068537A" w:rsidRDefault="0068537A" w:rsidP="0068537A">
            <w:pPr>
              <w:wordWrap w:val="0"/>
              <w:overflowPunct/>
              <w:autoSpaceDE/>
              <w:autoSpaceDN/>
              <w:adjustRightInd/>
              <w:spacing w:after="0"/>
              <w:textAlignment w:val="auto"/>
              <w:rPr>
                <w:rFonts w:eastAsia="Batang"/>
                <w:b/>
                <w:bCs/>
                <w:sz w:val="20"/>
                <w:szCs w:val="20"/>
                <w:lang w:val="en-US" w:eastAsia="ko-KR"/>
              </w:rPr>
            </w:pPr>
            <w:r w:rsidRPr="0068537A">
              <w:rPr>
                <w:rFonts w:eastAsia="Batang"/>
                <w:b/>
                <w:bCs/>
                <w:sz w:val="20"/>
                <w:szCs w:val="20"/>
                <w:lang w:val="en-US" w:eastAsia="ko-KR"/>
              </w:rPr>
              <w:t>Conclusion</w:t>
            </w:r>
          </w:p>
          <w:p w14:paraId="0F34FC29" w14:textId="77777777" w:rsidR="0068537A" w:rsidRPr="0068537A" w:rsidRDefault="0068537A" w:rsidP="0068537A">
            <w:pPr>
              <w:overflowPunct/>
              <w:autoSpaceDE/>
              <w:autoSpaceDN/>
              <w:adjustRightInd/>
              <w:spacing w:after="0"/>
              <w:textAlignment w:val="auto"/>
              <w:rPr>
                <w:rFonts w:eastAsia="Batang"/>
                <w:sz w:val="20"/>
                <w:szCs w:val="20"/>
                <w:lang w:val="en-US" w:eastAsia="ko-KR"/>
              </w:rPr>
            </w:pPr>
            <w:r w:rsidRPr="0068537A">
              <w:rPr>
                <w:rFonts w:eastAsia="Batang"/>
                <w:sz w:val="20"/>
                <w:szCs w:val="20"/>
                <w:lang w:val="en-US" w:eastAsia="ko-KR"/>
              </w:rPr>
              <w:t>For FDD case:</w:t>
            </w:r>
          </w:p>
          <w:p w14:paraId="7EBA6FE8" w14:textId="03FF92CF" w:rsidR="0068537A" w:rsidRPr="0068537A" w:rsidRDefault="0068537A" w:rsidP="0068537A">
            <w:pPr>
              <w:numPr>
                <w:ilvl w:val="0"/>
                <w:numId w:val="39"/>
              </w:numPr>
              <w:overflowPunct/>
              <w:autoSpaceDE/>
              <w:autoSpaceDN/>
              <w:adjustRightInd/>
              <w:spacing w:after="0"/>
              <w:contextualSpacing/>
              <w:textAlignment w:val="auto"/>
              <w:rPr>
                <w:rFonts w:eastAsia="SimSun"/>
                <w:sz w:val="20"/>
                <w:szCs w:val="20"/>
                <w:lang w:val="en-US" w:eastAsia="ko-KR"/>
              </w:rPr>
            </w:pPr>
            <w:r w:rsidRPr="0068537A">
              <w:rPr>
                <w:rFonts w:eastAsia="SimSun"/>
                <w:sz w:val="20"/>
                <w:szCs w:val="20"/>
                <w:lang w:val="en-US" w:eastAsia="ko-KR"/>
              </w:rPr>
              <w:t xml:space="preserve">For 36.212, use </w:t>
            </w:r>
            <w:proofErr w:type="spellStart"/>
            <w:r w:rsidRPr="0068537A">
              <w:rPr>
                <w:rFonts w:eastAsia="SimSun"/>
                <w:sz w:val="20"/>
                <w:szCs w:val="20"/>
                <w:lang w:val="en-US" w:eastAsia="ko-KR"/>
              </w:rPr>
              <w:t>Futurewei’s</w:t>
            </w:r>
            <w:proofErr w:type="spellEnd"/>
            <w:r w:rsidRPr="0068537A">
              <w:rPr>
                <w:rFonts w:eastAsia="SimSun"/>
                <w:sz w:val="20"/>
                <w:szCs w:val="20"/>
                <w:lang w:val="en-US" w:eastAsia="ko-KR"/>
              </w:rPr>
              <w:t xml:space="preserve"> TP in </w:t>
            </w:r>
            <w:hyperlink r:id="rId14" w:history="1">
              <w:r w:rsidRPr="0068537A">
                <w:rPr>
                  <w:rFonts w:eastAsia="SimSun"/>
                  <w:color w:val="0000FF"/>
                  <w:sz w:val="20"/>
                  <w:szCs w:val="20"/>
                  <w:u w:val="single"/>
                  <w:lang w:val="en-US" w:eastAsia="ko-KR"/>
                </w:rPr>
                <w:t>R1-2001086</w:t>
              </w:r>
            </w:hyperlink>
            <w:r w:rsidRPr="0068537A">
              <w:rPr>
                <w:rFonts w:eastAsia="SimSun"/>
                <w:sz w:val="20"/>
                <w:szCs w:val="20"/>
                <w:lang w:val="en-US" w:eastAsia="ko-KR"/>
              </w:rPr>
              <w:t xml:space="preserve"> as a basis, possibly with the clarification “From MSB to LSB” in each section.</w:t>
            </w:r>
          </w:p>
          <w:p w14:paraId="51640E44" w14:textId="77777777" w:rsidR="0068537A" w:rsidRPr="0068537A" w:rsidRDefault="0068537A" w:rsidP="0068537A">
            <w:pPr>
              <w:numPr>
                <w:ilvl w:val="0"/>
                <w:numId w:val="39"/>
              </w:numPr>
              <w:overflowPunct/>
              <w:autoSpaceDE/>
              <w:autoSpaceDN/>
              <w:adjustRightInd/>
              <w:spacing w:after="0"/>
              <w:contextualSpacing/>
              <w:textAlignment w:val="auto"/>
              <w:rPr>
                <w:rFonts w:eastAsia="SimSun"/>
                <w:sz w:val="20"/>
                <w:szCs w:val="20"/>
                <w:lang w:val="en-US" w:eastAsia="ko-KR"/>
              </w:rPr>
            </w:pPr>
            <w:r w:rsidRPr="0068537A">
              <w:rPr>
                <w:rFonts w:eastAsia="SimSun"/>
                <w:sz w:val="20"/>
                <w:szCs w:val="20"/>
                <w:lang w:val="en-US" w:eastAsia="ko-KR"/>
              </w:rPr>
              <w:t>For 36.211 and 36.213, take the provided comments and proposals into account in contributions to the next meeting.</w:t>
            </w:r>
          </w:p>
          <w:p w14:paraId="068431A1" w14:textId="77777777" w:rsidR="0068537A" w:rsidRPr="0068537A" w:rsidRDefault="0068537A" w:rsidP="0068537A">
            <w:pPr>
              <w:overflowPunct/>
              <w:autoSpaceDE/>
              <w:autoSpaceDN/>
              <w:adjustRightInd/>
              <w:spacing w:after="0"/>
              <w:textAlignment w:val="auto"/>
              <w:rPr>
                <w:rFonts w:eastAsia="Batang"/>
                <w:sz w:val="20"/>
                <w:szCs w:val="20"/>
                <w:lang w:val="en-US" w:eastAsia="ko-KR"/>
              </w:rPr>
            </w:pPr>
            <w:r w:rsidRPr="0068537A">
              <w:rPr>
                <w:rFonts w:eastAsia="Batang"/>
                <w:sz w:val="20"/>
                <w:szCs w:val="20"/>
                <w:lang w:val="en-US" w:eastAsia="ko-KR"/>
              </w:rPr>
              <w:t>For TDD case:</w:t>
            </w:r>
          </w:p>
          <w:p w14:paraId="1870A8AF" w14:textId="77777777" w:rsidR="0068537A" w:rsidRPr="0068537A" w:rsidRDefault="0068537A" w:rsidP="0068537A">
            <w:pPr>
              <w:numPr>
                <w:ilvl w:val="0"/>
                <w:numId w:val="40"/>
              </w:numPr>
              <w:overflowPunct/>
              <w:autoSpaceDE/>
              <w:autoSpaceDN/>
              <w:adjustRightInd/>
              <w:spacing w:after="0"/>
              <w:contextualSpacing/>
              <w:textAlignment w:val="auto"/>
              <w:rPr>
                <w:rFonts w:eastAsia="SimSun"/>
                <w:sz w:val="20"/>
                <w:szCs w:val="20"/>
                <w:lang w:val="en-US" w:eastAsia="ko-KR"/>
              </w:rPr>
            </w:pPr>
            <w:r w:rsidRPr="0068537A">
              <w:rPr>
                <w:rFonts w:eastAsia="SimSun"/>
                <w:sz w:val="20"/>
                <w:szCs w:val="20"/>
                <w:lang w:val="en-US" w:eastAsia="ko-KR"/>
              </w:rPr>
              <w:t>There is no consensus in RAN1#100e for optimization (or elimination) of the TDD HARQ process grouping. The 36.212 seems adequate and potential corresponding 36.213 text can be added in the next meeting.</w:t>
            </w:r>
          </w:p>
          <w:p w14:paraId="35040815"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As per email decision posted on Mar. 4</w:t>
            </w:r>
            <w:r w:rsidRPr="0068537A">
              <w:rPr>
                <w:rFonts w:eastAsia="Batang"/>
                <w:sz w:val="20"/>
                <w:szCs w:val="20"/>
                <w:vertAlign w:val="superscript"/>
                <w:lang w:eastAsia="en-US"/>
              </w:rPr>
              <w:t>th</w:t>
            </w:r>
            <w:r w:rsidRPr="0068537A">
              <w:rPr>
                <w:rFonts w:eastAsia="Batang"/>
                <w:sz w:val="20"/>
                <w:szCs w:val="20"/>
                <w:lang w:eastAsia="en-US"/>
              </w:rPr>
              <w:t xml:space="preserve">, two companies prefer not to add </w:t>
            </w:r>
            <w:r w:rsidRPr="0068537A">
              <w:rPr>
                <w:rFonts w:eastAsia="Batang"/>
                <w:sz w:val="20"/>
                <w:szCs w:val="20"/>
                <w:lang w:val="en-US" w:eastAsia="ko-KR"/>
              </w:rPr>
              <w:t>“From MSB to LSB”, so:</w:t>
            </w:r>
          </w:p>
          <w:p w14:paraId="76B6E48B" w14:textId="7EAFB868" w:rsidR="0068537A" w:rsidRPr="0068537A" w:rsidRDefault="0068537A" w:rsidP="0068537A">
            <w:pPr>
              <w:wordWrap w:val="0"/>
              <w:overflowPunct/>
              <w:autoSpaceDE/>
              <w:autoSpaceDN/>
              <w:adjustRightInd/>
              <w:spacing w:after="0"/>
              <w:textAlignment w:val="auto"/>
              <w:rPr>
                <w:rFonts w:eastAsia="Batang"/>
                <w:sz w:val="20"/>
                <w:szCs w:val="20"/>
                <w:lang w:eastAsia="en-US"/>
              </w:rPr>
            </w:pPr>
            <w:r w:rsidRPr="0068537A">
              <w:rPr>
                <w:rFonts w:eastAsia="Batang"/>
                <w:sz w:val="20"/>
                <w:szCs w:val="20"/>
                <w:highlight w:val="green"/>
                <w:lang w:eastAsia="en-US"/>
              </w:rPr>
              <w:t>Agreement</w:t>
            </w:r>
            <w:r w:rsidRPr="0068537A">
              <w:rPr>
                <w:rFonts w:eastAsia="Batang"/>
                <w:sz w:val="20"/>
                <w:szCs w:val="20"/>
                <w:lang w:eastAsia="en-US"/>
              </w:rPr>
              <w:t xml:space="preserve">: The text proposal in </w:t>
            </w:r>
            <w:r w:rsidR="00775FC9">
              <w:rPr>
                <w:rFonts w:eastAsia="Times New Roman"/>
              </w:rPr>
              <w:fldChar w:fldCharType="begin"/>
            </w:r>
            <w:r w:rsidR="00775FC9">
              <w:instrText xml:space="preserve"> HYPERLINK "https://www.3gpp.org/ftp/tsg_ran/WG1_RL1/TSGR1_100_e/Docs/R1-2001086.zip" </w:instrText>
            </w:r>
            <w:r w:rsidR="00775FC9">
              <w:rPr>
                <w:rFonts w:eastAsia="Times New Roman"/>
              </w:rPr>
              <w:fldChar w:fldCharType="separate"/>
            </w:r>
            <w:r w:rsidRPr="0068537A">
              <w:rPr>
                <w:rFonts w:eastAsia="Batang"/>
                <w:color w:val="0000FF"/>
                <w:sz w:val="20"/>
                <w:szCs w:val="20"/>
                <w:u w:val="single"/>
                <w:lang w:eastAsia="en-US"/>
              </w:rPr>
              <w:t>R1-2001086</w:t>
            </w:r>
            <w:r w:rsidR="00775FC9">
              <w:rPr>
                <w:rFonts w:eastAsia="Batang"/>
                <w:color w:val="0000FF"/>
                <w:u w:val="single"/>
                <w:lang w:eastAsia="en-US"/>
              </w:rPr>
              <w:fldChar w:fldCharType="end"/>
            </w:r>
            <w:r w:rsidRPr="0068537A">
              <w:rPr>
                <w:rFonts w:eastAsia="Batang"/>
                <w:sz w:val="20"/>
                <w:szCs w:val="20"/>
                <w:lang w:eastAsia="en-US"/>
              </w:rPr>
              <w:t xml:space="preserve"> is endorsed for inclusion into TS36.212 editor’s CR.</w:t>
            </w:r>
          </w:p>
          <w:p w14:paraId="5221C06E" w14:textId="77777777" w:rsidR="0068537A" w:rsidRPr="0068537A" w:rsidRDefault="0068537A" w:rsidP="0068537A">
            <w:pPr>
              <w:overflowPunct/>
              <w:autoSpaceDE/>
              <w:autoSpaceDN/>
              <w:adjustRightInd/>
              <w:spacing w:after="0"/>
              <w:textAlignment w:val="auto"/>
              <w:rPr>
                <w:rFonts w:eastAsia="Batang"/>
                <w:sz w:val="20"/>
                <w:szCs w:val="20"/>
                <w:lang w:eastAsia="en-US"/>
              </w:rPr>
            </w:pPr>
          </w:p>
          <w:p w14:paraId="73E028E7"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[100e-LTE-eMTC5-Multi-TB-02] – Johan (Ericsson)</w:t>
            </w:r>
          </w:p>
          <w:p w14:paraId="798E2A2A"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HARQ-ACK bundling for both FDD and TDD</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5DF47E06"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As per email decision posted on Mar. 5</w:t>
            </w:r>
            <w:r w:rsidRPr="0068537A">
              <w:rPr>
                <w:rFonts w:eastAsia="Batang"/>
                <w:sz w:val="20"/>
                <w:szCs w:val="20"/>
                <w:vertAlign w:val="superscript"/>
                <w:lang w:eastAsia="en-US"/>
              </w:rPr>
              <w:t>th</w:t>
            </w:r>
            <w:r w:rsidRPr="0068537A">
              <w:rPr>
                <w:rFonts w:eastAsia="Batang"/>
                <w:sz w:val="20"/>
                <w:szCs w:val="20"/>
                <w:lang w:eastAsia="en-US"/>
              </w:rPr>
              <w:t>,</w:t>
            </w:r>
            <w:r w:rsidRPr="0068537A">
              <w:rPr>
                <w:rFonts w:eastAsia="Batang"/>
                <w:sz w:val="20"/>
                <w:szCs w:val="20"/>
                <w:lang w:val="en-US" w:eastAsia="ko-KR"/>
              </w:rPr>
              <w:t>:</w:t>
            </w:r>
          </w:p>
          <w:p w14:paraId="07939442" w14:textId="36426A3D" w:rsidR="0068537A" w:rsidRPr="0068537A" w:rsidRDefault="0068537A" w:rsidP="0068537A">
            <w:pPr>
              <w:wordWrap w:val="0"/>
              <w:overflowPunct/>
              <w:autoSpaceDE/>
              <w:autoSpaceDN/>
              <w:adjustRightInd/>
              <w:spacing w:after="0"/>
              <w:textAlignment w:val="auto"/>
              <w:rPr>
                <w:rFonts w:eastAsia="Batang"/>
                <w:sz w:val="20"/>
                <w:szCs w:val="20"/>
                <w:lang w:eastAsia="en-US"/>
              </w:rPr>
            </w:pPr>
            <w:r w:rsidRPr="0068537A">
              <w:rPr>
                <w:rFonts w:eastAsia="Batang"/>
                <w:sz w:val="20"/>
                <w:szCs w:val="20"/>
                <w:highlight w:val="green"/>
                <w:lang w:eastAsia="en-US"/>
              </w:rPr>
              <w:t>Agreement</w:t>
            </w:r>
            <w:r w:rsidRPr="0068537A">
              <w:rPr>
                <w:rFonts w:eastAsia="Batang"/>
                <w:sz w:val="20"/>
                <w:szCs w:val="20"/>
                <w:lang w:eastAsia="en-US"/>
              </w:rPr>
              <w:t xml:space="preserve">: The TP provided in </w:t>
            </w:r>
            <w:r w:rsidR="00775FC9">
              <w:rPr>
                <w:rFonts w:eastAsia="Times New Roman"/>
              </w:rPr>
              <w:fldChar w:fldCharType="begin"/>
            </w:r>
            <w:r w:rsidR="00775FC9">
              <w:instrText xml:space="preserve"> HYPERLINK "https://www.3gpp.org/ftp/tsg_ran/WG1_RL1/TSGR1_100_e/Docs/R1-2001214.zip" </w:instrText>
            </w:r>
            <w:r w:rsidR="00775FC9">
              <w:rPr>
                <w:rFonts w:eastAsia="Times New Roman"/>
              </w:rPr>
              <w:fldChar w:fldCharType="separate"/>
            </w:r>
            <w:r w:rsidRPr="0068537A">
              <w:rPr>
                <w:rFonts w:eastAsia="Batang"/>
                <w:color w:val="0000FF"/>
                <w:sz w:val="20"/>
                <w:szCs w:val="20"/>
                <w:u w:val="single"/>
                <w:lang w:eastAsia="en-US"/>
              </w:rPr>
              <w:t>R1-2001214</w:t>
            </w:r>
            <w:r w:rsidR="00775FC9">
              <w:rPr>
                <w:rFonts w:eastAsia="Batang"/>
                <w:color w:val="0000FF"/>
                <w:u w:val="single"/>
                <w:lang w:eastAsia="en-US"/>
              </w:rPr>
              <w:fldChar w:fldCharType="end"/>
            </w:r>
            <w:r w:rsidRPr="0068537A">
              <w:rPr>
                <w:rFonts w:eastAsia="Batang"/>
                <w:sz w:val="20"/>
                <w:szCs w:val="20"/>
                <w:lang w:eastAsia="en-US"/>
              </w:rPr>
              <w:t xml:space="preserve"> for TS36.213 section 10.2 is endorsed. To be included as part of the editor’s CR for TS36.213.</w:t>
            </w:r>
          </w:p>
          <w:p w14:paraId="21980F07" w14:textId="77777777" w:rsidR="0068537A" w:rsidRPr="0068537A" w:rsidRDefault="0068537A" w:rsidP="0068537A">
            <w:pPr>
              <w:overflowPunct/>
              <w:autoSpaceDE/>
              <w:autoSpaceDN/>
              <w:adjustRightInd/>
              <w:spacing w:after="0"/>
              <w:textAlignment w:val="auto"/>
              <w:rPr>
                <w:rFonts w:eastAsia="Batang"/>
                <w:sz w:val="20"/>
                <w:szCs w:val="20"/>
                <w:lang w:eastAsia="en-US"/>
              </w:rPr>
            </w:pPr>
          </w:p>
          <w:p w14:paraId="61854839"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lastRenderedPageBreak/>
              <w:t>[100e-LTE-eMTC5-Multi-TB-03] – Johan (Ericsson)</w:t>
            </w:r>
          </w:p>
          <w:p w14:paraId="513093E3" w14:textId="77777777" w:rsidR="0068537A" w:rsidRPr="0068537A" w:rsidRDefault="0068537A" w:rsidP="0068537A">
            <w:pPr>
              <w:overflowPunct/>
              <w:autoSpaceDE/>
              <w:autoSpaceDN/>
              <w:adjustRightInd/>
              <w:spacing w:after="0"/>
              <w:textAlignment w:val="auto"/>
              <w:rPr>
                <w:rFonts w:eastAsia="Batang"/>
                <w:sz w:val="20"/>
                <w:szCs w:val="20"/>
                <w:lang w:eastAsia="en-US"/>
              </w:rPr>
            </w:pPr>
            <w:r w:rsidRPr="0068537A">
              <w:rPr>
                <w:rFonts w:eastAsia="Batang"/>
                <w:sz w:val="20"/>
                <w:szCs w:val="20"/>
                <w:lang w:eastAsia="en-US"/>
              </w:rPr>
              <w:t>Email discussion/approval on</w:t>
            </w:r>
            <w:r w:rsidRPr="0068537A">
              <w:rPr>
                <w:rFonts w:eastAsia="Batang"/>
                <w:b/>
                <w:bCs/>
                <w:sz w:val="20"/>
                <w:szCs w:val="20"/>
                <w:lang w:eastAsia="en-US"/>
              </w:rPr>
              <w:t xml:space="preserve"> </w:t>
            </w:r>
            <w:r w:rsidRPr="0068537A">
              <w:rPr>
                <w:rFonts w:eastAsia="Batang"/>
                <w:sz w:val="20"/>
                <w:szCs w:val="20"/>
                <w:lang w:eastAsia="en-US"/>
              </w:rPr>
              <w:t>scheduling gaps for both unicast and multicast</w:t>
            </w:r>
            <w:r w:rsidRPr="0068537A">
              <w:rPr>
                <w:rFonts w:eastAsia="Batang"/>
                <w:b/>
                <w:bCs/>
                <w:sz w:val="20"/>
                <w:szCs w:val="20"/>
                <w:lang w:eastAsia="en-US"/>
              </w:rPr>
              <w:t xml:space="preserve"> </w:t>
            </w:r>
            <w:r w:rsidRPr="0068537A">
              <w:rPr>
                <w:rFonts w:eastAsia="Batang"/>
                <w:sz w:val="20"/>
                <w:szCs w:val="20"/>
                <w:lang w:eastAsia="en-US"/>
              </w:rPr>
              <w:t>by 2/27; if there is a spec impact, followed by endorsing the corresponding TP by 3/2</w:t>
            </w:r>
          </w:p>
          <w:p w14:paraId="4FA65BDB" w14:textId="77777777" w:rsidR="0068537A" w:rsidRPr="0068537A" w:rsidRDefault="0068537A" w:rsidP="0068537A">
            <w:pPr>
              <w:wordWrap w:val="0"/>
              <w:overflowPunct/>
              <w:autoSpaceDE/>
              <w:autoSpaceDN/>
              <w:adjustRightInd/>
              <w:spacing w:after="0"/>
              <w:textAlignment w:val="auto"/>
              <w:rPr>
                <w:rFonts w:eastAsia="Batang"/>
                <w:b/>
                <w:bCs/>
                <w:color w:val="000000"/>
                <w:sz w:val="20"/>
                <w:szCs w:val="20"/>
                <w:lang w:val="en-US" w:eastAsia="ko-KR"/>
              </w:rPr>
            </w:pPr>
            <w:r w:rsidRPr="0068537A">
              <w:rPr>
                <w:rFonts w:eastAsia="Batang"/>
                <w:b/>
                <w:bCs/>
                <w:color w:val="000000"/>
                <w:sz w:val="20"/>
                <w:szCs w:val="20"/>
                <w:lang w:eastAsia="en-US"/>
              </w:rPr>
              <w:t>Conclusion</w:t>
            </w:r>
          </w:p>
          <w:p w14:paraId="3C1ECC15" w14:textId="77777777" w:rsidR="0068537A" w:rsidRPr="0068537A" w:rsidRDefault="0068537A" w:rsidP="0068537A">
            <w:pPr>
              <w:overflowPunct/>
              <w:autoSpaceDE/>
              <w:autoSpaceDN/>
              <w:adjustRightInd/>
              <w:spacing w:after="0"/>
              <w:textAlignment w:val="auto"/>
              <w:rPr>
                <w:rFonts w:eastAsia="Batang"/>
                <w:color w:val="000000"/>
                <w:sz w:val="20"/>
                <w:szCs w:val="20"/>
                <w:lang w:eastAsia="en-US"/>
              </w:rPr>
            </w:pPr>
            <w:r w:rsidRPr="0068537A">
              <w:rPr>
                <w:rFonts w:eastAsia="Batang"/>
                <w:color w:val="000000"/>
                <w:sz w:val="20"/>
                <w:szCs w:val="20"/>
                <w:lang w:eastAsia="en-US"/>
              </w:rPr>
              <w:t>For the unicast case</w:t>
            </w:r>
          </w:p>
          <w:p w14:paraId="04880E36" w14:textId="77777777" w:rsidR="0068537A" w:rsidRPr="0068537A" w:rsidRDefault="0068537A" w:rsidP="0068537A">
            <w:pPr>
              <w:numPr>
                <w:ilvl w:val="0"/>
                <w:numId w:val="39"/>
              </w:numPr>
              <w:overflowPunct/>
              <w:autoSpaceDE/>
              <w:autoSpaceDN/>
              <w:adjustRightInd/>
              <w:spacing w:after="0"/>
              <w:contextualSpacing/>
              <w:textAlignment w:val="auto"/>
              <w:rPr>
                <w:rFonts w:eastAsia="SimSun"/>
                <w:color w:val="000000"/>
                <w:sz w:val="20"/>
                <w:szCs w:val="20"/>
              </w:rPr>
            </w:pPr>
            <w:r w:rsidRPr="0068537A">
              <w:rPr>
                <w:rFonts w:eastAsia="SimSun"/>
                <w:color w:val="000000"/>
                <w:sz w:val="20"/>
                <w:szCs w:val="20"/>
              </w:rPr>
              <w:t>There is no consensus in RAN1#100e for the proposal to specify explicit unicast scheduling gaps.</w:t>
            </w:r>
          </w:p>
          <w:p w14:paraId="7295D327" w14:textId="77777777" w:rsidR="0068537A" w:rsidRPr="0068537A" w:rsidRDefault="0068537A" w:rsidP="0068537A">
            <w:pPr>
              <w:numPr>
                <w:ilvl w:val="0"/>
                <w:numId w:val="39"/>
              </w:numPr>
              <w:overflowPunct/>
              <w:autoSpaceDE/>
              <w:autoSpaceDN/>
              <w:adjustRightInd/>
              <w:spacing w:after="0"/>
              <w:contextualSpacing/>
              <w:textAlignment w:val="auto"/>
              <w:rPr>
                <w:rFonts w:eastAsia="SimSun"/>
                <w:color w:val="000000"/>
                <w:sz w:val="20"/>
                <w:szCs w:val="20"/>
              </w:rPr>
            </w:pPr>
            <w:r w:rsidRPr="0068537A">
              <w:rPr>
                <w:rFonts w:eastAsia="SimSun"/>
                <w:color w:val="000000"/>
                <w:sz w:val="20"/>
                <w:szCs w:val="20"/>
              </w:rPr>
              <w:t>Since unicast scheduling gaps are included in the draft RAN1 UE feature list, there may be a need to update the feature list, and this is something that can be brought up in the email discussion for the feature list.</w:t>
            </w:r>
          </w:p>
          <w:p w14:paraId="78D27F71" w14:textId="77777777" w:rsidR="0068537A" w:rsidRPr="0068537A" w:rsidRDefault="0068537A" w:rsidP="0068537A">
            <w:pPr>
              <w:overflowPunct/>
              <w:autoSpaceDE/>
              <w:autoSpaceDN/>
              <w:adjustRightInd/>
              <w:spacing w:after="0"/>
              <w:textAlignment w:val="auto"/>
              <w:rPr>
                <w:rFonts w:eastAsia="Batang"/>
                <w:color w:val="000000"/>
                <w:sz w:val="20"/>
                <w:szCs w:val="20"/>
                <w:lang w:eastAsia="en-US"/>
              </w:rPr>
            </w:pPr>
            <w:r w:rsidRPr="0068537A">
              <w:rPr>
                <w:rFonts w:eastAsia="Batang"/>
                <w:color w:val="000000"/>
                <w:sz w:val="20"/>
                <w:szCs w:val="20"/>
                <w:lang w:eastAsia="en-US"/>
              </w:rPr>
              <w:t>For the multicast case</w:t>
            </w:r>
          </w:p>
          <w:p w14:paraId="3E70110E" w14:textId="77777777" w:rsidR="0068537A" w:rsidRPr="0068537A" w:rsidRDefault="0068537A" w:rsidP="0068537A">
            <w:pPr>
              <w:numPr>
                <w:ilvl w:val="0"/>
                <w:numId w:val="33"/>
              </w:numPr>
              <w:overflowPunct/>
              <w:autoSpaceDE/>
              <w:autoSpaceDN/>
              <w:adjustRightInd/>
              <w:spacing w:after="0"/>
              <w:contextualSpacing/>
              <w:textAlignment w:val="auto"/>
              <w:rPr>
                <w:rFonts w:eastAsia="SimSun"/>
                <w:sz w:val="20"/>
                <w:szCs w:val="20"/>
              </w:rPr>
            </w:pPr>
            <w:r w:rsidRPr="0068537A">
              <w:rPr>
                <w:rFonts w:eastAsia="SimSun"/>
                <w:sz w:val="20"/>
                <w:szCs w:val="20"/>
              </w:rPr>
              <w:t>There is no consensus in RAN1#100e for the proposal to insert the scheduling gaps before each TB instead of after each TB.</w:t>
            </w:r>
          </w:p>
          <w:p w14:paraId="57AC6BB5" w14:textId="2261D1B5" w:rsidR="00205265" w:rsidRPr="0068537A" w:rsidRDefault="00205265" w:rsidP="00205265">
            <w:pPr>
              <w:overflowPunct/>
              <w:autoSpaceDE/>
              <w:autoSpaceDN/>
              <w:adjustRightInd/>
              <w:spacing w:after="0"/>
              <w:contextualSpacing/>
              <w:textAlignment w:val="auto"/>
              <w:rPr>
                <w:rFonts w:eastAsia="SimSun"/>
                <w:sz w:val="20"/>
                <w:szCs w:val="20"/>
              </w:rPr>
            </w:pPr>
          </w:p>
        </w:tc>
      </w:tr>
    </w:tbl>
    <w:p w14:paraId="1E3E271C" w14:textId="77777777" w:rsidR="00205265" w:rsidRDefault="00205265" w:rsidP="00D91ED6">
      <w:pPr>
        <w:pStyle w:val="BodyText"/>
        <w:rPr>
          <w:rFonts w:cs="Arial"/>
        </w:rPr>
      </w:pPr>
    </w:p>
    <w:p w14:paraId="61CA692E" w14:textId="2AC1E650" w:rsidR="001B2238" w:rsidRDefault="00F11F22" w:rsidP="00A31F02">
      <w:pPr>
        <w:pStyle w:val="BodyText"/>
        <w:rPr>
          <w:rFonts w:cs="Arial"/>
          <w:lang w:val="en-US"/>
        </w:rPr>
      </w:pPr>
      <w:r w:rsidRPr="00A371ED">
        <w:rPr>
          <w:rFonts w:cs="Arial"/>
          <w:lang w:val="en-US"/>
        </w:rPr>
        <w:t xml:space="preserve">This document </w:t>
      </w:r>
      <w:bookmarkStart w:id="2" w:name="_Hlk32837749"/>
      <w:r w:rsidRPr="00A371ED">
        <w:rPr>
          <w:rFonts w:cs="Arial"/>
          <w:lang w:val="en-US"/>
        </w:rPr>
        <w:t xml:space="preserve">provides a </w:t>
      </w:r>
      <w:r w:rsidR="009F2E00">
        <w:rPr>
          <w:rFonts w:cs="Arial"/>
          <w:lang w:val="en-US"/>
        </w:rPr>
        <w:t xml:space="preserve">prioritized </w:t>
      </w:r>
      <w:r w:rsidRPr="003B0509">
        <w:rPr>
          <w:rFonts w:cs="Arial"/>
          <w:lang w:val="en-US"/>
        </w:rPr>
        <w:t>list of issues</w:t>
      </w:r>
      <w:r w:rsidR="00F40463">
        <w:rPr>
          <w:rFonts w:cs="Arial"/>
          <w:lang w:val="en-US"/>
        </w:rPr>
        <w:t xml:space="preserve"> and </w:t>
      </w:r>
      <w:r w:rsidRPr="003B0509">
        <w:rPr>
          <w:rFonts w:cs="Arial"/>
          <w:lang w:val="en-US"/>
        </w:rPr>
        <w:t xml:space="preserve">proposals </w:t>
      </w:r>
      <w:r w:rsidRPr="00A371ED">
        <w:rPr>
          <w:rFonts w:cs="Arial"/>
          <w:lang w:val="en-US"/>
        </w:rPr>
        <w:t xml:space="preserve">based on the contributions </w:t>
      </w:r>
      <w:bookmarkEnd w:id="2"/>
      <w:r w:rsidRPr="00A371ED">
        <w:rPr>
          <w:rFonts w:cs="Arial"/>
          <w:lang w:val="en-US"/>
        </w:rPr>
        <w:t xml:space="preserve">in </w:t>
      </w:r>
      <w:r w:rsidR="00745742">
        <w:rPr>
          <w:rFonts w:cs="Arial"/>
          <w:lang w:val="en-US"/>
        </w:rPr>
        <w:fldChar w:fldCharType="begin"/>
      </w:r>
      <w:r w:rsidR="00745742">
        <w:rPr>
          <w:rFonts w:cs="Arial"/>
          <w:lang w:val="en-US"/>
        </w:rPr>
        <w:instrText xml:space="preserve"> REF _Ref37793306 \r \h </w:instrText>
      </w:r>
      <w:r w:rsidR="00745742">
        <w:rPr>
          <w:rFonts w:cs="Arial"/>
          <w:lang w:val="en-US"/>
        </w:rPr>
      </w:r>
      <w:r w:rsidR="00745742">
        <w:rPr>
          <w:rFonts w:cs="Arial"/>
          <w:lang w:val="en-US"/>
        </w:rPr>
        <w:fldChar w:fldCharType="separate"/>
      </w:r>
      <w:r w:rsidR="007954CD">
        <w:rPr>
          <w:rFonts w:cs="Arial"/>
          <w:lang w:val="en-US"/>
        </w:rPr>
        <w:t>[17]</w:t>
      </w:r>
      <w:r w:rsidR="00745742">
        <w:rPr>
          <w:rFonts w:cs="Arial"/>
          <w:lang w:val="en-US"/>
        </w:rPr>
        <w:fldChar w:fldCharType="end"/>
      </w:r>
      <w:r w:rsidR="00745742">
        <w:rPr>
          <w:rFonts w:cs="Arial"/>
          <w:lang w:val="en-US"/>
        </w:rPr>
        <w:t xml:space="preserve"> </w:t>
      </w:r>
      <w:r w:rsidRPr="00A371ED">
        <w:rPr>
          <w:rFonts w:cs="Arial"/>
          <w:lang w:val="en-US"/>
        </w:rPr>
        <w:t>–</w:t>
      </w:r>
      <w:r w:rsidR="00745742">
        <w:rPr>
          <w:rFonts w:cs="Arial"/>
          <w:lang w:val="en-US"/>
        </w:rPr>
        <w:t xml:space="preserve"> </w:t>
      </w:r>
      <w:r w:rsidR="00745742">
        <w:rPr>
          <w:rFonts w:cs="Arial"/>
          <w:lang w:val="en-US"/>
        </w:rPr>
        <w:fldChar w:fldCharType="begin"/>
      </w:r>
      <w:r w:rsidR="00745742">
        <w:rPr>
          <w:rFonts w:cs="Arial"/>
          <w:lang w:val="en-US"/>
        </w:rPr>
        <w:instrText xml:space="preserve"> REF _Ref37793317 \r \h </w:instrText>
      </w:r>
      <w:r w:rsidR="00745742">
        <w:rPr>
          <w:rFonts w:cs="Arial"/>
          <w:lang w:val="en-US"/>
        </w:rPr>
      </w:r>
      <w:r w:rsidR="00745742">
        <w:rPr>
          <w:rFonts w:cs="Arial"/>
          <w:lang w:val="en-US"/>
        </w:rPr>
        <w:fldChar w:fldCharType="separate"/>
      </w:r>
      <w:r w:rsidR="007954CD">
        <w:rPr>
          <w:rFonts w:cs="Arial"/>
          <w:lang w:val="en-US"/>
        </w:rPr>
        <w:t>[23]</w:t>
      </w:r>
      <w:r w:rsidR="00745742">
        <w:rPr>
          <w:rFonts w:cs="Arial"/>
          <w:lang w:val="en-US"/>
        </w:rPr>
        <w:fldChar w:fldCharType="end"/>
      </w:r>
      <w:r w:rsidRPr="00A371ED">
        <w:rPr>
          <w:rFonts w:cs="Arial"/>
          <w:lang w:val="en-US"/>
        </w:rPr>
        <w:t>.</w:t>
      </w:r>
      <w:bookmarkStart w:id="3" w:name="_Ref178064866"/>
    </w:p>
    <w:p w14:paraId="176BE45D" w14:textId="15AB5D40" w:rsidR="007D795E" w:rsidRPr="008E64C2" w:rsidRDefault="007D795E" w:rsidP="007D795E">
      <w:pPr>
        <w:pStyle w:val="Heading1"/>
      </w:pPr>
      <w:r w:rsidRPr="008E64C2">
        <w:t>Issue #</w:t>
      </w:r>
      <w:r w:rsidR="008916C4">
        <w:t>3</w:t>
      </w:r>
      <w:r w:rsidRPr="008E64C2">
        <w:t xml:space="preserve">: </w:t>
      </w:r>
      <w:r>
        <w:t xml:space="preserve">HARQ-ACK </w:t>
      </w:r>
      <w:r w:rsidRPr="00B575E5">
        <w:t>bundl</w:t>
      </w:r>
      <w:r>
        <w:t>ing</w:t>
      </w:r>
      <w:r w:rsidRPr="00B575E5">
        <w:t xml:space="preserve"> </w:t>
      </w:r>
      <w:r>
        <w:t>size</w:t>
      </w:r>
    </w:p>
    <w:p w14:paraId="21248666" w14:textId="228A663D" w:rsidR="007D795E" w:rsidRDefault="007D795E" w:rsidP="007D795E">
      <w:pPr>
        <w:pStyle w:val="BodyText"/>
      </w:pPr>
      <w:r>
        <w:t xml:space="preserve">RAN1#100e identified a need to define the mapping between </w:t>
      </w:r>
      <w:r w:rsidRPr="005A69CF">
        <w:t>DCI field ‘Multi-TB HARQ-ACK bundling size’ in 36.212 and parameter ‘M’ in 36.213</w:t>
      </w:r>
      <w:r>
        <w:t xml:space="preserve">. The 36.212 editor’s interpretation of the earlier RAN1 agreements is presented in </w:t>
      </w:r>
      <w:proofErr w:type="spellStart"/>
      <w:r>
        <w:t>Futurewei’s</w:t>
      </w:r>
      <w:proofErr w:type="spellEnd"/>
      <w:r>
        <w:t xml:space="preserve"> contribution </w:t>
      </w:r>
      <w:r>
        <w:fldChar w:fldCharType="begin"/>
      </w:r>
      <w:r>
        <w:instrText xml:space="preserve"> REF _Ref37793317 \r \h </w:instrText>
      </w:r>
      <w:r>
        <w:fldChar w:fldCharType="separate"/>
      </w:r>
      <w:r w:rsidR="007954CD">
        <w:t>[23]</w:t>
      </w:r>
      <w:r>
        <w:fldChar w:fldCharType="end"/>
      </w:r>
      <w:r>
        <w:t>.</w:t>
      </w:r>
    </w:p>
    <w:p w14:paraId="1144BCE4" w14:textId="1EB53822" w:rsidR="007D795E" w:rsidRDefault="007D795E" w:rsidP="007D795E">
      <w:pPr>
        <w:pStyle w:val="BodyText"/>
      </w:pPr>
      <w:r>
        <w:t xml:space="preserve">Huawei’s contribution </w:t>
      </w:r>
      <w:r>
        <w:fldChar w:fldCharType="begin"/>
      </w:r>
      <w:r>
        <w:instrText xml:space="preserve"> REF _Ref37793306 \r \h </w:instrText>
      </w:r>
      <w:r>
        <w:fldChar w:fldCharType="separate"/>
      </w:r>
      <w:r w:rsidR="007954CD">
        <w:t>[17]</w:t>
      </w:r>
      <w:r>
        <w:fldChar w:fldCharType="end"/>
      </w:r>
      <w:r>
        <w:t xml:space="preserve"> and ZTE’s contribution </w:t>
      </w:r>
      <w:r>
        <w:fldChar w:fldCharType="begin"/>
      </w:r>
      <w:r>
        <w:instrText xml:space="preserve"> REF _Ref37807558 \r \h </w:instrText>
      </w:r>
      <w:r>
        <w:fldChar w:fldCharType="separate"/>
      </w:r>
      <w:r w:rsidR="007954CD">
        <w:t>[18]</w:t>
      </w:r>
      <w:r>
        <w:fldChar w:fldCharType="end"/>
      </w:r>
      <w:r>
        <w:t xml:space="preserve"> propose to map 0-3 in 36.212 to 1-4 in 36.213, whereas Qualcomm’s contribution </w:t>
      </w:r>
      <w:r>
        <w:fldChar w:fldCharType="begin"/>
      </w:r>
      <w:r>
        <w:instrText xml:space="preserve"> REF _Ref37807609 \r \h </w:instrText>
      </w:r>
      <w:r>
        <w:fldChar w:fldCharType="separate"/>
      </w:r>
      <w:r w:rsidR="007954CD">
        <w:t>[20]</w:t>
      </w:r>
      <w:r>
        <w:fldChar w:fldCharType="end"/>
      </w:r>
      <w:r>
        <w:t xml:space="preserve"> proposes to use 1 instead of 2 bits in the DCI and derive the bundle size from a table in the specification (see Section 2.3 in Huawei’s contribution, Section 2.2.4 in ZTE’s contribution, Issue #1 in Qualcomm’s contribution and Issue #2 in Ericsson’s contribution for further discussion).</w:t>
      </w:r>
    </w:p>
    <w:p w14:paraId="150F3565" w14:textId="3D65F464" w:rsidR="007D795E" w:rsidRDefault="00427514" w:rsidP="00427514">
      <w:pPr>
        <w:pStyle w:val="Proposal"/>
        <w:numPr>
          <w:ilvl w:val="0"/>
          <w:numId w:val="0"/>
        </w:numPr>
        <w:ind w:left="1304" w:hanging="1304"/>
        <w:rPr>
          <w:highlight w:val="yellow"/>
        </w:rPr>
      </w:pPr>
      <w:r>
        <w:rPr>
          <w:highlight w:val="yellow"/>
        </w:rPr>
        <w:t>Proposal 3-1:</w:t>
      </w:r>
      <w:r>
        <w:rPr>
          <w:highlight w:val="yellow"/>
        </w:rPr>
        <w:tab/>
      </w:r>
      <w:r w:rsidR="007D795E" w:rsidRPr="00C32906">
        <w:rPr>
          <w:highlight w:val="yellow"/>
        </w:rPr>
        <w:t>Discuss and decide on a mapping between DCI field ‘Multi-TB HARQ-ACK bundling size’ in 36.212 and parameter ‘M’ in 36.213.</w:t>
      </w:r>
    </w:p>
    <w:tbl>
      <w:tblPr>
        <w:tblStyle w:val="TableGrid"/>
        <w:tblW w:w="0" w:type="auto"/>
        <w:tblLook w:val="04A0" w:firstRow="1" w:lastRow="0" w:firstColumn="1" w:lastColumn="0" w:noHBand="0" w:noVBand="1"/>
      </w:tblPr>
      <w:tblGrid>
        <w:gridCol w:w="2263"/>
        <w:gridCol w:w="7366"/>
      </w:tblGrid>
      <w:tr w:rsidR="00C875E7" w14:paraId="5896B7EA" w14:textId="77777777" w:rsidTr="00832506">
        <w:tc>
          <w:tcPr>
            <w:tcW w:w="2263" w:type="dxa"/>
            <w:shd w:val="clear" w:color="auto" w:fill="BFBFBF" w:themeFill="background1" w:themeFillShade="BF"/>
          </w:tcPr>
          <w:p w14:paraId="6EBF0923" w14:textId="77777777" w:rsidR="00C875E7" w:rsidRPr="00330BD6" w:rsidRDefault="00C875E7" w:rsidP="00832506">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31CE7622" w14:textId="3B65A56D" w:rsidR="00C875E7" w:rsidRPr="00330BD6" w:rsidRDefault="00C875E7" w:rsidP="00832506">
            <w:pPr>
              <w:pStyle w:val="BodyText"/>
              <w:rPr>
                <w:b/>
                <w:bCs/>
                <w:sz w:val="20"/>
                <w:szCs w:val="20"/>
              </w:rPr>
            </w:pPr>
            <w:r w:rsidRPr="00330BD6">
              <w:rPr>
                <w:b/>
                <w:bCs/>
                <w:sz w:val="20"/>
                <w:szCs w:val="20"/>
              </w:rPr>
              <w:t>Comments</w:t>
            </w:r>
            <w:r>
              <w:rPr>
                <w:b/>
                <w:bCs/>
                <w:sz w:val="20"/>
                <w:szCs w:val="20"/>
              </w:rPr>
              <w:t xml:space="preserve"> on Proposal </w:t>
            </w:r>
            <w:r w:rsidR="00427514">
              <w:rPr>
                <w:b/>
                <w:bCs/>
                <w:sz w:val="20"/>
                <w:szCs w:val="20"/>
              </w:rPr>
              <w:t>3-1</w:t>
            </w:r>
          </w:p>
        </w:tc>
      </w:tr>
      <w:tr w:rsidR="00C875E7" w14:paraId="1B9312DD" w14:textId="77777777" w:rsidTr="00832506">
        <w:tc>
          <w:tcPr>
            <w:tcW w:w="2263" w:type="dxa"/>
          </w:tcPr>
          <w:p w14:paraId="291A6360" w14:textId="4B1F333E" w:rsidR="00C875E7" w:rsidRPr="00112077" w:rsidRDefault="009445F9" w:rsidP="00832506">
            <w:pPr>
              <w:pStyle w:val="BodyText"/>
              <w:rPr>
                <w:color w:val="C00000"/>
                <w:sz w:val="20"/>
                <w:szCs w:val="20"/>
              </w:rPr>
            </w:pPr>
            <w:r w:rsidRPr="00112077">
              <w:rPr>
                <w:color w:val="C00000"/>
                <w:sz w:val="20"/>
                <w:szCs w:val="20"/>
              </w:rPr>
              <w:t>Qualcomm</w:t>
            </w:r>
          </w:p>
        </w:tc>
        <w:tc>
          <w:tcPr>
            <w:tcW w:w="7366" w:type="dxa"/>
          </w:tcPr>
          <w:p w14:paraId="3B7C91FB" w14:textId="2521C8E6" w:rsidR="00587B69" w:rsidRPr="00112077" w:rsidRDefault="00E43AA7" w:rsidP="00832506">
            <w:pPr>
              <w:pStyle w:val="BodyText"/>
              <w:rPr>
                <w:color w:val="C00000"/>
                <w:sz w:val="20"/>
                <w:szCs w:val="20"/>
              </w:rPr>
            </w:pPr>
            <w:r w:rsidRPr="00112077">
              <w:rPr>
                <w:color w:val="C00000"/>
                <w:sz w:val="20"/>
                <w:szCs w:val="20"/>
              </w:rPr>
              <w:t xml:space="preserve">We propose a </w:t>
            </w:r>
            <w:r w:rsidR="000A0CF1" w:rsidRPr="0097379D">
              <w:rPr>
                <w:b/>
                <w:bCs/>
                <w:color w:val="C00000"/>
                <w:sz w:val="20"/>
                <w:szCs w:val="20"/>
              </w:rPr>
              <w:t>„</w:t>
            </w:r>
            <w:r w:rsidRPr="0097379D">
              <w:rPr>
                <w:b/>
                <w:bCs/>
                <w:color w:val="C00000"/>
                <w:sz w:val="20"/>
                <w:szCs w:val="20"/>
              </w:rPr>
              <w:t>1-bit field in the DCI</w:t>
            </w:r>
            <w:r w:rsidR="000A0CF1" w:rsidRPr="0097379D">
              <w:rPr>
                <w:b/>
                <w:bCs/>
                <w:color w:val="C00000"/>
                <w:sz w:val="20"/>
                <w:szCs w:val="20"/>
              </w:rPr>
              <w:t>“</w:t>
            </w:r>
            <w:r w:rsidRPr="00112077">
              <w:rPr>
                <w:color w:val="C00000"/>
                <w:sz w:val="20"/>
                <w:szCs w:val="20"/>
              </w:rPr>
              <w:t xml:space="preserve"> that </w:t>
            </w:r>
            <w:r w:rsidR="00826058" w:rsidRPr="00112077">
              <w:rPr>
                <w:color w:val="C00000"/>
                <w:sz w:val="20"/>
                <w:szCs w:val="20"/>
              </w:rPr>
              <w:t>determines the size of the bundles</w:t>
            </w:r>
            <w:r w:rsidR="00754280" w:rsidRPr="00112077">
              <w:rPr>
                <w:color w:val="C00000"/>
                <w:sz w:val="20"/>
                <w:szCs w:val="20"/>
              </w:rPr>
              <w:t xml:space="preserve"> for the purposes of HARQ-ACK bundling. </w:t>
            </w:r>
            <w:r w:rsidR="00C70198">
              <w:rPr>
                <w:color w:val="C00000"/>
                <w:sz w:val="20"/>
                <w:szCs w:val="20"/>
              </w:rPr>
              <w:t>W</w:t>
            </w:r>
            <w:r w:rsidR="00C70198" w:rsidRPr="00112077">
              <w:rPr>
                <w:color w:val="C00000"/>
                <w:sz w:val="20"/>
                <w:szCs w:val="20"/>
              </w:rPr>
              <w:t xml:space="preserve">e propose to </w:t>
            </w:r>
            <w:r w:rsidR="00C70198" w:rsidRPr="00392487">
              <w:rPr>
                <w:b/>
                <w:bCs/>
                <w:color w:val="C00000"/>
                <w:sz w:val="20"/>
                <w:szCs w:val="20"/>
              </w:rPr>
              <w:t xml:space="preserve">endorse TP1 in Section 1 of </w:t>
            </w:r>
            <w:hyperlink r:id="rId15" w:history="1">
              <w:r w:rsidR="00C70198" w:rsidRPr="00392487">
                <w:rPr>
                  <w:rStyle w:val="Hyperlink"/>
                  <w:rFonts w:cs="Arial"/>
                  <w:b/>
                  <w:bCs/>
                  <w:color w:val="C00000"/>
                </w:rPr>
                <w:t>R1-2002174</w:t>
              </w:r>
            </w:hyperlink>
            <w:r w:rsidR="00C70198">
              <w:rPr>
                <w:rStyle w:val="Hyperlink"/>
                <w:rFonts w:cs="Arial"/>
                <w:b/>
                <w:bCs/>
                <w:color w:val="C00000"/>
              </w:rPr>
              <w:t>.</w:t>
            </w:r>
          </w:p>
          <w:p w14:paraId="1C29687F" w14:textId="5B41586C" w:rsidR="00B856D5" w:rsidRPr="00112077" w:rsidRDefault="00754280" w:rsidP="00832506">
            <w:pPr>
              <w:pStyle w:val="BodyText"/>
              <w:rPr>
                <w:color w:val="C00000"/>
                <w:sz w:val="20"/>
                <w:szCs w:val="20"/>
              </w:rPr>
            </w:pPr>
            <w:r w:rsidRPr="00112077">
              <w:rPr>
                <w:color w:val="C00000"/>
                <w:sz w:val="20"/>
                <w:szCs w:val="20"/>
              </w:rPr>
              <w:t xml:space="preserve">Please note the following </w:t>
            </w:r>
            <w:r w:rsidRPr="0097379D">
              <w:rPr>
                <w:b/>
                <w:bCs/>
                <w:color w:val="C00000"/>
                <w:sz w:val="20"/>
                <w:szCs w:val="20"/>
              </w:rPr>
              <w:t>„technical“</w:t>
            </w:r>
            <w:r w:rsidRPr="00112077">
              <w:rPr>
                <w:color w:val="C00000"/>
                <w:sz w:val="20"/>
                <w:szCs w:val="20"/>
              </w:rPr>
              <w:t xml:space="preserve"> reasons for this</w:t>
            </w:r>
            <w:r w:rsidR="001F7C5C" w:rsidRPr="00112077">
              <w:rPr>
                <w:color w:val="C00000"/>
                <w:sz w:val="20"/>
                <w:szCs w:val="20"/>
              </w:rPr>
              <w:t xml:space="preserve">—in addition to the point that there is </w:t>
            </w:r>
            <w:r w:rsidR="001F7C5C" w:rsidRPr="00677229">
              <w:rPr>
                <w:b/>
                <w:bCs/>
                <w:color w:val="C00000"/>
                <w:sz w:val="20"/>
                <w:szCs w:val="20"/>
              </w:rPr>
              <w:t xml:space="preserve">no „agreement“ </w:t>
            </w:r>
            <w:r w:rsidR="00CF1E6B" w:rsidRPr="00677229">
              <w:rPr>
                <w:b/>
                <w:bCs/>
                <w:color w:val="C00000"/>
                <w:sz w:val="20"/>
                <w:szCs w:val="20"/>
              </w:rPr>
              <w:t>on this field</w:t>
            </w:r>
            <w:r w:rsidR="001F7C5C" w:rsidRPr="00112077">
              <w:rPr>
                <w:color w:val="C00000"/>
                <w:sz w:val="20"/>
                <w:szCs w:val="20"/>
              </w:rPr>
              <w:t>, as has been outlined by us in the past.</w:t>
            </w:r>
          </w:p>
          <w:p w14:paraId="2C6F743D" w14:textId="3F8433D5" w:rsidR="00C875E7" w:rsidRPr="00112077" w:rsidRDefault="00B856D5" w:rsidP="00B856D5">
            <w:pPr>
              <w:pStyle w:val="BodyText"/>
              <w:numPr>
                <w:ilvl w:val="0"/>
                <w:numId w:val="188"/>
              </w:numPr>
              <w:rPr>
                <w:color w:val="C00000"/>
                <w:sz w:val="20"/>
                <w:szCs w:val="20"/>
              </w:rPr>
            </w:pPr>
            <w:r w:rsidRPr="00112077">
              <w:rPr>
                <w:color w:val="C00000"/>
                <w:sz w:val="20"/>
                <w:szCs w:val="20"/>
              </w:rPr>
              <w:t xml:space="preserve">For less than 4 TBs scheduled (which is a practical use case), </w:t>
            </w:r>
            <w:r w:rsidR="008313F8" w:rsidRPr="00184596">
              <w:rPr>
                <w:b/>
                <w:bCs/>
                <w:color w:val="C00000"/>
                <w:sz w:val="20"/>
                <w:szCs w:val="20"/>
              </w:rPr>
              <w:t xml:space="preserve">we </w:t>
            </w:r>
            <w:r w:rsidR="00542509" w:rsidRPr="00184596">
              <w:rPr>
                <w:b/>
                <w:bCs/>
                <w:color w:val="C00000"/>
                <w:sz w:val="20"/>
                <w:szCs w:val="20"/>
              </w:rPr>
              <w:t>don</w:t>
            </w:r>
            <w:r w:rsidR="006F0C9B" w:rsidRPr="00184596">
              <w:rPr>
                <w:b/>
                <w:bCs/>
                <w:color w:val="C00000"/>
                <w:sz w:val="20"/>
                <w:szCs w:val="20"/>
              </w:rPr>
              <w:t>‘</w:t>
            </w:r>
            <w:r w:rsidR="00542509" w:rsidRPr="00184596">
              <w:rPr>
                <w:b/>
                <w:bCs/>
                <w:color w:val="C00000"/>
                <w:sz w:val="20"/>
                <w:szCs w:val="20"/>
              </w:rPr>
              <w:t>t even have 4 states</w:t>
            </w:r>
            <w:r w:rsidR="00542509" w:rsidRPr="00112077">
              <w:rPr>
                <w:color w:val="C00000"/>
                <w:sz w:val="20"/>
                <w:szCs w:val="20"/>
              </w:rPr>
              <w:t xml:space="preserve"> to be represented by 2 bits. </w:t>
            </w:r>
            <w:r w:rsidR="007C14A1" w:rsidRPr="00112077">
              <w:rPr>
                <w:color w:val="C00000"/>
                <w:sz w:val="20"/>
                <w:szCs w:val="20"/>
              </w:rPr>
              <w:t>Please recall the often painful negotiations during this work item</w:t>
            </w:r>
            <w:r w:rsidR="00BB524D" w:rsidRPr="00112077">
              <w:rPr>
                <w:color w:val="C00000"/>
                <w:sz w:val="20"/>
                <w:szCs w:val="20"/>
              </w:rPr>
              <w:t xml:space="preserve"> on </w:t>
            </w:r>
            <w:r w:rsidR="00BB524D" w:rsidRPr="00184596">
              <w:rPr>
                <w:b/>
                <w:bCs/>
                <w:color w:val="C00000"/>
                <w:sz w:val="20"/>
                <w:szCs w:val="20"/>
              </w:rPr>
              <w:t xml:space="preserve">„saving </w:t>
            </w:r>
            <w:r w:rsidR="002D7BFF" w:rsidRPr="00184596">
              <w:rPr>
                <w:b/>
                <w:bCs/>
                <w:color w:val="C00000"/>
                <w:sz w:val="20"/>
                <w:szCs w:val="20"/>
              </w:rPr>
              <w:t>every</w:t>
            </w:r>
            <w:r w:rsidR="00BB524D" w:rsidRPr="00184596">
              <w:rPr>
                <w:b/>
                <w:bCs/>
                <w:color w:val="C00000"/>
                <w:sz w:val="20"/>
                <w:szCs w:val="20"/>
              </w:rPr>
              <w:t xml:space="preserve"> bit“ in the DCI design</w:t>
            </w:r>
            <w:r w:rsidR="00BB524D" w:rsidRPr="00112077">
              <w:rPr>
                <w:color w:val="C00000"/>
                <w:sz w:val="20"/>
                <w:szCs w:val="20"/>
              </w:rPr>
              <w:t>—we must respect that principle here</w:t>
            </w:r>
            <w:r w:rsidR="003E0B91" w:rsidRPr="00112077">
              <w:rPr>
                <w:color w:val="C00000"/>
                <w:sz w:val="20"/>
                <w:szCs w:val="20"/>
              </w:rPr>
              <w:t xml:space="preserve">. Indeed, each bit added to </w:t>
            </w:r>
            <w:r w:rsidR="00ED3BC3" w:rsidRPr="00112077">
              <w:rPr>
                <w:color w:val="C00000"/>
                <w:sz w:val="20"/>
                <w:szCs w:val="20"/>
              </w:rPr>
              <w:t xml:space="preserve">the </w:t>
            </w:r>
            <w:r w:rsidR="003E0B91" w:rsidRPr="00112077">
              <w:rPr>
                <w:color w:val="C00000"/>
                <w:sz w:val="20"/>
                <w:szCs w:val="20"/>
              </w:rPr>
              <w:t xml:space="preserve">DCI </w:t>
            </w:r>
            <w:r w:rsidR="00ED3BC3" w:rsidRPr="00112077">
              <w:rPr>
                <w:color w:val="C00000"/>
                <w:sz w:val="20"/>
                <w:szCs w:val="20"/>
              </w:rPr>
              <w:t>reduces</w:t>
            </w:r>
            <w:r w:rsidR="003E0B91" w:rsidRPr="00112077">
              <w:rPr>
                <w:color w:val="C00000"/>
                <w:sz w:val="20"/>
                <w:szCs w:val="20"/>
              </w:rPr>
              <w:t xml:space="preserve"> MPDCCH coverage</w:t>
            </w:r>
            <w:r w:rsidR="00ED3BC3" w:rsidRPr="00112077">
              <w:rPr>
                <w:color w:val="C00000"/>
                <w:sz w:val="20"/>
                <w:szCs w:val="20"/>
              </w:rPr>
              <w:t>.</w:t>
            </w:r>
            <w:r w:rsidR="00E43AA7" w:rsidRPr="00112077">
              <w:rPr>
                <w:color w:val="C00000"/>
                <w:sz w:val="20"/>
                <w:szCs w:val="20"/>
              </w:rPr>
              <w:t xml:space="preserve"> </w:t>
            </w:r>
          </w:p>
          <w:p w14:paraId="2525ADE5" w14:textId="08C17A34" w:rsidR="00542509" w:rsidRPr="00112077" w:rsidRDefault="00542509" w:rsidP="00B856D5">
            <w:pPr>
              <w:pStyle w:val="BodyText"/>
              <w:numPr>
                <w:ilvl w:val="0"/>
                <w:numId w:val="188"/>
              </w:numPr>
              <w:rPr>
                <w:color w:val="C00000"/>
                <w:sz w:val="20"/>
                <w:szCs w:val="20"/>
              </w:rPr>
            </w:pPr>
            <w:r w:rsidRPr="00112077">
              <w:rPr>
                <w:color w:val="C00000"/>
                <w:sz w:val="20"/>
                <w:szCs w:val="20"/>
              </w:rPr>
              <w:t xml:space="preserve">In several cases, </w:t>
            </w:r>
            <w:r w:rsidR="00CE3972" w:rsidRPr="00184596">
              <w:rPr>
                <w:b/>
                <w:bCs/>
                <w:color w:val="C00000"/>
                <w:sz w:val="20"/>
                <w:szCs w:val="20"/>
              </w:rPr>
              <w:t>many of the states (represented by 4 codepoints) are worse than others</w:t>
            </w:r>
            <w:r w:rsidR="0056698D" w:rsidRPr="00184596">
              <w:rPr>
                <w:b/>
                <w:bCs/>
                <w:color w:val="C00000"/>
                <w:sz w:val="20"/>
                <w:szCs w:val="20"/>
              </w:rPr>
              <w:t>, making the worse states redundant</w:t>
            </w:r>
            <w:r w:rsidR="0056698D" w:rsidRPr="00112077">
              <w:rPr>
                <w:color w:val="C00000"/>
                <w:sz w:val="20"/>
                <w:szCs w:val="20"/>
              </w:rPr>
              <w:t>. See the examples below</w:t>
            </w:r>
            <w:r w:rsidR="00F36B10" w:rsidRPr="00112077">
              <w:rPr>
                <w:color w:val="C00000"/>
                <w:sz w:val="20"/>
                <w:szCs w:val="20"/>
              </w:rPr>
              <w:t xml:space="preserve">, where </w:t>
            </w:r>
            <w:r w:rsidR="00F36B10" w:rsidRPr="003D2C82">
              <w:rPr>
                <w:b/>
                <w:bCs/>
                <w:color w:val="C00000"/>
                <w:sz w:val="20"/>
                <w:szCs w:val="20"/>
              </w:rPr>
              <w:t>for Fig. 1, [4,4] is worse than [2,3,3]</w:t>
            </w:r>
            <w:r w:rsidR="00594D34" w:rsidRPr="00112077">
              <w:rPr>
                <w:color w:val="C00000"/>
                <w:sz w:val="20"/>
                <w:szCs w:val="20"/>
              </w:rPr>
              <w:t xml:space="preserve"> and in </w:t>
            </w:r>
            <w:r w:rsidR="00594D34" w:rsidRPr="003D2C82">
              <w:rPr>
                <w:b/>
                <w:bCs/>
                <w:color w:val="C00000"/>
                <w:sz w:val="20"/>
                <w:szCs w:val="20"/>
              </w:rPr>
              <w:t>Fig. 2, [2,2] is worse than [2,1,1]</w:t>
            </w:r>
            <w:r w:rsidR="006862C5" w:rsidRPr="00112077">
              <w:rPr>
                <w:color w:val="C00000"/>
                <w:sz w:val="20"/>
                <w:szCs w:val="20"/>
              </w:rPr>
              <w:t xml:space="preserve"> when number of PUCCH</w:t>
            </w:r>
            <w:r w:rsidR="00367697" w:rsidRPr="00112077">
              <w:rPr>
                <w:color w:val="C00000"/>
                <w:sz w:val="20"/>
                <w:szCs w:val="20"/>
              </w:rPr>
              <w:t xml:space="preserve"> </w:t>
            </w:r>
            <w:r w:rsidR="009815FE" w:rsidRPr="00112077">
              <w:rPr>
                <w:color w:val="C00000"/>
                <w:sz w:val="20"/>
                <w:szCs w:val="20"/>
              </w:rPr>
              <w:t>&amp;</w:t>
            </w:r>
            <w:r w:rsidR="00367697" w:rsidRPr="00112077">
              <w:rPr>
                <w:color w:val="C00000"/>
                <w:sz w:val="20"/>
                <w:szCs w:val="20"/>
              </w:rPr>
              <w:t xml:space="preserve"> PDSCH</w:t>
            </w:r>
            <w:r w:rsidR="006862C5" w:rsidRPr="00112077">
              <w:rPr>
                <w:color w:val="C00000"/>
                <w:sz w:val="20"/>
                <w:szCs w:val="20"/>
              </w:rPr>
              <w:t xml:space="preserve"> repetitions </w:t>
            </w:r>
            <w:r w:rsidR="00547830" w:rsidRPr="00112077">
              <w:rPr>
                <w:color w:val="C00000"/>
                <w:sz w:val="20"/>
                <w:szCs w:val="20"/>
              </w:rPr>
              <w:t>are</w:t>
            </w:r>
            <w:r w:rsidR="006862C5" w:rsidRPr="00112077">
              <w:rPr>
                <w:color w:val="C00000"/>
                <w:sz w:val="20"/>
                <w:szCs w:val="20"/>
              </w:rPr>
              <w:t xml:space="preserve"> 1</w:t>
            </w:r>
            <w:r w:rsidR="00237A49">
              <w:rPr>
                <w:color w:val="C00000"/>
                <w:sz w:val="20"/>
                <w:szCs w:val="20"/>
              </w:rPr>
              <w:t>.</w:t>
            </w:r>
          </w:p>
          <w:p w14:paraId="45A67D9B" w14:textId="3922F03B" w:rsidR="00EC48EE" w:rsidRPr="00112077" w:rsidRDefault="00BF07C5" w:rsidP="00EC48EE">
            <w:pPr>
              <w:keepNext/>
              <w:jc w:val="center"/>
              <w:rPr>
                <w:color w:val="C00000"/>
                <w:sz w:val="20"/>
                <w:szCs w:val="20"/>
              </w:rPr>
            </w:pPr>
            <w:r w:rsidRPr="00112077">
              <w:rPr>
                <w:rFonts w:eastAsia="Times New Roman"/>
                <w:b/>
                <w:bCs/>
                <w:color w:val="C00000"/>
                <w:sz w:val="20"/>
                <w:szCs w:val="20"/>
                <w:lang w:val="en-GB"/>
              </w:rPr>
              <w:object w:dxaOrig="8303" w:dyaOrig="6721" w14:anchorId="21500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179.25pt" o:ole="">
                  <v:imagedata r:id="rId16" o:title=""/>
                </v:shape>
                <o:OLEObject Type="Embed" ProgID="Visio.Drawing.11" ShapeID="_x0000_i1025" DrawAspect="Content" ObjectID="_1648999237" r:id="rId17"/>
              </w:object>
            </w:r>
          </w:p>
          <w:p w14:paraId="1F2D6C5E" w14:textId="5AB96549" w:rsidR="00EC48EE" w:rsidRPr="00112077" w:rsidRDefault="00EC48EE" w:rsidP="00EC48EE">
            <w:pPr>
              <w:pStyle w:val="Caption"/>
              <w:jc w:val="center"/>
              <w:rPr>
                <w:color w:val="C00000"/>
                <w:sz w:val="20"/>
                <w:szCs w:val="20"/>
              </w:rPr>
            </w:pPr>
            <w:r w:rsidRPr="00112077">
              <w:rPr>
                <w:color w:val="C00000"/>
                <w:sz w:val="20"/>
                <w:szCs w:val="20"/>
              </w:rPr>
              <w:t xml:space="preserve">Figure </w:t>
            </w:r>
            <w:r w:rsidRPr="00112077">
              <w:rPr>
                <w:color w:val="C00000"/>
              </w:rPr>
              <w:fldChar w:fldCharType="begin"/>
            </w:r>
            <w:r w:rsidRPr="00112077">
              <w:rPr>
                <w:color w:val="C00000"/>
                <w:sz w:val="20"/>
                <w:szCs w:val="20"/>
              </w:rPr>
              <w:instrText xml:space="preserve"> SEQ Figure \* ARABIC </w:instrText>
            </w:r>
            <w:r w:rsidRPr="00112077">
              <w:rPr>
                <w:color w:val="C00000"/>
              </w:rPr>
              <w:fldChar w:fldCharType="separate"/>
            </w:r>
            <w:r w:rsidRPr="00112077">
              <w:rPr>
                <w:noProof/>
                <w:color w:val="C00000"/>
                <w:sz w:val="20"/>
                <w:szCs w:val="20"/>
              </w:rPr>
              <w:t>1</w:t>
            </w:r>
            <w:r w:rsidRPr="00112077">
              <w:rPr>
                <w:noProof/>
                <w:color w:val="C00000"/>
              </w:rPr>
              <w:fldChar w:fldCharType="end"/>
            </w:r>
            <w:r w:rsidR="00F36B10" w:rsidRPr="00112077">
              <w:rPr>
                <w:noProof/>
                <w:color w:val="C00000"/>
                <w:sz w:val="20"/>
                <w:szCs w:val="20"/>
              </w:rPr>
              <w:t>:</w:t>
            </w:r>
            <w:r w:rsidRPr="00112077">
              <w:rPr>
                <w:color w:val="C00000"/>
                <w:sz w:val="20"/>
                <w:szCs w:val="20"/>
              </w:rPr>
              <w:t xml:space="preserve"> Throughput comparison for 8 HARQ processes.</w:t>
            </w:r>
          </w:p>
          <w:p w14:paraId="2CA30972" w14:textId="77777777" w:rsidR="00EC48EE" w:rsidRPr="00112077" w:rsidRDefault="00EC48EE" w:rsidP="00EC48EE">
            <w:pPr>
              <w:rPr>
                <w:color w:val="C00000"/>
                <w:sz w:val="20"/>
                <w:szCs w:val="20"/>
                <w:lang w:val="en-US"/>
              </w:rPr>
            </w:pPr>
          </w:p>
          <w:p w14:paraId="05AE3635" w14:textId="49FD8353" w:rsidR="00EC48EE" w:rsidRPr="00112077" w:rsidRDefault="00BF07C5" w:rsidP="00EC48EE">
            <w:pPr>
              <w:keepNext/>
              <w:jc w:val="center"/>
              <w:rPr>
                <w:color w:val="C00000"/>
                <w:sz w:val="20"/>
                <w:szCs w:val="20"/>
              </w:rPr>
            </w:pPr>
            <w:r w:rsidRPr="00112077">
              <w:rPr>
                <w:rFonts w:eastAsia="Times New Roman"/>
                <w:b/>
                <w:bCs/>
                <w:color w:val="C00000"/>
                <w:sz w:val="20"/>
                <w:szCs w:val="20"/>
                <w:lang w:val="en-GB"/>
              </w:rPr>
              <w:object w:dxaOrig="8303" w:dyaOrig="6721" w14:anchorId="16D6B33A">
                <v:shape id="_x0000_i1026" type="#_x0000_t75" style="width:234pt;height:189.75pt" o:ole="">
                  <v:imagedata r:id="rId18" o:title=""/>
                </v:shape>
                <o:OLEObject Type="Embed" ProgID="Visio.Drawing.11" ShapeID="_x0000_i1026" DrawAspect="Content" ObjectID="_1648999238" r:id="rId19"/>
              </w:object>
            </w:r>
          </w:p>
          <w:p w14:paraId="07622FED" w14:textId="7B699DA5" w:rsidR="00EC48EE" w:rsidRDefault="00EC48EE" w:rsidP="00EC48EE">
            <w:pPr>
              <w:pStyle w:val="Caption"/>
              <w:jc w:val="center"/>
              <w:rPr>
                <w:color w:val="C00000"/>
                <w:sz w:val="20"/>
                <w:szCs w:val="20"/>
              </w:rPr>
            </w:pPr>
            <w:r w:rsidRPr="00112077">
              <w:rPr>
                <w:color w:val="C00000"/>
                <w:sz w:val="20"/>
                <w:szCs w:val="20"/>
              </w:rPr>
              <w:t>Figure 2</w:t>
            </w:r>
            <w:r w:rsidR="00F36B10" w:rsidRPr="00112077">
              <w:rPr>
                <w:color w:val="C00000"/>
                <w:sz w:val="20"/>
                <w:szCs w:val="20"/>
              </w:rPr>
              <w:t>:</w:t>
            </w:r>
            <w:r w:rsidRPr="00112077">
              <w:rPr>
                <w:color w:val="C00000"/>
                <w:sz w:val="20"/>
                <w:szCs w:val="20"/>
              </w:rPr>
              <w:t xml:space="preserve"> Throughput comparison for 4 HARQ processes.</w:t>
            </w:r>
          </w:p>
          <w:p w14:paraId="1DD1C445" w14:textId="77777777" w:rsidR="004C1D4B" w:rsidRPr="004C1D4B" w:rsidRDefault="004C1D4B" w:rsidP="004C1D4B">
            <w:pPr>
              <w:rPr>
                <w:lang w:eastAsia="en-GB"/>
              </w:rPr>
            </w:pPr>
          </w:p>
          <w:p w14:paraId="7F86E6F2" w14:textId="31E89471" w:rsidR="0056698D" w:rsidRPr="00112077" w:rsidRDefault="00FB5D4A" w:rsidP="00F25419">
            <w:pPr>
              <w:pStyle w:val="BodyText"/>
              <w:rPr>
                <w:color w:val="C00000"/>
                <w:sz w:val="20"/>
                <w:szCs w:val="20"/>
              </w:rPr>
            </w:pPr>
            <w:r w:rsidRPr="00112077">
              <w:rPr>
                <w:color w:val="C00000"/>
                <w:sz w:val="20"/>
                <w:szCs w:val="20"/>
              </w:rPr>
              <w:t>Moreover</w:t>
            </w:r>
            <w:r w:rsidR="006E4B18" w:rsidRPr="00112077">
              <w:rPr>
                <w:color w:val="C00000"/>
                <w:sz w:val="20"/>
                <w:szCs w:val="20"/>
              </w:rPr>
              <w:t xml:space="preserve">, as we highlight in the examples above, </w:t>
            </w:r>
            <w:r w:rsidR="00DB3597" w:rsidRPr="00112077">
              <w:rPr>
                <w:color w:val="C00000"/>
                <w:sz w:val="20"/>
                <w:szCs w:val="20"/>
              </w:rPr>
              <w:t xml:space="preserve">the </w:t>
            </w:r>
            <w:r w:rsidR="009815FE" w:rsidRPr="00112077">
              <w:rPr>
                <w:color w:val="C00000"/>
                <w:sz w:val="20"/>
                <w:szCs w:val="20"/>
              </w:rPr>
              <w:t xml:space="preserve">„timeline limitations“ become an important issue when </w:t>
            </w:r>
            <w:r w:rsidR="00692A0A" w:rsidRPr="00112077">
              <w:rPr>
                <w:color w:val="C00000"/>
                <w:sz w:val="20"/>
                <w:szCs w:val="20"/>
              </w:rPr>
              <w:t xml:space="preserve">PUCCH has 1 repetition, and PDSCH has one repetition or </w:t>
            </w:r>
            <w:r w:rsidR="00237A49">
              <w:rPr>
                <w:color w:val="C00000"/>
                <w:sz w:val="20"/>
                <w:szCs w:val="20"/>
              </w:rPr>
              <w:t xml:space="preserve">PDSCH </w:t>
            </w:r>
            <w:r w:rsidR="00692A0A" w:rsidRPr="00112077">
              <w:rPr>
                <w:color w:val="C00000"/>
                <w:sz w:val="20"/>
                <w:szCs w:val="20"/>
              </w:rPr>
              <w:t>interlea</w:t>
            </w:r>
            <w:r w:rsidR="005314D8" w:rsidRPr="00112077">
              <w:rPr>
                <w:color w:val="C00000"/>
                <w:sz w:val="20"/>
                <w:szCs w:val="20"/>
              </w:rPr>
              <w:t>ving (</w:t>
            </w:r>
            <w:r w:rsidR="00237A49">
              <w:rPr>
                <w:color w:val="C00000"/>
                <w:sz w:val="20"/>
                <w:szCs w:val="20"/>
              </w:rPr>
              <w:t xml:space="preserve">with </w:t>
            </w:r>
            <w:r w:rsidR="005314D8" w:rsidRPr="00112077">
              <w:rPr>
                <w:color w:val="C00000"/>
                <w:sz w:val="20"/>
                <w:szCs w:val="20"/>
              </w:rPr>
              <w:t xml:space="preserve">granularity 1) is enabled. As a result, </w:t>
            </w:r>
            <w:r w:rsidR="00CF7B38" w:rsidRPr="00112077">
              <w:rPr>
                <w:color w:val="C00000"/>
                <w:sz w:val="20"/>
                <w:szCs w:val="20"/>
              </w:rPr>
              <w:t xml:space="preserve">this case should be treated differently from the </w:t>
            </w:r>
            <w:r w:rsidR="00CD002F" w:rsidRPr="00112077">
              <w:rPr>
                <w:color w:val="C00000"/>
                <w:sz w:val="20"/>
                <w:szCs w:val="20"/>
              </w:rPr>
              <w:t>case where this „timeline limitation“ is no longer a bottleneck.</w:t>
            </w:r>
          </w:p>
          <w:p w14:paraId="53E98BDC" w14:textId="159BF7FB" w:rsidR="00CD002F" w:rsidRPr="00112077" w:rsidRDefault="00CD002F" w:rsidP="00F25419">
            <w:pPr>
              <w:pStyle w:val="BodyText"/>
              <w:rPr>
                <w:rStyle w:val="Hyperlink"/>
                <w:rFonts w:cs="Arial"/>
                <w:color w:val="C00000"/>
                <w:u w:val="none"/>
              </w:rPr>
            </w:pPr>
            <w:r w:rsidRPr="00112077">
              <w:rPr>
                <w:color w:val="C00000"/>
                <w:sz w:val="20"/>
                <w:szCs w:val="20"/>
              </w:rPr>
              <w:t>Keeping these in mind, w</w:t>
            </w:r>
            <w:r w:rsidR="00B44BD9" w:rsidRPr="00112077">
              <w:rPr>
                <w:color w:val="C00000"/>
                <w:sz w:val="20"/>
                <w:szCs w:val="20"/>
              </w:rPr>
              <w:t xml:space="preserve">e propose to </w:t>
            </w:r>
            <w:r w:rsidR="00B44BD9" w:rsidRPr="00392487">
              <w:rPr>
                <w:b/>
                <w:bCs/>
                <w:color w:val="C00000"/>
                <w:sz w:val="20"/>
                <w:szCs w:val="20"/>
              </w:rPr>
              <w:t>endorse TP</w:t>
            </w:r>
            <w:r w:rsidR="00E53F41" w:rsidRPr="00392487">
              <w:rPr>
                <w:b/>
                <w:bCs/>
                <w:color w:val="C00000"/>
                <w:sz w:val="20"/>
                <w:szCs w:val="20"/>
              </w:rPr>
              <w:t>1</w:t>
            </w:r>
            <w:r w:rsidR="00B44BD9" w:rsidRPr="00392487">
              <w:rPr>
                <w:b/>
                <w:bCs/>
                <w:color w:val="C00000"/>
                <w:sz w:val="20"/>
                <w:szCs w:val="20"/>
              </w:rPr>
              <w:t xml:space="preserve"> in</w:t>
            </w:r>
            <w:r w:rsidR="00E53F41" w:rsidRPr="00392487">
              <w:rPr>
                <w:b/>
                <w:bCs/>
                <w:color w:val="C00000"/>
                <w:sz w:val="20"/>
                <w:szCs w:val="20"/>
              </w:rPr>
              <w:t xml:space="preserve"> Section 1 of</w:t>
            </w:r>
            <w:r w:rsidR="00B44BD9" w:rsidRPr="00392487">
              <w:rPr>
                <w:b/>
                <w:bCs/>
                <w:color w:val="C00000"/>
                <w:sz w:val="20"/>
                <w:szCs w:val="20"/>
              </w:rPr>
              <w:t xml:space="preserve"> </w:t>
            </w:r>
            <w:hyperlink r:id="rId20" w:history="1">
              <w:r w:rsidR="00B44BD9" w:rsidRPr="00392487">
                <w:rPr>
                  <w:rStyle w:val="Hyperlink"/>
                  <w:rFonts w:cs="Arial"/>
                  <w:b/>
                  <w:bCs/>
                  <w:color w:val="C00000"/>
                </w:rPr>
                <w:t>R1-2002174</w:t>
              </w:r>
            </w:hyperlink>
            <w:r w:rsidR="00E53F41" w:rsidRPr="00112077">
              <w:rPr>
                <w:rStyle w:val="Hyperlink"/>
                <w:rFonts w:cs="Arial"/>
                <w:color w:val="C00000"/>
              </w:rPr>
              <w:t xml:space="preserve">, </w:t>
            </w:r>
            <w:r w:rsidR="00E53F41" w:rsidRPr="00112077">
              <w:rPr>
                <w:rStyle w:val="Hyperlink"/>
                <w:rFonts w:cs="Arial"/>
                <w:color w:val="C00000"/>
                <w:u w:val="none"/>
              </w:rPr>
              <w:t>that essentially implements the following proposal:</w:t>
            </w:r>
          </w:p>
          <w:p w14:paraId="7E107D01" w14:textId="283EB18D"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u w:val="single"/>
                <w:lang w:eastAsia="en-US"/>
              </w:rPr>
              <w:t>Proposal</w:t>
            </w:r>
            <w:r w:rsidR="00780A33" w:rsidRPr="00112077">
              <w:rPr>
                <w:rFonts w:eastAsia="SimSun"/>
                <w:b/>
                <w:bCs/>
                <w:color w:val="C00000"/>
                <w:u w:val="single"/>
                <w:lang w:eastAsia="en-US"/>
              </w:rPr>
              <w:t xml:space="preserve"> 3-1-QC</w:t>
            </w:r>
            <w:r w:rsidRPr="00407122">
              <w:rPr>
                <w:rFonts w:eastAsia="SimSun"/>
                <w:b/>
                <w:bCs/>
                <w:color w:val="C00000"/>
                <w:u w:val="single"/>
                <w:lang w:eastAsia="en-US"/>
              </w:rPr>
              <w:t>:</w:t>
            </w:r>
            <w:r w:rsidRPr="00407122">
              <w:rPr>
                <w:rFonts w:eastAsia="SimSun"/>
                <w:b/>
                <w:bCs/>
                <w:color w:val="C00000"/>
                <w:lang w:eastAsia="en-US"/>
              </w:rPr>
              <w:t xml:space="preserve"> The field “Multi-TB HARQ-ACK bundling size” is 1 bit that enables and disables HARQ-ACK bundling.</w:t>
            </w:r>
          </w:p>
          <w:p w14:paraId="59989915" w14:textId="17A235FE"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ab/>
              <w:t xml:space="preserve">- The bundle </w:t>
            </w:r>
            <w:r w:rsidR="00892691" w:rsidRPr="00112077">
              <w:rPr>
                <w:rFonts w:eastAsia="SimSun"/>
                <w:b/>
                <w:bCs/>
                <w:color w:val="C00000"/>
                <w:lang w:eastAsia="en-US"/>
              </w:rPr>
              <w:t>sizes</w:t>
            </w:r>
            <w:r w:rsidRPr="00407122">
              <w:rPr>
                <w:rFonts w:eastAsia="SimSun"/>
                <w:b/>
                <w:bCs/>
                <w:color w:val="C00000"/>
                <w:lang w:eastAsia="en-US"/>
              </w:rPr>
              <w:t xml:space="preserve"> </w:t>
            </w:r>
            <w:r w:rsidR="00892691" w:rsidRPr="00112077">
              <w:rPr>
                <w:rFonts w:eastAsia="SimSun"/>
                <w:b/>
                <w:bCs/>
                <w:color w:val="C00000"/>
                <w:lang w:eastAsia="en-US"/>
              </w:rPr>
              <w:t>are</w:t>
            </w:r>
            <w:r w:rsidRPr="00407122">
              <w:rPr>
                <w:rFonts w:eastAsia="SimSun"/>
                <w:b/>
                <w:bCs/>
                <w:color w:val="C00000"/>
                <w:lang w:eastAsia="en-US"/>
              </w:rPr>
              <w:t xml:space="preserve"> fixed in the specification depending on (#repetitions for PDSCH, #TBs, #reps for PUCCH, interleaving ON/OFF) as in the table below, where:</w:t>
            </w:r>
          </w:p>
          <w:p w14:paraId="4E358F13"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ab/>
            </w:r>
            <w:r w:rsidRPr="00407122">
              <w:rPr>
                <w:rFonts w:eastAsia="SimSun"/>
                <w:b/>
                <w:bCs/>
                <w:color w:val="C00000"/>
                <w:lang w:eastAsia="en-US"/>
              </w:rPr>
              <w:tab/>
              <w:t>- Case 1 is used if (“number of PDSCH repetitions = 1” or “interleaving is enabled”) and “number of PUCCH repetitions = 1”</w:t>
            </w:r>
          </w:p>
          <w:p w14:paraId="77BE9A93" w14:textId="7F236619" w:rsid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ab/>
            </w:r>
            <w:r w:rsidRPr="00407122">
              <w:rPr>
                <w:rFonts w:eastAsia="SimSun"/>
                <w:b/>
                <w:bCs/>
                <w:color w:val="C00000"/>
                <w:lang w:eastAsia="en-US"/>
              </w:rPr>
              <w:tab/>
              <w:t>- Otherwise, case 2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85"/>
              <w:gridCol w:w="1085"/>
              <w:gridCol w:w="1085"/>
              <w:gridCol w:w="1085"/>
              <w:gridCol w:w="1085"/>
            </w:tblGrid>
            <w:tr w:rsidR="00112077" w:rsidRPr="00407122" w14:paraId="6700056E" w14:textId="77777777" w:rsidTr="00AA34A1">
              <w:trPr>
                <w:jc w:val="center"/>
              </w:trPr>
              <w:tc>
                <w:tcPr>
                  <w:tcW w:w="1017" w:type="dxa"/>
                  <w:shd w:val="clear" w:color="auto" w:fill="auto"/>
                </w:tcPr>
                <w:p w14:paraId="663CEEF6" w14:textId="77777777" w:rsidR="00407122" w:rsidRPr="00407122" w:rsidRDefault="00407122" w:rsidP="00407122">
                  <w:pPr>
                    <w:overflowPunct/>
                    <w:autoSpaceDE/>
                    <w:autoSpaceDN/>
                    <w:adjustRightInd/>
                    <w:textAlignment w:val="auto"/>
                    <w:rPr>
                      <w:rFonts w:eastAsia="SimSun"/>
                      <w:b/>
                      <w:bCs/>
                      <w:color w:val="C00000"/>
                      <w:lang w:eastAsia="en-US"/>
                    </w:rPr>
                  </w:pPr>
                </w:p>
              </w:tc>
              <w:tc>
                <w:tcPr>
                  <w:tcW w:w="1085" w:type="dxa"/>
                  <w:shd w:val="clear" w:color="auto" w:fill="auto"/>
                </w:tcPr>
                <w:p w14:paraId="4AA8536B"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1TB</w:t>
                  </w:r>
                </w:p>
              </w:tc>
              <w:tc>
                <w:tcPr>
                  <w:tcW w:w="1085" w:type="dxa"/>
                  <w:shd w:val="clear" w:color="auto" w:fill="auto"/>
                </w:tcPr>
                <w:p w14:paraId="369519F8"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2TB</w:t>
                  </w:r>
                </w:p>
              </w:tc>
              <w:tc>
                <w:tcPr>
                  <w:tcW w:w="1085" w:type="dxa"/>
                  <w:shd w:val="clear" w:color="auto" w:fill="auto"/>
                </w:tcPr>
                <w:p w14:paraId="111220BA"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4TB</w:t>
                  </w:r>
                </w:p>
              </w:tc>
              <w:tc>
                <w:tcPr>
                  <w:tcW w:w="1085" w:type="dxa"/>
                  <w:shd w:val="clear" w:color="auto" w:fill="auto"/>
                </w:tcPr>
                <w:p w14:paraId="7F7E4D0B"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6TB</w:t>
                  </w:r>
                </w:p>
              </w:tc>
              <w:tc>
                <w:tcPr>
                  <w:tcW w:w="1085" w:type="dxa"/>
                  <w:shd w:val="clear" w:color="auto" w:fill="auto"/>
                </w:tcPr>
                <w:p w14:paraId="2B5E9828"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8TB</w:t>
                  </w:r>
                </w:p>
              </w:tc>
            </w:tr>
            <w:tr w:rsidR="00112077" w:rsidRPr="00407122" w14:paraId="5E6D41B8" w14:textId="77777777" w:rsidTr="00AA34A1">
              <w:trPr>
                <w:jc w:val="center"/>
              </w:trPr>
              <w:tc>
                <w:tcPr>
                  <w:tcW w:w="1017" w:type="dxa"/>
                  <w:shd w:val="clear" w:color="auto" w:fill="auto"/>
                </w:tcPr>
                <w:p w14:paraId="06DD3112"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Case 1</w:t>
                  </w:r>
                </w:p>
              </w:tc>
              <w:tc>
                <w:tcPr>
                  <w:tcW w:w="1085" w:type="dxa"/>
                  <w:shd w:val="clear" w:color="auto" w:fill="auto"/>
                </w:tcPr>
                <w:p w14:paraId="6EB0266D"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M=[1]</w:t>
                  </w:r>
                </w:p>
              </w:tc>
              <w:tc>
                <w:tcPr>
                  <w:tcW w:w="1085" w:type="dxa"/>
                  <w:shd w:val="clear" w:color="auto" w:fill="auto"/>
                </w:tcPr>
                <w:p w14:paraId="76BF07D9"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M=[2]</w:t>
                  </w:r>
                </w:p>
              </w:tc>
              <w:tc>
                <w:tcPr>
                  <w:tcW w:w="1085" w:type="dxa"/>
                  <w:shd w:val="clear" w:color="auto" w:fill="auto"/>
                </w:tcPr>
                <w:p w14:paraId="199D1189"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M=[2,1,1]</w:t>
                  </w:r>
                </w:p>
              </w:tc>
              <w:tc>
                <w:tcPr>
                  <w:tcW w:w="1085" w:type="dxa"/>
                  <w:shd w:val="clear" w:color="auto" w:fill="auto"/>
                </w:tcPr>
                <w:p w14:paraId="39B6786E"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M=[2,2,2]</w:t>
                  </w:r>
                </w:p>
              </w:tc>
              <w:tc>
                <w:tcPr>
                  <w:tcW w:w="1085" w:type="dxa"/>
                  <w:shd w:val="clear" w:color="auto" w:fill="auto"/>
                </w:tcPr>
                <w:p w14:paraId="2836EEA0"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M=[2,3,3]</w:t>
                  </w:r>
                </w:p>
              </w:tc>
            </w:tr>
            <w:tr w:rsidR="00112077" w:rsidRPr="00407122" w14:paraId="1C7E2A34" w14:textId="77777777" w:rsidTr="00AA34A1">
              <w:trPr>
                <w:jc w:val="center"/>
              </w:trPr>
              <w:tc>
                <w:tcPr>
                  <w:tcW w:w="1017" w:type="dxa"/>
                  <w:shd w:val="clear" w:color="auto" w:fill="auto"/>
                </w:tcPr>
                <w:p w14:paraId="207F28A1"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Case 2</w:t>
                  </w:r>
                </w:p>
              </w:tc>
              <w:tc>
                <w:tcPr>
                  <w:tcW w:w="1085" w:type="dxa"/>
                  <w:shd w:val="clear" w:color="auto" w:fill="auto"/>
                </w:tcPr>
                <w:p w14:paraId="49467AD6"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M=[1]</w:t>
                  </w:r>
                </w:p>
              </w:tc>
              <w:tc>
                <w:tcPr>
                  <w:tcW w:w="1085" w:type="dxa"/>
                  <w:shd w:val="clear" w:color="auto" w:fill="auto"/>
                </w:tcPr>
                <w:p w14:paraId="2FE32F1F"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M=[2]</w:t>
                  </w:r>
                </w:p>
              </w:tc>
              <w:tc>
                <w:tcPr>
                  <w:tcW w:w="1085" w:type="dxa"/>
                  <w:shd w:val="clear" w:color="auto" w:fill="auto"/>
                </w:tcPr>
                <w:p w14:paraId="399387C3"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M=[2,2]</w:t>
                  </w:r>
                </w:p>
              </w:tc>
              <w:tc>
                <w:tcPr>
                  <w:tcW w:w="1085" w:type="dxa"/>
                  <w:shd w:val="clear" w:color="auto" w:fill="auto"/>
                </w:tcPr>
                <w:p w14:paraId="6BCC12F6"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M=[3,3]</w:t>
                  </w:r>
                </w:p>
              </w:tc>
              <w:tc>
                <w:tcPr>
                  <w:tcW w:w="1085" w:type="dxa"/>
                  <w:shd w:val="clear" w:color="auto" w:fill="auto"/>
                </w:tcPr>
                <w:p w14:paraId="0F006061" w14:textId="77777777" w:rsidR="00407122" w:rsidRPr="00407122" w:rsidRDefault="00407122" w:rsidP="00407122">
                  <w:pPr>
                    <w:overflowPunct/>
                    <w:autoSpaceDE/>
                    <w:autoSpaceDN/>
                    <w:adjustRightInd/>
                    <w:textAlignment w:val="auto"/>
                    <w:rPr>
                      <w:rFonts w:eastAsia="SimSun"/>
                      <w:b/>
                      <w:bCs/>
                      <w:color w:val="C00000"/>
                      <w:lang w:eastAsia="en-US"/>
                    </w:rPr>
                  </w:pPr>
                  <w:r w:rsidRPr="00407122">
                    <w:rPr>
                      <w:rFonts w:eastAsia="SimSun"/>
                      <w:b/>
                      <w:bCs/>
                      <w:color w:val="C00000"/>
                      <w:lang w:eastAsia="en-US"/>
                    </w:rPr>
                    <w:t>M=[4,4]</w:t>
                  </w:r>
                </w:p>
              </w:tc>
            </w:tr>
          </w:tbl>
          <w:p w14:paraId="015BC572" w14:textId="77777777" w:rsidR="00E53F41" w:rsidRDefault="00E53F41" w:rsidP="00F25419">
            <w:pPr>
              <w:pStyle w:val="BodyText"/>
              <w:rPr>
                <w:rFonts w:cs="Arial"/>
                <w:color w:val="C00000"/>
              </w:rPr>
            </w:pPr>
          </w:p>
          <w:p w14:paraId="2339F780" w14:textId="0BE4E10A" w:rsidR="007D5AF2" w:rsidRPr="00561729" w:rsidRDefault="001B7EFC" w:rsidP="00F25419">
            <w:pPr>
              <w:pStyle w:val="BodyText"/>
              <w:rPr>
                <w:rFonts w:cs="Arial"/>
                <w:b/>
                <w:bCs/>
                <w:i/>
                <w:iCs/>
                <w:color w:val="C00000"/>
                <w:u w:val="single"/>
              </w:rPr>
            </w:pPr>
            <w:r w:rsidRPr="00561729">
              <w:rPr>
                <w:rFonts w:cs="Arial"/>
                <w:b/>
                <w:bCs/>
                <w:i/>
                <w:iCs/>
                <w:color w:val="C00000"/>
                <w:u w:val="single"/>
              </w:rPr>
              <w:t>FURTHER NOTES</w:t>
            </w:r>
            <w:r w:rsidR="004A44D6" w:rsidRPr="00561729">
              <w:rPr>
                <w:rFonts w:cs="Arial"/>
                <w:b/>
                <w:bCs/>
                <w:i/>
                <w:iCs/>
                <w:color w:val="C00000"/>
                <w:u w:val="single"/>
              </w:rPr>
              <w:t xml:space="preserve">: To us, it is </w:t>
            </w:r>
            <w:r w:rsidR="00153E07" w:rsidRPr="00561729">
              <w:rPr>
                <w:rFonts w:cs="Arial"/>
                <w:b/>
                <w:bCs/>
                <w:i/>
                <w:iCs/>
                <w:color w:val="C00000"/>
                <w:u w:val="single"/>
              </w:rPr>
              <w:t xml:space="preserve">extremely </w:t>
            </w:r>
            <w:r w:rsidR="004A44D6" w:rsidRPr="00561729">
              <w:rPr>
                <w:rFonts w:cs="Arial"/>
                <w:b/>
                <w:bCs/>
                <w:i/>
                <w:iCs/>
                <w:color w:val="C00000"/>
                <w:u w:val="single"/>
              </w:rPr>
              <w:t xml:space="preserve">disappointing how some companies are </w:t>
            </w:r>
            <w:r w:rsidR="00C95D74" w:rsidRPr="00561729">
              <w:rPr>
                <w:rFonts w:cs="Arial"/>
                <w:b/>
                <w:bCs/>
                <w:i/>
                <w:iCs/>
                <w:color w:val="C00000"/>
                <w:u w:val="single"/>
              </w:rPr>
              <w:t xml:space="preserve">trying to imply that a certain wording </w:t>
            </w:r>
            <w:r w:rsidR="008319AF">
              <w:rPr>
                <w:rFonts w:cs="Arial"/>
                <w:b/>
                <w:bCs/>
                <w:i/>
                <w:iCs/>
                <w:color w:val="C00000"/>
                <w:u w:val="single"/>
              </w:rPr>
              <w:t>allows for</w:t>
            </w:r>
            <w:r w:rsidR="00C95D74" w:rsidRPr="00561729">
              <w:rPr>
                <w:rFonts w:cs="Arial"/>
                <w:b/>
                <w:bCs/>
                <w:i/>
                <w:iCs/>
                <w:color w:val="C00000"/>
                <w:u w:val="single"/>
              </w:rPr>
              <w:t xml:space="preserve"> a certain way of </w:t>
            </w:r>
            <w:r w:rsidR="00561729" w:rsidRPr="00561729">
              <w:rPr>
                <w:rFonts w:cs="Arial"/>
                <w:b/>
                <w:bCs/>
                <w:i/>
                <w:iCs/>
                <w:color w:val="C00000"/>
                <w:u w:val="single"/>
              </w:rPr>
              <w:t>D</w:t>
            </w:r>
            <w:r w:rsidR="00561729" w:rsidRPr="00561729">
              <w:rPr>
                <w:b/>
                <w:bCs/>
                <w:i/>
                <w:iCs/>
                <w:color w:val="C00000"/>
                <w:u w:val="single"/>
              </w:rPr>
              <w:t xml:space="preserve">CI </w:t>
            </w:r>
            <w:r w:rsidR="00C95D74" w:rsidRPr="00561729">
              <w:rPr>
                <w:rFonts w:cs="Arial"/>
                <w:b/>
                <w:bCs/>
                <w:i/>
                <w:iCs/>
                <w:color w:val="C00000"/>
                <w:u w:val="single"/>
              </w:rPr>
              <w:t xml:space="preserve">signalling, while expressly precluding other forms of </w:t>
            </w:r>
            <w:r w:rsidR="00561729" w:rsidRPr="00561729">
              <w:rPr>
                <w:rFonts w:cs="Arial"/>
                <w:b/>
                <w:bCs/>
                <w:i/>
                <w:iCs/>
                <w:color w:val="C00000"/>
                <w:u w:val="single"/>
              </w:rPr>
              <w:t>D</w:t>
            </w:r>
            <w:r w:rsidR="00561729" w:rsidRPr="00561729">
              <w:rPr>
                <w:b/>
                <w:bCs/>
                <w:i/>
                <w:iCs/>
                <w:color w:val="C00000"/>
                <w:u w:val="single"/>
              </w:rPr>
              <w:t xml:space="preserve">CI </w:t>
            </w:r>
            <w:r w:rsidR="00C95D74" w:rsidRPr="00561729">
              <w:rPr>
                <w:rFonts w:cs="Arial"/>
                <w:b/>
                <w:bCs/>
                <w:i/>
                <w:iCs/>
                <w:color w:val="C00000"/>
                <w:u w:val="single"/>
              </w:rPr>
              <w:t>signalling.</w:t>
            </w:r>
            <w:r w:rsidR="00153E07" w:rsidRPr="00561729">
              <w:rPr>
                <w:rFonts w:cs="Arial"/>
                <w:b/>
                <w:bCs/>
                <w:i/>
                <w:iCs/>
                <w:color w:val="C00000"/>
                <w:u w:val="single"/>
              </w:rPr>
              <w:t xml:space="preserve"> This cannot be farther from the truth.</w:t>
            </w:r>
          </w:p>
          <w:p w14:paraId="6BA6E280" w14:textId="4D36C1A5" w:rsidR="0074291F" w:rsidRPr="001C5AFB" w:rsidRDefault="0074291F" w:rsidP="00F25419">
            <w:pPr>
              <w:pStyle w:val="BodyText"/>
              <w:rPr>
                <w:rFonts w:cs="Arial"/>
                <w:b/>
                <w:bCs/>
                <w:i/>
                <w:iCs/>
                <w:color w:val="C00000"/>
                <w:u w:val="single"/>
              </w:rPr>
            </w:pPr>
            <w:r w:rsidRPr="001C5AFB">
              <w:rPr>
                <w:rFonts w:cs="Arial"/>
                <w:b/>
                <w:bCs/>
                <w:i/>
                <w:iCs/>
                <w:color w:val="C00000"/>
                <w:u w:val="single"/>
              </w:rPr>
              <w:t xml:space="preserve">The agreement was to signal the </w:t>
            </w:r>
            <w:r w:rsidR="00636297" w:rsidRPr="001C5AFB">
              <w:rPr>
                <w:rFonts w:cs="Arial"/>
                <w:b/>
                <w:bCs/>
                <w:i/>
                <w:iCs/>
                <w:color w:val="C00000"/>
                <w:u w:val="single"/>
              </w:rPr>
              <w:t xml:space="preserve">„actual bundle size“ in the DCI. </w:t>
            </w:r>
            <w:r w:rsidR="001B7EFC" w:rsidRPr="001C5AFB">
              <w:rPr>
                <w:rFonts w:cs="Arial"/>
                <w:b/>
                <w:bCs/>
                <w:i/>
                <w:iCs/>
                <w:color w:val="C00000"/>
                <w:u w:val="single"/>
              </w:rPr>
              <w:t>„How“ this was to be signalled, was NOT discussed.</w:t>
            </w:r>
            <w:r w:rsidR="007D12F2" w:rsidRPr="001C5AFB">
              <w:rPr>
                <w:rFonts w:cs="Arial"/>
                <w:b/>
                <w:bCs/>
                <w:i/>
                <w:iCs/>
                <w:color w:val="C00000"/>
                <w:u w:val="single"/>
              </w:rPr>
              <w:t xml:space="preserve"> To us, „all“ the proposals on the table are </w:t>
            </w:r>
            <w:r w:rsidR="00E941E3">
              <w:rPr>
                <w:rFonts w:cs="Arial"/>
                <w:b/>
                <w:bCs/>
                <w:i/>
                <w:iCs/>
                <w:color w:val="C00000"/>
                <w:u w:val="single"/>
              </w:rPr>
              <w:t xml:space="preserve">an </w:t>
            </w:r>
            <w:r w:rsidR="007D12F2" w:rsidRPr="001C5AFB">
              <w:rPr>
                <w:rFonts w:cs="Arial"/>
                <w:b/>
                <w:bCs/>
                <w:i/>
                <w:iCs/>
                <w:color w:val="C00000"/>
                <w:u w:val="single"/>
              </w:rPr>
              <w:t xml:space="preserve">equally </w:t>
            </w:r>
            <w:r w:rsidR="00E941E3">
              <w:rPr>
                <w:rFonts w:cs="Arial"/>
                <w:b/>
                <w:bCs/>
                <w:i/>
                <w:iCs/>
                <w:color w:val="C00000"/>
                <w:u w:val="single"/>
              </w:rPr>
              <w:t>„allowed“</w:t>
            </w:r>
            <w:r w:rsidR="007D12F2" w:rsidRPr="001C5AFB">
              <w:rPr>
                <w:rFonts w:cs="Arial"/>
                <w:b/>
                <w:bCs/>
                <w:i/>
                <w:iCs/>
                <w:color w:val="C00000"/>
                <w:u w:val="single"/>
              </w:rPr>
              <w:t xml:space="preserve"> </w:t>
            </w:r>
            <w:r w:rsidR="00A97F02" w:rsidRPr="001C5AFB">
              <w:rPr>
                <w:rFonts w:cs="Arial"/>
                <w:b/>
                <w:bCs/>
                <w:i/>
                <w:iCs/>
                <w:color w:val="C00000"/>
                <w:u w:val="single"/>
              </w:rPr>
              <w:t>means to signal the bundl</w:t>
            </w:r>
            <w:r w:rsidR="005237D6">
              <w:rPr>
                <w:rFonts w:cs="Arial"/>
                <w:b/>
                <w:bCs/>
                <w:i/>
                <w:iCs/>
                <w:color w:val="C00000"/>
                <w:u w:val="single"/>
              </w:rPr>
              <w:t>e</w:t>
            </w:r>
            <w:r w:rsidR="00A97F02" w:rsidRPr="001C5AFB">
              <w:rPr>
                <w:rFonts w:cs="Arial"/>
                <w:b/>
                <w:bCs/>
                <w:i/>
                <w:iCs/>
                <w:color w:val="C00000"/>
                <w:u w:val="single"/>
              </w:rPr>
              <w:t xml:space="preserve"> size.</w:t>
            </w:r>
            <w:r w:rsidR="00730BDF" w:rsidRPr="001C5AFB">
              <w:rPr>
                <w:rFonts w:cs="Arial"/>
                <w:b/>
                <w:bCs/>
                <w:i/>
                <w:iCs/>
                <w:color w:val="C00000"/>
                <w:u w:val="single"/>
              </w:rPr>
              <w:t xml:space="preserve"> That’s exactly what our proposal does</w:t>
            </w:r>
            <w:r w:rsidR="00F472B7">
              <w:rPr>
                <w:rFonts w:cs="Arial"/>
                <w:b/>
                <w:bCs/>
                <w:i/>
                <w:iCs/>
                <w:color w:val="C00000"/>
                <w:u w:val="single"/>
              </w:rPr>
              <w:t xml:space="preserve"> too</w:t>
            </w:r>
            <w:r w:rsidR="00624470">
              <w:rPr>
                <w:rFonts w:cs="Arial"/>
                <w:b/>
                <w:bCs/>
                <w:i/>
                <w:iCs/>
                <w:color w:val="C00000"/>
                <w:u w:val="single"/>
              </w:rPr>
              <w:t xml:space="preserve">: </w:t>
            </w:r>
            <w:r w:rsidR="00730BDF" w:rsidRPr="001C5AFB">
              <w:rPr>
                <w:rFonts w:cs="Arial"/>
                <w:b/>
                <w:bCs/>
                <w:i/>
                <w:iCs/>
                <w:color w:val="C00000"/>
                <w:u w:val="single"/>
              </w:rPr>
              <w:t>a DCI field that</w:t>
            </w:r>
            <w:r w:rsidR="00B63AE3" w:rsidRPr="001C5AFB">
              <w:rPr>
                <w:rFonts w:cs="Arial"/>
                <w:b/>
                <w:bCs/>
                <w:i/>
                <w:iCs/>
                <w:color w:val="C00000"/>
                <w:u w:val="single"/>
              </w:rPr>
              <w:t>—in conjunction with the RRC parameter—</w:t>
            </w:r>
            <w:r w:rsidR="00730BDF" w:rsidRPr="001C5AFB">
              <w:rPr>
                <w:rFonts w:cs="Arial"/>
                <w:b/>
                <w:bCs/>
                <w:i/>
                <w:iCs/>
                <w:color w:val="C00000"/>
                <w:u w:val="single"/>
              </w:rPr>
              <w:t xml:space="preserve">tells the UE the </w:t>
            </w:r>
            <w:r w:rsidR="00B63AE3" w:rsidRPr="001C5AFB">
              <w:rPr>
                <w:rFonts w:cs="Arial"/>
                <w:b/>
                <w:bCs/>
                <w:i/>
                <w:iCs/>
                <w:color w:val="C00000"/>
                <w:u w:val="single"/>
              </w:rPr>
              <w:t>size of the bundles.</w:t>
            </w:r>
          </w:p>
          <w:p w14:paraId="534C00EF" w14:textId="60D26DAE" w:rsidR="00A97F02" w:rsidRPr="001C5AFB" w:rsidRDefault="00A97F02" w:rsidP="00F25419">
            <w:pPr>
              <w:pStyle w:val="BodyText"/>
              <w:rPr>
                <w:rFonts w:cs="Arial"/>
                <w:b/>
                <w:bCs/>
                <w:i/>
                <w:iCs/>
                <w:color w:val="C00000"/>
                <w:u w:val="single"/>
              </w:rPr>
            </w:pPr>
            <w:r w:rsidRPr="001C5AFB">
              <w:rPr>
                <w:rFonts w:cs="Arial"/>
                <w:b/>
                <w:bCs/>
                <w:i/>
                <w:iCs/>
                <w:color w:val="C00000"/>
                <w:u w:val="single"/>
              </w:rPr>
              <w:t xml:space="preserve">The interpretation that the </w:t>
            </w:r>
            <w:r w:rsidR="00C21866" w:rsidRPr="001C5AFB">
              <w:rPr>
                <w:rFonts w:cs="Arial"/>
                <w:b/>
                <w:bCs/>
                <w:i/>
                <w:iCs/>
                <w:color w:val="C00000"/>
                <w:u w:val="single"/>
              </w:rPr>
              <w:t xml:space="preserve">bundle size </w:t>
            </w:r>
            <w:r w:rsidRPr="001C5AFB">
              <w:rPr>
                <w:rFonts w:cs="Arial"/>
                <w:b/>
                <w:bCs/>
                <w:i/>
                <w:iCs/>
                <w:color w:val="C00000"/>
                <w:u w:val="single"/>
              </w:rPr>
              <w:t>determination will be done</w:t>
            </w:r>
            <w:r w:rsidR="003C56EE" w:rsidRPr="001C5AFB">
              <w:rPr>
                <w:rFonts w:cs="Arial"/>
                <w:b/>
                <w:bCs/>
                <w:i/>
                <w:iCs/>
                <w:color w:val="C00000"/>
                <w:u w:val="single"/>
              </w:rPr>
              <w:t xml:space="preserve"> only</w:t>
            </w:r>
            <w:r w:rsidRPr="001C5AFB">
              <w:rPr>
                <w:rFonts w:cs="Arial"/>
                <w:b/>
                <w:bCs/>
                <w:i/>
                <w:iCs/>
                <w:color w:val="C00000"/>
                <w:u w:val="single"/>
              </w:rPr>
              <w:t xml:space="preserve"> </w:t>
            </w:r>
            <w:r w:rsidR="00C21866" w:rsidRPr="001C5AFB">
              <w:rPr>
                <w:rFonts w:cs="Arial"/>
                <w:b/>
                <w:bCs/>
                <w:i/>
                <w:iCs/>
                <w:color w:val="C00000"/>
                <w:u w:val="single"/>
              </w:rPr>
              <w:t>according to</w:t>
            </w:r>
            <w:r w:rsidRPr="001C5AFB">
              <w:rPr>
                <w:rFonts w:cs="Arial"/>
                <w:b/>
                <w:bCs/>
                <w:i/>
                <w:iCs/>
                <w:color w:val="C00000"/>
                <w:u w:val="single"/>
              </w:rPr>
              <w:t xml:space="preserve"> </w:t>
            </w:r>
            <w:r w:rsidR="00874F65" w:rsidRPr="001C5AFB">
              <w:rPr>
                <w:rFonts w:cs="Arial"/>
                <w:b/>
                <w:bCs/>
                <w:i/>
                <w:iCs/>
                <w:color w:val="C00000"/>
                <w:u w:val="single"/>
              </w:rPr>
              <w:t xml:space="preserve">the current </w:t>
            </w:r>
            <w:r w:rsidR="00B06319" w:rsidRPr="001C5AFB">
              <w:rPr>
                <w:rFonts w:cs="Arial"/>
                <w:b/>
                <w:bCs/>
                <w:i/>
                <w:iCs/>
                <w:color w:val="C00000"/>
                <w:u w:val="single"/>
              </w:rPr>
              <w:t>equations</w:t>
            </w:r>
            <w:r w:rsidR="00EA0E07" w:rsidRPr="001C5AFB">
              <w:rPr>
                <w:rFonts w:cs="Arial"/>
                <w:b/>
                <w:bCs/>
                <w:i/>
                <w:iCs/>
                <w:color w:val="C00000"/>
                <w:u w:val="single"/>
              </w:rPr>
              <w:t xml:space="preserve"> in the specification, and</w:t>
            </w:r>
            <w:r w:rsidR="004C3941" w:rsidRPr="001C5AFB">
              <w:rPr>
                <w:rFonts w:cs="Arial"/>
                <w:b/>
                <w:bCs/>
                <w:i/>
                <w:iCs/>
                <w:color w:val="C00000"/>
                <w:u w:val="single"/>
              </w:rPr>
              <w:t xml:space="preserve"> any</w:t>
            </w:r>
            <w:r w:rsidR="00EA0E07" w:rsidRPr="001C5AFB">
              <w:rPr>
                <w:rFonts w:cs="Arial"/>
                <w:b/>
                <w:bCs/>
                <w:i/>
                <w:iCs/>
                <w:color w:val="C00000"/>
                <w:u w:val="single"/>
              </w:rPr>
              <w:t xml:space="preserve"> other forms of determination</w:t>
            </w:r>
            <w:r w:rsidR="004C3941" w:rsidRPr="001C5AFB">
              <w:rPr>
                <w:rFonts w:cs="Arial"/>
                <w:b/>
                <w:bCs/>
                <w:i/>
                <w:iCs/>
                <w:color w:val="C00000"/>
                <w:u w:val="single"/>
              </w:rPr>
              <w:t xml:space="preserve"> will be expressly prohibited,</w:t>
            </w:r>
            <w:r w:rsidR="00EA0E07" w:rsidRPr="001C5AFB">
              <w:rPr>
                <w:rFonts w:cs="Arial"/>
                <w:b/>
                <w:bCs/>
                <w:i/>
                <w:iCs/>
                <w:color w:val="C00000"/>
                <w:u w:val="single"/>
              </w:rPr>
              <w:t xml:space="preserve"> is</w:t>
            </w:r>
            <w:r w:rsidR="004D7F04" w:rsidRPr="001C5AFB">
              <w:rPr>
                <w:rFonts w:cs="Arial"/>
                <w:b/>
                <w:bCs/>
                <w:i/>
                <w:iCs/>
                <w:color w:val="C00000"/>
                <w:u w:val="single"/>
              </w:rPr>
              <w:t xml:space="preserve"> </w:t>
            </w:r>
            <w:r w:rsidR="00EA0E07" w:rsidRPr="001C5AFB">
              <w:rPr>
                <w:rFonts w:cs="Arial"/>
                <w:b/>
                <w:bCs/>
                <w:i/>
                <w:iCs/>
                <w:color w:val="C00000"/>
                <w:u w:val="single"/>
              </w:rPr>
              <w:t xml:space="preserve">extremely unfortunate—and </w:t>
            </w:r>
            <w:r w:rsidR="00A5044A" w:rsidRPr="001C5AFB">
              <w:rPr>
                <w:rFonts w:cs="Arial"/>
                <w:b/>
                <w:bCs/>
                <w:i/>
                <w:iCs/>
                <w:color w:val="C00000"/>
                <w:u w:val="single"/>
              </w:rPr>
              <w:t>if we may say</w:t>
            </w:r>
            <w:r w:rsidR="00EA0E07" w:rsidRPr="001C5AFB">
              <w:rPr>
                <w:rFonts w:cs="Arial"/>
                <w:b/>
                <w:bCs/>
                <w:i/>
                <w:iCs/>
                <w:color w:val="C00000"/>
                <w:u w:val="single"/>
              </w:rPr>
              <w:t xml:space="preserve"> </w:t>
            </w:r>
            <w:r w:rsidR="009F0FBC" w:rsidRPr="001C5AFB">
              <w:rPr>
                <w:rFonts w:cs="Arial"/>
                <w:b/>
                <w:bCs/>
                <w:i/>
                <w:iCs/>
                <w:color w:val="C00000"/>
                <w:u w:val="single"/>
              </w:rPr>
              <w:t>so</w:t>
            </w:r>
            <w:r w:rsidR="00EA0E07" w:rsidRPr="001C5AFB">
              <w:rPr>
                <w:rFonts w:cs="Arial"/>
                <w:b/>
                <w:bCs/>
                <w:i/>
                <w:iCs/>
                <w:color w:val="C00000"/>
                <w:u w:val="single"/>
              </w:rPr>
              <w:t>, plain wrong.</w:t>
            </w:r>
          </w:p>
          <w:p w14:paraId="2B978B4A" w14:textId="756DDAFF" w:rsidR="00A5044A" w:rsidRPr="001C5AFB" w:rsidRDefault="00F7080B" w:rsidP="00F25419">
            <w:pPr>
              <w:pStyle w:val="BodyText"/>
              <w:rPr>
                <w:rFonts w:cs="Arial"/>
                <w:b/>
                <w:bCs/>
                <w:i/>
                <w:iCs/>
                <w:color w:val="C00000"/>
                <w:u w:val="single"/>
              </w:rPr>
            </w:pPr>
            <w:r w:rsidRPr="001C5AFB">
              <w:rPr>
                <w:rFonts w:cs="Arial"/>
                <w:b/>
                <w:bCs/>
                <w:i/>
                <w:iCs/>
                <w:color w:val="C00000"/>
                <w:u w:val="single"/>
              </w:rPr>
              <w:t>W</w:t>
            </w:r>
            <w:r w:rsidR="00F1202C" w:rsidRPr="001C5AFB">
              <w:rPr>
                <w:rFonts w:cs="Arial"/>
                <w:b/>
                <w:bCs/>
                <w:i/>
                <w:iCs/>
                <w:color w:val="C00000"/>
                <w:u w:val="single"/>
              </w:rPr>
              <w:t xml:space="preserve">e would also like to point out that </w:t>
            </w:r>
            <w:r w:rsidR="00BC58BD" w:rsidRPr="001C5AFB">
              <w:rPr>
                <w:rFonts w:cs="Arial"/>
                <w:b/>
                <w:bCs/>
                <w:i/>
                <w:iCs/>
                <w:color w:val="C00000"/>
                <w:u w:val="single"/>
              </w:rPr>
              <w:t>even the current equation</w:t>
            </w:r>
            <w:r w:rsidR="00F074FC" w:rsidRPr="001C5AFB">
              <w:rPr>
                <w:rFonts w:cs="Arial"/>
                <w:b/>
                <w:bCs/>
                <w:i/>
                <w:iCs/>
                <w:color w:val="C00000"/>
                <w:u w:val="single"/>
              </w:rPr>
              <w:t xml:space="preserve"> doesn</w:t>
            </w:r>
            <w:r w:rsidR="004D7F04" w:rsidRPr="001C5AFB">
              <w:rPr>
                <w:rFonts w:cs="Arial"/>
                <w:b/>
                <w:bCs/>
                <w:i/>
                <w:iCs/>
                <w:color w:val="C00000"/>
                <w:u w:val="single"/>
              </w:rPr>
              <w:t>‘</w:t>
            </w:r>
            <w:r w:rsidR="00F074FC" w:rsidRPr="001C5AFB">
              <w:rPr>
                <w:rFonts w:cs="Arial"/>
                <w:b/>
                <w:bCs/>
                <w:i/>
                <w:iCs/>
                <w:color w:val="C00000"/>
                <w:u w:val="single"/>
              </w:rPr>
              <w:t xml:space="preserve">t lead to „one size </w:t>
            </w:r>
            <w:r w:rsidR="00237EBC" w:rsidRPr="001C5AFB">
              <w:rPr>
                <w:rFonts w:cs="Arial"/>
                <w:b/>
                <w:bCs/>
                <w:i/>
                <w:iCs/>
                <w:color w:val="C00000"/>
                <w:u w:val="single"/>
              </w:rPr>
              <w:t>for all</w:t>
            </w:r>
            <w:r w:rsidR="00F074FC" w:rsidRPr="001C5AFB">
              <w:rPr>
                <w:rFonts w:cs="Arial"/>
                <w:b/>
                <w:bCs/>
                <w:i/>
                <w:iCs/>
                <w:color w:val="C00000"/>
                <w:u w:val="single"/>
              </w:rPr>
              <w:t xml:space="preserve"> bundles“</w:t>
            </w:r>
            <w:r w:rsidR="003728F1">
              <w:rPr>
                <w:rFonts w:cs="Arial"/>
                <w:b/>
                <w:bCs/>
                <w:i/>
                <w:iCs/>
                <w:color w:val="C00000"/>
                <w:u w:val="single"/>
              </w:rPr>
              <w:t xml:space="preserve"> in many instances</w:t>
            </w:r>
            <w:r w:rsidR="00F074FC" w:rsidRPr="001C5AFB">
              <w:rPr>
                <w:rFonts w:cs="Arial"/>
                <w:b/>
                <w:bCs/>
                <w:i/>
                <w:iCs/>
                <w:color w:val="C00000"/>
                <w:u w:val="single"/>
              </w:rPr>
              <w:t xml:space="preserve">. It cannot be „implied understanding“ that the „only allowed way“ to have </w:t>
            </w:r>
            <w:r w:rsidR="00CE6BA9" w:rsidRPr="001C5AFB">
              <w:rPr>
                <w:rFonts w:cs="Arial"/>
                <w:b/>
                <w:bCs/>
                <w:i/>
                <w:iCs/>
                <w:color w:val="C00000"/>
                <w:u w:val="single"/>
              </w:rPr>
              <w:t xml:space="preserve">different </w:t>
            </w:r>
            <w:r w:rsidR="00DB516E" w:rsidRPr="001C5AFB">
              <w:rPr>
                <w:rFonts w:cs="Arial"/>
                <w:b/>
                <w:bCs/>
                <w:i/>
                <w:iCs/>
                <w:color w:val="C00000"/>
                <w:u w:val="single"/>
              </w:rPr>
              <w:t>sizes for different bundles</w:t>
            </w:r>
            <w:r w:rsidR="00CE6BA9" w:rsidRPr="001C5AFB">
              <w:rPr>
                <w:rFonts w:cs="Arial"/>
                <w:b/>
                <w:bCs/>
                <w:i/>
                <w:iCs/>
                <w:color w:val="C00000"/>
                <w:u w:val="single"/>
              </w:rPr>
              <w:t xml:space="preserve"> in a multi-TB PDSCH </w:t>
            </w:r>
            <w:r w:rsidR="00FE07EC">
              <w:rPr>
                <w:rFonts w:cs="Arial"/>
                <w:b/>
                <w:bCs/>
                <w:i/>
                <w:iCs/>
                <w:color w:val="C00000"/>
                <w:u w:val="single"/>
              </w:rPr>
              <w:t>when</w:t>
            </w:r>
            <w:r w:rsidR="00D72307" w:rsidRPr="001C5AFB">
              <w:rPr>
                <w:rFonts w:cs="Arial"/>
                <w:b/>
                <w:bCs/>
                <w:i/>
                <w:iCs/>
                <w:color w:val="C00000"/>
                <w:u w:val="single"/>
              </w:rPr>
              <w:t xml:space="preserve"> a</w:t>
            </w:r>
            <w:r w:rsidR="00CE6BA9" w:rsidRPr="001C5AFB">
              <w:rPr>
                <w:rFonts w:cs="Arial"/>
                <w:b/>
                <w:bCs/>
                <w:i/>
                <w:iCs/>
                <w:color w:val="C00000"/>
                <w:u w:val="single"/>
              </w:rPr>
              <w:t xml:space="preserve"> „remainder operation after a division</w:t>
            </w:r>
            <w:r w:rsidR="00D72307" w:rsidRPr="001C5AFB">
              <w:rPr>
                <w:rFonts w:cs="Arial"/>
                <w:b/>
                <w:bCs/>
                <w:i/>
                <w:iCs/>
                <w:color w:val="C00000"/>
                <w:u w:val="single"/>
              </w:rPr>
              <w:t>“</w:t>
            </w:r>
            <w:r w:rsidR="00FE07EC">
              <w:rPr>
                <w:rFonts w:cs="Arial"/>
                <w:b/>
                <w:bCs/>
                <w:i/>
                <w:iCs/>
                <w:color w:val="C00000"/>
                <w:u w:val="single"/>
              </w:rPr>
              <w:t xml:space="preserve"> </w:t>
            </w:r>
            <w:r w:rsidR="00630C45">
              <w:rPr>
                <w:rFonts w:cs="Arial"/>
                <w:b/>
                <w:bCs/>
                <w:i/>
                <w:iCs/>
                <w:color w:val="C00000"/>
                <w:u w:val="single"/>
              </w:rPr>
              <w:t>dictates it</w:t>
            </w:r>
            <w:r w:rsidR="002E21D3" w:rsidRPr="001C5AFB">
              <w:rPr>
                <w:rFonts w:cs="Arial"/>
                <w:b/>
                <w:bCs/>
                <w:i/>
                <w:iCs/>
                <w:color w:val="C00000"/>
                <w:u w:val="single"/>
              </w:rPr>
              <w:t xml:space="preserve">. </w:t>
            </w:r>
            <w:r w:rsidR="009E035F" w:rsidRPr="001C5AFB">
              <w:rPr>
                <w:rFonts w:cs="Arial"/>
                <w:b/>
                <w:bCs/>
                <w:i/>
                <w:iCs/>
                <w:color w:val="C00000"/>
                <w:u w:val="single"/>
              </w:rPr>
              <w:t>To us, s</w:t>
            </w:r>
            <w:r w:rsidR="002E21D3" w:rsidRPr="001C5AFB">
              <w:rPr>
                <w:rFonts w:cs="Arial"/>
                <w:b/>
                <w:bCs/>
                <w:i/>
                <w:iCs/>
                <w:color w:val="C00000"/>
                <w:u w:val="single"/>
              </w:rPr>
              <w:t>uch lines of reasoning are</w:t>
            </w:r>
            <w:r w:rsidR="009E035F" w:rsidRPr="001C5AFB">
              <w:rPr>
                <w:rFonts w:cs="Arial"/>
                <w:b/>
                <w:bCs/>
                <w:i/>
                <w:iCs/>
                <w:color w:val="C00000"/>
                <w:u w:val="single"/>
              </w:rPr>
              <w:t xml:space="preserve"> a</w:t>
            </w:r>
            <w:r w:rsidR="002E21D3" w:rsidRPr="001C5AFB">
              <w:rPr>
                <w:rFonts w:cs="Arial"/>
                <w:b/>
                <w:bCs/>
                <w:i/>
                <w:iCs/>
                <w:color w:val="C00000"/>
                <w:u w:val="single"/>
              </w:rPr>
              <w:t xml:space="preserve"> </w:t>
            </w:r>
            <w:r w:rsidR="0095159A">
              <w:rPr>
                <w:rFonts w:cs="Arial"/>
                <w:b/>
                <w:bCs/>
                <w:i/>
                <w:iCs/>
                <w:color w:val="C00000"/>
                <w:u w:val="single"/>
              </w:rPr>
              <w:t>disappointing</w:t>
            </w:r>
            <w:r w:rsidR="002E21D3" w:rsidRPr="001C5AFB">
              <w:rPr>
                <w:rFonts w:cs="Arial"/>
                <w:b/>
                <w:bCs/>
                <w:i/>
                <w:iCs/>
                <w:color w:val="C00000"/>
                <w:u w:val="single"/>
              </w:rPr>
              <w:t xml:space="preserve"> </w:t>
            </w:r>
            <w:r w:rsidR="00831422" w:rsidRPr="001C5AFB">
              <w:rPr>
                <w:rFonts w:cs="Arial"/>
                <w:b/>
                <w:bCs/>
                <w:i/>
                <w:iCs/>
                <w:color w:val="C00000"/>
                <w:u w:val="single"/>
              </w:rPr>
              <w:t xml:space="preserve">means to </w:t>
            </w:r>
            <w:r w:rsidR="00715B10" w:rsidRPr="001C5AFB">
              <w:rPr>
                <w:rFonts w:cs="Arial"/>
                <w:b/>
                <w:bCs/>
                <w:i/>
                <w:iCs/>
                <w:color w:val="C00000"/>
                <w:u w:val="single"/>
              </w:rPr>
              <w:t>block the</w:t>
            </w:r>
            <w:r w:rsidR="00831422" w:rsidRPr="001C5AFB">
              <w:rPr>
                <w:rFonts w:cs="Arial"/>
                <w:b/>
                <w:bCs/>
                <w:i/>
                <w:iCs/>
                <w:color w:val="C00000"/>
                <w:u w:val="single"/>
              </w:rPr>
              <w:t xml:space="preserve"> discussion of alternative proposals that may have technical merit.</w:t>
            </w:r>
          </w:p>
          <w:p w14:paraId="74632BC5" w14:textId="70529AD2" w:rsidR="00320060" w:rsidRPr="00112077" w:rsidRDefault="00320060" w:rsidP="00F25419">
            <w:pPr>
              <w:pStyle w:val="BodyText"/>
              <w:rPr>
                <w:rFonts w:cs="Arial"/>
                <w:color w:val="C00000"/>
              </w:rPr>
            </w:pPr>
            <w:r w:rsidRPr="001C5AFB">
              <w:rPr>
                <w:rFonts w:cs="Arial"/>
                <w:b/>
                <w:bCs/>
                <w:i/>
                <w:iCs/>
                <w:color w:val="C00000"/>
                <w:u w:val="single"/>
              </w:rPr>
              <w:t xml:space="preserve">We would kindly request the </w:t>
            </w:r>
            <w:r w:rsidR="009E1423" w:rsidRPr="001C5AFB">
              <w:rPr>
                <w:rFonts w:cs="Arial"/>
                <w:b/>
                <w:bCs/>
                <w:i/>
                <w:iCs/>
                <w:color w:val="C00000"/>
                <w:u w:val="single"/>
              </w:rPr>
              <w:t>companies to try to judge each solution</w:t>
            </w:r>
            <w:r w:rsidR="00824A63" w:rsidRPr="001C5AFB">
              <w:rPr>
                <w:rFonts w:cs="Arial"/>
                <w:b/>
                <w:bCs/>
                <w:i/>
                <w:iCs/>
                <w:color w:val="C00000"/>
                <w:u w:val="single"/>
              </w:rPr>
              <w:t>—</w:t>
            </w:r>
            <w:r w:rsidR="009E1423" w:rsidRPr="001C5AFB">
              <w:rPr>
                <w:rFonts w:cs="Arial"/>
                <w:b/>
                <w:bCs/>
                <w:i/>
                <w:iCs/>
                <w:color w:val="C00000"/>
                <w:u w:val="single"/>
              </w:rPr>
              <w:t>all</w:t>
            </w:r>
            <w:r w:rsidR="00824A63" w:rsidRPr="001C5AFB">
              <w:rPr>
                <w:rFonts w:cs="Arial"/>
                <w:b/>
                <w:bCs/>
                <w:i/>
                <w:iCs/>
                <w:color w:val="C00000"/>
                <w:u w:val="single"/>
              </w:rPr>
              <w:t xml:space="preserve"> </w:t>
            </w:r>
            <w:r w:rsidR="009E1423" w:rsidRPr="001C5AFB">
              <w:rPr>
                <w:rFonts w:cs="Arial"/>
                <w:b/>
                <w:bCs/>
                <w:i/>
                <w:iCs/>
                <w:color w:val="C00000"/>
                <w:u w:val="single"/>
              </w:rPr>
              <w:t xml:space="preserve">of which </w:t>
            </w:r>
            <w:r w:rsidR="00824A63" w:rsidRPr="001C5AFB">
              <w:rPr>
                <w:rFonts w:cs="Arial"/>
                <w:b/>
                <w:bCs/>
                <w:i/>
                <w:iCs/>
                <w:color w:val="C00000"/>
                <w:u w:val="single"/>
              </w:rPr>
              <w:t>(</w:t>
            </w:r>
            <w:r w:rsidR="009E1423" w:rsidRPr="001C5AFB">
              <w:rPr>
                <w:rFonts w:cs="Arial"/>
                <w:b/>
                <w:bCs/>
                <w:i/>
                <w:iCs/>
                <w:color w:val="C00000"/>
                <w:u w:val="single"/>
              </w:rPr>
              <w:t>including ours, and including the current placeholder text)</w:t>
            </w:r>
            <w:r w:rsidR="00824A63" w:rsidRPr="001C5AFB">
              <w:rPr>
                <w:rFonts w:cs="Arial"/>
                <w:b/>
                <w:bCs/>
                <w:i/>
                <w:iCs/>
                <w:color w:val="C00000"/>
                <w:u w:val="single"/>
              </w:rPr>
              <w:t xml:space="preserve"> are „no</w:t>
            </w:r>
            <w:r w:rsidR="00FA5D3A" w:rsidRPr="001C5AFB">
              <w:rPr>
                <w:rFonts w:cs="Arial"/>
                <w:b/>
                <w:bCs/>
                <w:i/>
                <w:iCs/>
                <w:color w:val="C00000"/>
                <w:u w:val="single"/>
              </w:rPr>
              <w:t>t precluded</w:t>
            </w:r>
            <w:r w:rsidR="00824A63" w:rsidRPr="001C5AFB">
              <w:rPr>
                <w:rFonts w:cs="Arial"/>
                <w:b/>
                <w:bCs/>
                <w:i/>
                <w:iCs/>
                <w:color w:val="C00000"/>
                <w:u w:val="single"/>
              </w:rPr>
              <w:t>“</w:t>
            </w:r>
            <w:r w:rsidR="00FA5D3A" w:rsidRPr="001C5AFB">
              <w:rPr>
                <w:rFonts w:cs="Arial"/>
                <w:b/>
                <w:bCs/>
                <w:i/>
                <w:iCs/>
                <w:color w:val="C00000"/>
                <w:u w:val="single"/>
              </w:rPr>
              <w:t>—on the technical merits</w:t>
            </w:r>
            <w:r w:rsidR="00715B10" w:rsidRPr="001C5AFB">
              <w:rPr>
                <w:rFonts w:cs="Arial"/>
                <w:b/>
                <w:bCs/>
                <w:i/>
                <w:iCs/>
                <w:color w:val="C00000"/>
                <w:u w:val="single"/>
              </w:rPr>
              <w:t xml:space="preserve"> of each</w:t>
            </w:r>
            <w:r w:rsidR="00FA5D3A" w:rsidRPr="001C5AFB">
              <w:rPr>
                <w:rFonts w:cs="Arial"/>
                <w:b/>
                <w:bCs/>
                <w:i/>
                <w:iCs/>
                <w:color w:val="C00000"/>
                <w:u w:val="single"/>
              </w:rPr>
              <w:t xml:space="preserve">. We hope we can do this. </w:t>
            </w:r>
            <w:r w:rsidR="003822DE" w:rsidRPr="001C5AFB">
              <w:rPr>
                <w:rFonts w:cs="Arial"/>
                <w:b/>
                <w:bCs/>
                <w:i/>
                <w:iCs/>
                <w:color w:val="C00000"/>
                <w:u w:val="single"/>
              </w:rPr>
              <w:t xml:space="preserve">As a group, we deserve better for ourselves than to try to </w:t>
            </w:r>
            <w:r w:rsidR="009B58F5" w:rsidRPr="001C5AFB">
              <w:rPr>
                <w:rFonts w:cs="Arial"/>
                <w:b/>
                <w:bCs/>
                <w:i/>
                <w:iCs/>
                <w:color w:val="C00000"/>
                <w:u w:val="single"/>
              </w:rPr>
              <w:t>disallow</w:t>
            </w:r>
            <w:r w:rsidR="003822DE" w:rsidRPr="001C5AFB">
              <w:rPr>
                <w:rFonts w:cs="Arial"/>
                <w:b/>
                <w:bCs/>
                <w:i/>
                <w:iCs/>
                <w:color w:val="C00000"/>
                <w:u w:val="single"/>
              </w:rPr>
              <w:t xml:space="preserve"> legitimate solutions from discussion and consideration</w:t>
            </w:r>
            <w:r w:rsidR="009B58F5" w:rsidRPr="001C5AFB">
              <w:rPr>
                <w:rFonts w:cs="Arial"/>
                <w:b/>
                <w:bCs/>
                <w:i/>
                <w:iCs/>
                <w:color w:val="C00000"/>
                <w:u w:val="single"/>
              </w:rPr>
              <w:t>, based on arbitrarily-constructed and flimsy technicalities</w:t>
            </w:r>
            <w:r w:rsidR="003822DE" w:rsidRPr="001C5AFB">
              <w:rPr>
                <w:rFonts w:cs="Arial"/>
                <w:b/>
                <w:bCs/>
                <w:i/>
                <w:iCs/>
                <w:color w:val="C00000"/>
                <w:u w:val="single"/>
              </w:rPr>
              <w:t>.</w:t>
            </w:r>
          </w:p>
        </w:tc>
      </w:tr>
      <w:tr w:rsidR="00C875E7" w14:paraId="4AE6FB23" w14:textId="77777777" w:rsidTr="00832506">
        <w:tc>
          <w:tcPr>
            <w:tcW w:w="2263" w:type="dxa"/>
          </w:tcPr>
          <w:p w14:paraId="74476A25" w14:textId="4C748D2B" w:rsidR="00C875E7" w:rsidRPr="00330BD6" w:rsidRDefault="007E6F54" w:rsidP="00832506">
            <w:pPr>
              <w:pStyle w:val="BodyText"/>
              <w:rPr>
                <w:sz w:val="20"/>
                <w:szCs w:val="20"/>
              </w:rPr>
            </w:pPr>
            <w:r>
              <w:rPr>
                <w:sz w:val="20"/>
                <w:szCs w:val="20"/>
              </w:rPr>
              <w:lastRenderedPageBreak/>
              <w:t>FUTUREWEI</w:t>
            </w:r>
          </w:p>
        </w:tc>
        <w:tc>
          <w:tcPr>
            <w:tcW w:w="7366" w:type="dxa"/>
          </w:tcPr>
          <w:p w14:paraId="31FCD214" w14:textId="31C0E7F3" w:rsidR="00C875E7" w:rsidRPr="00CC21EC" w:rsidRDefault="007E6F54" w:rsidP="00832506">
            <w:pPr>
              <w:pStyle w:val="BodyText"/>
              <w:rPr>
                <w:sz w:val="20"/>
                <w:szCs w:val="20"/>
              </w:rPr>
            </w:pPr>
            <w:r>
              <w:rPr>
                <w:sz w:val="20"/>
                <w:szCs w:val="20"/>
              </w:rPr>
              <w:t xml:space="preserve">As stated by the moderator, the views of the editor on the earlier agreements and how the specifications </w:t>
            </w:r>
            <w:r w:rsidRPr="00CC21EC">
              <w:rPr>
                <w:sz w:val="20"/>
                <w:szCs w:val="20"/>
              </w:rPr>
              <w:t xml:space="preserve">work are in </w:t>
            </w:r>
            <w:hyperlink r:id="rId21" w:history="1">
              <w:r w:rsidRPr="00CC21EC">
                <w:rPr>
                  <w:rStyle w:val="Hyperlink"/>
                  <w:rFonts w:cs="Arial"/>
                  <w:sz w:val="20"/>
                  <w:szCs w:val="20"/>
                </w:rPr>
                <w:t>R1-20</w:t>
              </w:r>
              <w:r w:rsidRPr="00CC21EC">
                <w:rPr>
                  <w:rStyle w:val="Hyperlink"/>
                  <w:rFonts w:cs="Arial"/>
                  <w:sz w:val="20"/>
                  <w:szCs w:val="20"/>
                </w:rPr>
                <w:t>0</w:t>
              </w:r>
              <w:r w:rsidRPr="00CC21EC">
                <w:rPr>
                  <w:rStyle w:val="Hyperlink"/>
                  <w:rFonts w:cs="Arial"/>
                  <w:sz w:val="20"/>
                  <w:szCs w:val="20"/>
                </w:rPr>
                <w:t>2654</w:t>
              </w:r>
            </w:hyperlink>
            <w:r w:rsidRPr="00CC21EC">
              <w:rPr>
                <w:rFonts w:cs="Arial"/>
                <w:sz w:val="20"/>
                <w:szCs w:val="20"/>
                <w:lang w:val="en-US"/>
              </w:rPr>
              <w:t>, “HARQ-ACK bundling for Multi-TB scheduling”</w:t>
            </w:r>
            <w:r w:rsidR="00CC21EC" w:rsidRPr="00CC21EC">
              <w:rPr>
                <w:rFonts w:cs="Arial"/>
                <w:sz w:val="20"/>
                <w:szCs w:val="20"/>
                <w:lang w:val="en-US"/>
              </w:rPr>
              <w:t>. We encourage</w:t>
            </w:r>
            <w:r w:rsidR="00CC21EC">
              <w:rPr>
                <w:rFonts w:cs="Arial"/>
                <w:sz w:val="20"/>
                <w:szCs w:val="20"/>
                <w:lang w:val="en-US"/>
              </w:rPr>
              <w:t xml:space="preserve"> companies to read that document, as we only summarize a few points here:</w:t>
            </w:r>
          </w:p>
          <w:p w14:paraId="04D13624" w14:textId="040907A7" w:rsidR="007E6F54" w:rsidRDefault="007E6F54" w:rsidP="007E6F54">
            <w:pPr>
              <w:pStyle w:val="BodyText"/>
              <w:numPr>
                <w:ilvl w:val="0"/>
                <w:numId w:val="189"/>
              </w:numPr>
              <w:rPr>
                <w:sz w:val="20"/>
                <w:szCs w:val="20"/>
              </w:rPr>
            </w:pPr>
            <w:r>
              <w:rPr>
                <w:sz w:val="20"/>
                <w:szCs w:val="20"/>
              </w:rPr>
              <w:t>The editors made their best effort to produce specifications from the available agreements, and their efforts should not be disparaged</w:t>
            </w:r>
            <w:r w:rsidR="008252EB">
              <w:rPr>
                <w:sz w:val="20"/>
                <w:szCs w:val="20"/>
              </w:rPr>
              <w:t>.</w:t>
            </w:r>
          </w:p>
          <w:p w14:paraId="1B232571" w14:textId="77777777" w:rsidR="008252EB" w:rsidRDefault="008252EB" w:rsidP="007E6F54">
            <w:pPr>
              <w:pStyle w:val="BodyText"/>
              <w:numPr>
                <w:ilvl w:val="0"/>
                <w:numId w:val="189"/>
              </w:numPr>
              <w:rPr>
                <w:sz w:val="20"/>
                <w:szCs w:val="20"/>
              </w:rPr>
            </w:pPr>
            <w:r>
              <w:rPr>
                <w:sz w:val="20"/>
                <w:szCs w:val="20"/>
              </w:rPr>
              <w:t>The current specifications work.</w:t>
            </w:r>
          </w:p>
          <w:p w14:paraId="3E75EB81" w14:textId="293F3D4E" w:rsidR="008252EB" w:rsidRDefault="008252EB" w:rsidP="007E6F54">
            <w:pPr>
              <w:pStyle w:val="BodyText"/>
              <w:numPr>
                <w:ilvl w:val="0"/>
                <w:numId w:val="189"/>
              </w:numPr>
              <w:rPr>
                <w:sz w:val="20"/>
                <w:szCs w:val="20"/>
              </w:rPr>
            </w:pPr>
            <w:r>
              <w:rPr>
                <w:sz w:val="20"/>
                <w:szCs w:val="20"/>
              </w:rPr>
              <w:t xml:space="preserve">The proposal from Qualcomm, in </w:t>
            </w:r>
            <w:r w:rsidR="00DF7EE7">
              <w:rPr>
                <w:sz w:val="20"/>
                <w:szCs w:val="20"/>
              </w:rPr>
              <w:t>our</w:t>
            </w:r>
            <w:r>
              <w:rPr>
                <w:sz w:val="20"/>
                <w:szCs w:val="20"/>
              </w:rPr>
              <w:t xml:space="preserve"> view, does not follow the agreements. We understand from the statements above that Qualcomm feels it does</w:t>
            </w:r>
            <w:r w:rsidR="00DF7EE7">
              <w:rPr>
                <w:sz w:val="20"/>
                <w:szCs w:val="20"/>
              </w:rPr>
              <w:t>.</w:t>
            </w:r>
          </w:p>
          <w:p w14:paraId="3167B080" w14:textId="5D99FE73" w:rsidR="008252EB" w:rsidRDefault="00DF7EE7" w:rsidP="007E6F54">
            <w:pPr>
              <w:pStyle w:val="BodyText"/>
              <w:numPr>
                <w:ilvl w:val="0"/>
                <w:numId w:val="189"/>
              </w:numPr>
              <w:rPr>
                <w:sz w:val="20"/>
                <w:szCs w:val="20"/>
              </w:rPr>
            </w:pPr>
            <w:r>
              <w:rPr>
                <w:sz w:val="20"/>
                <w:szCs w:val="20"/>
              </w:rPr>
              <w:t xml:space="preserve">Our paper clearly states that we are not trying to stop </w:t>
            </w:r>
            <w:r w:rsidRPr="00DF7EE7">
              <w:rPr>
                <w:i/>
                <w:iCs/>
                <w:sz w:val="20"/>
                <w:szCs w:val="20"/>
              </w:rPr>
              <w:t>any</w:t>
            </w:r>
            <w:r>
              <w:rPr>
                <w:sz w:val="20"/>
                <w:szCs w:val="20"/>
              </w:rPr>
              <w:t xml:space="preserve"> technical discussion, not only for aspects noted during the endorsement process, but any </w:t>
            </w:r>
            <w:r w:rsidR="00533BA0">
              <w:rPr>
                <w:sz w:val="20"/>
                <w:szCs w:val="20"/>
              </w:rPr>
              <w:t>other proposed implementation</w:t>
            </w:r>
            <w:r>
              <w:rPr>
                <w:sz w:val="20"/>
                <w:szCs w:val="20"/>
              </w:rPr>
              <w:t>.</w:t>
            </w:r>
          </w:p>
          <w:p w14:paraId="3F25C885" w14:textId="4A495FB7" w:rsidR="00DF7EE7" w:rsidRDefault="00C430CE" w:rsidP="00DF7EE7">
            <w:pPr>
              <w:pStyle w:val="BodyText"/>
              <w:rPr>
                <w:sz w:val="20"/>
                <w:szCs w:val="20"/>
              </w:rPr>
            </w:pPr>
            <w:r>
              <w:rPr>
                <w:sz w:val="20"/>
                <w:szCs w:val="20"/>
              </w:rPr>
              <w:t xml:space="preserve">The moderator had previously suggested that we need to sort out the understanding of the agreements. Our view is in the paper. However, in our limited time it may be more productive to focus on the technical discussion. Technically, it appears to be flexibility/simplicity versus lower overhead and the ability to select </w:t>
            </w:r>
            <w:r>
              <w:rPr>
                <w:sz w:val="20"/>
                <w:szCs w:val="20"/>
              </w:rPr>
              <w:lastRenderedPageBreak/>
              <w:t>certain preferer</w:t>
            </w:r>
            <w:r w:rsidR="00CC21EC">
              <w:rPr>
                <w:sz w:val="20"/>
                <w:szCs w:val="20"/>
              </w:rPr>
              <w:t>e</w:t>
            </w:r>
            <w:r>
              <w:rPr>
                <w:sz w:val="20"/>
                <w:szCs w:val="20"/>
              </w:rPr>
              <w:t xml:space="preserve">d bundling options. FUTUREWEI has a slight preference for </w:t>
            </w:r>
            <w:r w:rsidR="00CC21EC">
              <w:rPr>
                <w:sz w:val="20"/>
                <w:szCs w:val="20"/>
              </w:rPr>
              <w:t>flexibility/simplicity</w:t>
            </w:r>
            <w:r w:rsidR="00E85D88">
              <w:rPr>
                <w:sz w:val="20"/>
                <w:szCs w:val="20"/>
              </w:rPr>
              <w:t xml:space="preserve">, but may be open to update our view after hearing </w:t>
            </w:r>
            <w:r w:rsidR="00533BA0">
              <w:rPr>
                <w:sz w:val="20"/>
                <w:szCs w:val="20"/>
              </w:rPr>
              <w:t>other</w:t>
            </w:r>
            <w:r w:rsidR="00E85D88">
              <w:rPr>
                <w:sz w:val="20"/>
                <w:szCs w:val="20"/>
              </w:rPr>
              <w:t xml:space="preserve"> views.</w:t>
            </w:r>
          </w:p>
          <w:p w14:paraId="5768E20F" w14:textId="77777777" w:rsidR="00CC21EC" w:rsidRDefault="00CC21EC" w:rsidP="00DF7EE7">
            <w:pPr>
              <w:pStyle w:val="BodyText"/>
              <w:rPr>
                <w:sz w:val="20"/>
                <w:szCs w:val="20"/>
              </w:rPr>
            </w:pPr>
          </w:p>
          <w:p w14:paraId="72C000AE" w14:textId="7F7472DE" w:rsidR="00DF7EE7" w:rsidRPr="00330BD6" w:rsidRDefault="00DF7EE7" w:rsidP="00DF7EE7">
            <w:pPr>
              <w:pStyle w:val="BodyText"/>
              <w:rPr>
                <w:sz w:val="20"/>
                <w:szCs w:val="20"/>
              </w:rPr>
            </w:pPr>
          </w:p>
        </w:tc>
      </w:tr>
      <w:tr w:rsidR="00C875E7" w14:paraId="0DEA54DE" w14:textId="77777777" w:rsidTr="00832506">
        <w:tc>
          <w:tcPr>
            <w:tcW w:w="2263" w:type="dxa"/>
          </w:tcPr>
          <w:p w14:paraId="1A3D4529" w14:textId="77777777" w:rsidR="00C875E7" w:rsidRPr="00330BD6" w:rsidRDefault="00C875E7" w:rsidP="00832506">
            <w:pPr>
              <w:pStyle w:val="BodyText"/>
              <w:rPr>
                <w:sz w:val="20"/>
                <w:szCs w:val="20"/>
              </w:rPr>
            </w:pPr>
          </w:p>
        </w:tc>
        <w:tc>
          <w:tcPr>
            <w:tcW w:w="7366" w:type="dxa"/>
          </w:tcPr>
          <w:p w14:paraId="3B92E866" w14:textId="77777777" w:rsidR="00C875E7" w:rsidRPr="00330BD6" w:rsidRDefault="00C875E7" w:rsidP="00832506">
            <w:pPr>
              <w:pStyle w:val="BodyText"/>
              <w:rPr>
                <w:sz w:val="20"/>
                <w:szCs w:val="20"/>
              </w:rPr>
            </w:pPr>
          </w:p>
        </w:tc>
      </w:tr>
      <w:tr w:rsidR="00C875E7" w14:paraId="4C5F1E89" w14:textId="77777777" w:rsidTr="00832506">
        <w:tc>
          <w:tcPr>
            <w:tcW w:w="2263" w:type="dxa"/>
          </w:tcPr>
          <w:p w14:paraId="71C68AE2" w14:textId="77777777" w:rsidR="00C875E7" w:rsidRPr="00330BD6" w:rsidRDefault="00C875E7" w:rsidP="00832506">
            <w:pPr>
              <w:pStyle w:val="BodyText"/>
              <w:rPr>
                <w:sz w:val="20"/>
                <w:szCs w:val="20"/>
              </w:rPr>
            </w:pPr>
          </w:p>
        </w:tc>
        <w:tc>
          <w:tcPr>
            <w:tcW w:w="7366" w:type="dxa"/>
          </w:tcPr>
          <w:p w14:paraId="68CAEFD1" w14:textId="77777777" w:rsidR="00C875E7" w:rsidRPr="00330BD6" w:rsidRDefault="00C875E7" w:rsidP="00832506">
            <w:pPr>
              <w:pStyle w:val="BodyText"/>
              <w:rPr>
                <w:sz w:val="20"/>
                <w:szCs w:val="20"/>
              </w:rPr>
            </w:pPr>
          </w:p>
        </w:tc>
      </w:tr>
      <w:tr w:rsidR="00C875E7" w14:paraId="2D022B7A" w14:textId="77777777" w:rsidTr="00832506">
        <w:tc>
          <w:tcPr>
            <w:tcW w:w="2263" w:type="dxa"/>
          </w:tcPr>
          <w:p w14:paraId="7823400A" w14:textId="77777777" w:rsidR="00C875E7" w:rsidRPr="00330BD6" w:rsidRDefault="00C875E7" w:rsidP="00832506">
            <w:pPr>
              <w:pStyle w:val="BodyText"/>
              <w:rPr>
                <w:sz w:val="20"/>
                <w:szCs w:val="20"/>
              </w:rPr>
            </w:pPr>
          </w:p>
        </w:tc>
        <w:tc>
          <w:tcPr>
            <w:tcW w:w="7366" w:type="dxa"/>
          </w:tcPr>
          <w:p w14:paraId="7B5CAA67" w14:textId="77777777" w:rsidR="00C875E7" w:rsidRPr="00330BD6" w:rsidRDefault="00C875E7" w:rsidP="00832506">
            <w:pPr>
              <w:pStyle w:val="BodyText"/>
              <w:rPr>
                <w:sz w:val="20"/>
                <w:szCs w:val="20"/>
              </w:rPr>
            </w:pPr>
          </w:p>
        </w:tc>
      </w:tr>
      <w:tr w:rsidR="00C875E7" w14:paraId="27DE24F9" w14:textId="77777777" w:rsidTr="00832506">
        <w:tc>
          <w:tcPr>
            <w:tcW w:w="2263" w:type="dxa"/>
          </w:tcPr>
          <w:p w14:paraId="474ABD1D" w14:textId="77777777" w:rsidR="00C875E7" w:rsidRPr="00330BD6" w:rsidRDefault="00C875E7" w:rsidP="00832506">
            <w:pPr>
              <w:pStyle w:val="BodyText"/>
              <w:rPr>
                <w:sz w:val="20"/>
                <w:szCs w:val="20"/>
              </w:rPr>
            </w:pPr>
          </w:p>
        </w:tc>
        <w:tc>
          <w:tcPr>
            <w:tcW w:w="7366" w:type="dxa"/>
          </w:tcPr>
          <w:p w14:paraId="1945DA8D" w14:textId="77777777" w:rsidR="00C875E7" w:rsidRPr="00330BD6" w:rsidRDefault="00C875E7" w:rsidP="00832506">
            <w:pPr>
              <w:pStyle w:val="BodyText"/>
              <w:rPr>
                <w:sz w:val="20"/>
                <w:szCs w:val="20"/>
              </w:rPr>
            </w:pPr>
          </w:p>
        </w:tc>
      </w:tr>
      <w:tr w:rsidR="00C875E7" w14:paraId="30B6C704" w14:textId="77777777" w:rsidTr="00832506">
        <w:tc>
          <w:tcPr>
            <w:tcW w:w="2263" w:type="dxa"/>
          </w:tcPr>
          <w:p w14:paraId="103D1E74" w14:textId="77777777" w:rsidR="00C875E7" w:rsidRPr="00330BD6" w:rsidRDefault="00C875E7" w:rsidP="00832506">
            <w:pPr>
              <w:pStyle w:val="BodyText"/>
              <w:rPr>
                <w:sz w:val="20"/>
                <w:szCs w:val="20"/>
              </w:rPr>
            </w:pPr>
          </w:p>
        </w:tc>
        <w:tc>
          <w:tcPr>
            <w:tcW w:w="7366" w:type="dxa"/>
          </w:tcPr>
          <w:p w14:paraId="13C6123F" w14:textId="77777777" w:rsidR="00C875E7" w:rsidRPr="00330BD6" w:rsidRDefault="00C875E7" w:rsidP="00832506">
            <w:pPr>
              <w:pStyle w:val="BodyText"/>
              <w:rPr>
                <w:sz w:val="20"/>
                <w:szCs w:val="20"/>
              </w:rPr>
            </w:pPr>
          </w:p>
        </w:tc>
      </w:tr>
    </w:tbl>
    <w:p w14:paraId="6EFDACE8" w14:textId="77777777" w:rsidR="00C875E7" w:rsidRPr="008919BC" w:rsidRDefault="00C875E7" w:rsidP="00C875E7">
      <w:pPr>
        <w:pStyle w:val="Proposal"/>
        <w:numPr>
          <w:ilvl w:val="0"/>
          <w:numId w:val="0"/>
        </w:numPr>
        <w:ind w:left="1304" w:hanging="1304"/>
        <w:rPr>
          <w:highlight w:val="yellow"/>
        </w:rPr>
      </w:pPr>
    </w:p>
    <w:p w14:paraId="518C2C6B" w14:textId="77777777" w:rsidR="00F507D1" w:rsidRPr="00CE0424" w:rsidRDefault="00F507D1" w:rsidP="00CE0424">
      <w:pPr>
        <w:pStyle w:val="Heading1"/>
      </w:pPr>
      <w:bookmarkStart w:id="4" w:name="_In-sequence_SDU_delivery"/>
      <w:bookmarkEnd w:id="3"/>
      <w:bookmarkEnd w:id="4"/>
      <w:r w:rsidRPr="00CE0424">
        <w:t>References</w:t>
      </w:r>
    </w:p>
    <w:bookmarkStart w:id="5" w:name="_Ref189809556"/>
    <w:bookmarkStart w:id="6" w:name="_Ref174151459"/>
    <w:bookmarkStart w:id="7" w:name="_Ref522090563"/>
    <w:p w14:paraId="03B2D77B" w14:textId="41087E90" w:rsidR="00030C9B" w:rsidRPr="00827F53" w:rsidRDefault="00030C9B" w:rsidP="00030C9B">
      <w:pPr>
        <w:pStyle w:val="Reference"/>
        <w:numPr>
          <w:ilvl w:val="0"/>
          <w:numId w:val="26"/>
        </w:numPr>
        <w:textAlignment w:val="auto"/>
        <w:rPr>
          <w:rFonts w:cs="Arial"/>
          <w:lang w:val="en-US"/>
        </w:rPr>
      </w:pPr>
      <w:r w:rsidRPr="00827F53">
        <w:rPr>
          <w:rFonts w:cs="Arial"/>
          <w:lang w:val="sv-SE"/>
        </w:rPr>
        <w:fldChar w:fldCharType="begin"/>
      </w:r>
      <w:r>
        <w:rPr>
          <w:rFonts w:cs="Arial"/>
          <w:lang w:val="sv-SE"/>
        </w:rPr>
        <w:instrText>HYPERLINK "https://www.3gpp.org/ftp/tsg_ran/TSG_RAN/TSGR_86/Docs/RP-192875.zip"</w:instrText>
      </w:r>
      <w:r w:rsidRPr="00827F53">
        <w:rPr>
          <w:rFonts w:cs="Arial"/>
          <w:lang w:val="sv-SE"/>
        </w:rPr>
        <w:fldChar w:fldCharType="separate"/>
      </w:r>
      <w:r>
        <w:rPr>
          <w:rStyle w:val="Hyperlink"/>
          <w:rFonts w:cs="Arial"/>
          <w:lang w:val="en-US"/>
        </w:rPr>
        <w:t>RP-192875</w:t>
      </w:r>
      <w:r w:rsidRPr="00827F53">
        <w:rPr>
          <w:rFonts w:cs="Arial"/>
          <w:lang w:val="en-US"/>
        </w:rPr>
        <w:fldChar w:fldCharType="end"/>
      </w:r>
      <w:r w:rsidRPr="00827F53">
        <w:rPr>
          <w:rFonts w:cs="Arial"/>
          <w:lang w:val="en-US"/>
        </w:rPr>
        <w:t>, “Revised WID: Additional MTC enhancements for LTE”</w:t>
      </w:r>
      <w:bookmarkEnd w:id="5"/>
      <w:bookmarkEnd w:id="6"/>
    </w:p>
    <w:bookmarkStart w:id="8" w:name="_Ref32837626"/>
    <w:bookmarkEnd w:id="7"/>
    <w:p w14:paraId="7F0135F7" w14:textId="332FB5B5" w:rsidR="00030C9B" w:rsidRPr="00BE6B0A" w:rsidRDefault="00030C9B" w:rsidP="00030C9B">
      <w:pPr>
        <w:pStyle w:val="Reference"/>
        <w:numPr>
          <w:ilvl w:val="0"/>
          <w:numId w:val="26"/>
        </w:numPr>
        <w:textAlignment w:val="auto"/>
        <w:rPr>
          <w:rFonts w:cs="Arial"/>
          <w:lang w:val="en-US"/>
        </w:rPr>
      </w:pPr>
      <w:r w:rsidRPr="00BE6B0A">
        <w:rPr>
          <w:rFonts w:cs="Arial"/>
        </w:rPr>
        <w:fldChar w:fldCharType="begin"/>
      </w:r>
      <w:r w:rsidRPr="00BE6B0A">
        <w:rPr>
          <w:rFonts w:cs="Arial"/>
        </w:rPr>
        <w:instrText xml:space="preserve"> HYPERLINK "https://www.3gpp.org/ftp/tsg_ran/WG1_RL1/TSGR1_99/Docs/R1-1913594.zip" </w:instrText>
      </w:r>
      <w:r w:rsidRPr="00BE6B0A">
        <w:rPr>
          <w:rFonts w:cs="Arial"/>
        </w:rPr>
        <w:fldChar w:fldCharType="separate"/>
      </w:r>
      <w:r w:rsidRPr="00BE6B0A">
        <w:rPr>
          <w:rStyle w:val="Hyperlink"/>
          <w:rFonts w:cs="Arial"/>
        </w:rPr>
        <w:t>R1-1913594</w:t>
      </w:r>
      <w:r w:rsidRPr="00BE6B0A">
        <w:rPr>
          <w:rFonts w:cs="Arial"/>
          <w:lang w:val="en-US"/>
        </w:rPr>
        <w:fldChar w:fldCharType="end"/>
      </w:r>
      <w:r w:rsidRPr="00BE6B0A">
        <w:rPr>
          <w:rFonts w:cs="Arial"/>
          <w:lang w:val="en-US"/>
        </w:rPr>
        <w:t>, “RAN1 agreements for Rel-16 Additional MTC Enhancements for LTE”</w:t>
      </w:r>
      <w:bookmarkEnd w:id="8"/>
    </w:p>
    <w:bookmarkStart w:id="9" w:name="_Ref32837633"/>
    <w:p w14:paraId="6C80377A" w14:textId="1D6CF042" w:rsidR="00030C9B" w:rsidRPr="00BE6B0A"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7F78DB">
        <w:rPr>
          <w:rFonts w:cs="Arial"/>
        </w:rPr>
        <w:instrText>HYPERLINK "https://www.3gpp.org/ftp/tsg_ran/WG2_RL2/TSGR2_109_e/Docs/R2-2001886.zip"</w:instrText>
      </w:r>
      <w:r w:rsidRPr="00BE6B0A">
        <w:rPr>
          <w:rFonts w:cs="Arial"/>
        </w:rPr>
        <w:fldChar w:fldCharType="separate"/>
      </w:r>
      <w:r w:rsidR="007F78DB">
        <w:rPr>
          <w:rStyle w:val="Hyperlink"/>
          <w:rFonts w:cs="Arial"/>
        </w:rPr>
        <w:t>R2-2001886</w:t>
      </w:r>
      <w:r w:rsidRPr="00BE6B0A">
        <w:rPr>
          <w:rFonts w:cs="Arial"/>
          <w:lang w:val="en-US"/>
        </w:rPr>
        <w:fldChar w:fldCharType="end"/>
      </w:r>
      <w:r w:rsidRPr="00BE6B0A">
        <w:rPr>
          <w:rFonts w:cs="Arial"/>
          <w:lang w:val="en-US"/>
        </w:rPr>
        <w:t>, “RAN2 agreements for Rel-16 additional enhancements for NB-IoT and MTC”</w:t>
      </w:r>
      <w:bookmarkEnd w:id="9"/>
    </w:p>
    <w:bookmarkStart w:id="10" w:name="_Ref32837643"/>
    <w:p w14:paraId="0DDD2FBF" w14:textId="509E3C71"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sidR="00DF0015">
        <w:rPr>
          <w:rFonts w:cs="Arial"/>
        </w:rPr>
        <w:instrText>HYPERLINK "https://www.3gpp.org/ftp/tsg_ran/WG1_RL1/TSGR1_100_e/Docs/R1-2001477.zip"</w:instrText>
      </w:r>
      <w:r w:rsidRPr="00BE6B0A">
        <w:rPr>
          <w:rFonts w:cs="Arial"/>
        </w:rPr>
        <w:fldChar w:fldCharType="separate"/>
      </w:r>
      <w:r w:rsidR="00DF0015">
        <w:rPr>
          <w:rStyle w:val="Hyperlink"/>
          <w:rFonts w:cs="Arial"/>
        </w:rPr>
        <w:t>R1-2001477</w:t>
      </w:r>
      <w:r w:rsidRPr="00BE6B0A">
        <w:rPr>
          <w:rFonts w:cs="Arial"/>
          <w:lang w:val="en-US"/>
        </w:rPr>
        <w:fldChar w:fldCharType="end"/>
      </w:r>
      <w:r w:rsidRPr="00BE6B0A">
        <w:rPr>
          <w:rFonts w:cs="Arial"/>
          <w:lang w:val="en-US"/>
        </w:rPr>
        <w:t>, “</w:t>
      </w:r>
      <w:r w:rsidRPr="00703CAD">
        <w:rPr>
          <w:rFonts w:cs="Arial"/>
          <w:lang w:val="en-US"/>
        </w:rPr>
        <w:t>Updated consolidated parameter list for Rel-16 LTE</w:t>
      </w:r>
      <w:r w:rsidRPr="00BE6B0A">
        <w:rPr>
          <w:rFonts w:cs="Arial"/>
          <w:lang w:val="en-US"/>
        </w:rPr>
        <w:t>”</w:t>
      </w:r>
      <w:bookmarkEnd w:id="10"/>
    </w:p>
    <w:bookmarkStart w:id="11" w:name="_Ref37784479"/>
    <w:p w14:paraId="7092FDC6" w14:textId="010FBAD4" w:rsidR="00AD1BED" w:rsidRDefault="00AD1BED" w:rsidP="00030C9B">
      <w:pPr>
        <w:pStyle w:val="Reference"/>
        <w:numPr>
          <w:ilvl w:val="0"/>
          <w:numId w:val="26"/>
        </w:numPr>
        <w:overflowPunct/>
        <w:autoSpaceDE/>
        <w:autoSpaceDN/>
        <w:adjustRightInd/>
        <w:spacing w:after="160" w:line="259" w:lineRule="auto"/>
        <w:jc w:val="left"/>
        <w:textAlignment w:val="auto"/>
        <w:rPr>
          <w:rFonts w:cs="Arial"/>
          <w:lang w:val="en-US"/>
        </w:rPr>
      </w:pPr>
      <w:r w:rsidRPr="00BE6B0A">
        <w:rPr>
          <w:rFonts w:cs="Arial"/>
        </w:rPr>
        <w:fldChar w:fldCharType="begin"/>
      </w:r>
      <w:r>
        <w:rPr>
          <w:rFonts w:cs="Arial"/>
        </w:rPr>
        <w:instrText>HYPERLINK "https://www.3gpp.org/ftp/tsg_ran/WG1_RL1/TSGR1_100_e/Docs/R1-2001485.zip"</w:instrText>
      </w:r>
      <w:r w:rsidRPr="00BE6B0A">
        <w:rPr>
          <w:rFonts w:cs="Arial"/>
        </w:rPr>
        <w:fldChar w:fldCharType="separate"/>
      </w:r>
      <w:r>
        <w:rPr>
          <w:rStyle w:val="Hyperlink"/>
          <w:rFonts w:cs="Arial"/>
        </w:rPr>
        <w:t>R1-2001485</w:t>
      </w:r>
      <w:r w:rsidRPr="00BE6B0A">
        <w:rPr>
          <w:rFonts w:cs="Arial"/>
          <w:lang w:val="en-US"/>
        </w:rPr>
        <w:fldChar w:fldCharType="end"/>
      </w:r>
      <w:r w:rsidRPr="00BE6B0A">
        <w:rPr>
          <w:rFonts w:cs="Arial"/>
          <w:lang w:val="en-US"/>
        </w:rPr>
        <w:t xml:space="preserve">, </w:t>
      </w:r>
      <w:r>
        <w:rPr>
          <w:rFonts w:cs="Arial"/>
          <w:lang w:val="en-US"/>
        </w:rPr>
        <w:t>“</w:t>
      </w:r>
      <w:r w:rsidRPr="00AD1BED">
        <w:rPr>
          <w:rFonts w:cs="Arial"/>
          <w:lang w:val="en-US"/>
        </w:rPr>
        <w:t>RAN1 UE features list for Rel-16 LTE after RAN1#100-E</w:t>
      </w:r>
      <w:r>
        <w:rPr>
          <w:rFonts w:cs="Arial"/>
          <w:lang w:val="en-US"/>
        </w:rPr>
        <w:t>”</w:t>
      </w:r>
      <w:bookmarkEnd w:id="11"/>
    </w:p>
    <w:bookmarkStart w:id="12" w:name="_Ref32837650"/>
    <w:p w14:paraId="797D5F91" w14:textId="3619AB42" w:rsidR="00030C9B" w:rsidRPr="00FC14A2"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"http://www.3gpp.org/ftp/TSG_RAN/WG1_RL1/TSGR1_99/Docs/R1-1913610.zip" </w:instrText>
      </w:r>
      <w:r>
        <w:rPr>
          <w:rFonts w:cs="Arial"/>
          <w:u w:val="single"/>
        </w:rPr>
        <w:fldChar w:fldCharType="separate"/>
      </w:r>
      <w:r>
        <w:rPr>
          <w:rStyle w:val="Hyperlink"/>
          <w:rFonts w:cs="Arial"/>
          <w:lang w:val="en-US"/>
        </w:rPr>
        <w:t>R1-1913610</w:t>
      </w:r>
      <w:r>
        <w:rPr>
          <w:rFonts w:cs="Arial"/>
          <w:u w:val="single"/>
        </w:rPr>
        <w:fldChar w:fldCharType="end"/>
      </w:r>
      <w:r w:rsidRPr="00FC14A2">
        <w:rPr>
          <w:rFonts w:cs="Arial"/>
          <w:lang w:val="en-US"/>
        </w:rPr>
        <w:t xml:space="preserve">, </w:t>
      </w:r>
      <w:r w:rsidR="00D26CDD">
        <w:rPr>
          <w:rFonts w:cs="Arial"/>
          <w:lang w:val="en-US"/>
        </w:rPr>
        <w:t>Addition of feature</w:t>
      </w:r>
      <w:r w:rsidRPr="00FC14A2">
        <w:rPr>
          <w:rFonts w:cs="Arial"/>
          <w:lang w:val="en-US"/>
        </w:rPr>
        <w:t xml:space="preserve"> for 36.21</w:t>
      </w:r>
      <w:bookmarkEnd w:id="12"/>
      <w:r w:rsidR="00D26CDD">
        <w:rPr>
          <w:rFonts w:cs="Arial"/>
          <w:lang w:val="en-US"/>
        </w:rPr>
        <w:t>1</w:t>
      </w:r>
    </w:p>
    <w:p w14:paraId="59C82BD2" w14:textId="75DB2594" w:rsidR="00030C9B" w:rsidRPr="00FC14A2" w:rsidRDefault="004B746F"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2" w:history="1">
        <w:r w:rsidR="00030C9B">
          <w:rPr>
            <w:rStyle w:val="Hyperlink"/>
            <w:rFonts w:cs="Arial"/>
            <w:lang w:val="en-US"/>
          </w:rPr>
          <w:t>R1-1913611</w:t>
        </w:r>
      </w:hyperlink>
      <w:r w:rsidR="00030C9B" w:rsidRPr="00FC14A2">
        <w:rPr>
          <w:rFonts w:cs="Arial"/>
          <w:lang w:val="en-US"/>
        </w:rPr>
        <w:t xml:space="preserve">, </w:t>
      </w:r>
      <w:r w:rsidR="00D26CDD">
        <w:rPr>
          <w:rFonts w:cs="Arial"/>
          <w:lang w:val="en-US"/>
        </w:rPr>
        <w:t>Addition of feature</w:t>
      </w:r>
      <w:r w:rsidR="00030C9B" w:rsidRPr="00FC14A2">
        <w:rPr>
          <w:rFonts w:cs="Arial"/>
          <w:lang w:val="en-US"/>
        </w:rPr>
        <w:t xml:space="preserve"> for 36.212</w:t>
      </w:r>
    </w:p>
    <w:p w14:paraId="6F45F1BA" w14:textId="733D9E37" w:rsidR="00030C9B" w:rsidRPr="00FC14A2" w:rsidRDefault="004B746F"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3" w:history="1">
        <w:r w:rsidR="00030C9B">
          <w:rPr>
            <w:rStyle w:val="Hyperlink"/>
            <w:rFonts w:cs="Arial"/>
            <w:lang w:val="en-US"/>
          </w:rPr>
          <w:t>R1-1913612</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(s00-s05)</w:t>
      </w:r>
    </w:p>
    <w:p w14:paraId="69574FA0" w14:textId="1DEBA323" w:rsidR="00030C9B" w:rsidRPr="00FC14A2" w:rsidRDefault="004B746F"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4" w:history="1">
        <w:r w:rsidR="00030C9B">
          <w:rPr>
            <w:rStyle w:val="Hyperlink"/>
            <w:rFonts w:cs="Arial"/>
            <w:lang w:val="en-US"/>
          </w:rPr>
          <w:t>R1-1913613</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(s06-s07)</w:t>
      </w:r>
    </w:p>
    <w:p w14:paraId="55968C0F" w14:textId="73DE32A1" w:rsidR="00030C9B" w:rsidRPr="00FC14A2" w:rsidRDefault="004B746F"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5" w:history="1">
        <w:r w:rsidR="00030C9B">
          <w:rPr>
            <w:rStyle w:val="Hyperlink"/>
            <w:rFonts w:cs="Arial"/>
            <w:lang w:val="en-US"/>
          </w:rPr>
          <w:t>R1-1913614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(s08-s09)</w:t>
      </w:r>
    </w:p>
    <w:p w14:paraId="0B87FA9D" w14:textId="2E493E2E" w:rsidR="00030C9B" w:rsidRPr="00FC14A2" w:rsidRDefault="004B746F"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6" w:history="1">
        <w:r w:rsidR="00030C9B">
          <w:rPr>
            <w:rStyle w:val="Hyperlink"/>
            <w:rFonts w:cs="Arial"/>
            <w:lang w:val="en-US"/>
          </w:rPr>
          <w:t>R1-1913684</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(s10-s13)</w:t>
      </w:r>
    </w:p>
    <w:p w14:paraId="7AA6005F" w14:textId="4AE32F92" w:rsidR="00030C9B" w:rsidRPr="00FC14A2" w:rsidRDefault="004B746F"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7" w:history="1">
        <w:r w:rsidR="00030C9B">
          <w:rPr>
            <w:rStyle w:val="Hyperlink"/>
            <w:rFonts w:cs="Arial"/>
            <w:lang w:val="en-US"/>
          </w:rPr>
          <w:t>R1-1913615</w:t>
        </w:r>
      </w:hyperlink>
      <w:r w:rsidR="00030C9B"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00030C9B" w:rsidRPr="00FC14A2">
        <w:rPr>
          <w:rFonts w:cs="Arial"/>
          <w:lang w:val="en-US"/>
        </w:rPr>
        <w:t>for 36.213 (s14-sxx)</w:t>
      </w:r>
    </w:p>
    <w:bookmarkStart w:id="13" w:name="_Ref32837657"/>
    <w:p w14:paraId="4D692436" w14:textId="08A4CB1C" w:rsidR="00030C9B" w:rsidRDefault="00030C9B" w:rsidP="00030C9B">
      <w:pPr>
        <w:pStyle w:val="Reference"/>
        <w:numPr>
          <w:ilvl w:val="0"/>
          <w:numId w:val="26"/>
        </w:numPr>
        <w:overflowPunct/>
        <w:autoSpaceDE/>
        <w:autoSpaceDN/>
        <w:adjustRightInd/>
        <w:spacing w:after="160" w:line="259" w:lineRule="auto"/>
        <w:jc w:val="left"/>
        <w:textAlignment w:val="auto"/>
        <w:rPr>
          <w:rFonts w:cs="Arial"/>
          <w:lang w:val="en-US"/>
        </w:rPr>
      </w:pPr>
      <w:r>
        <w:rPr>
          <w:rFonts w:cs="Arial"/>
          <w:u w:val="single"/>
        </w:rPr>
        <w:fldChar w:fldCharType="begin"/>
      </w:r>
      <w:r>
        <w:rPr>
          <w:rFonts w:cs="Arial"/>
          <w:u w:val="single"/>
        </w:rPr>
        <w:instrText xml:space="preserve"> HYPERLINK "http://www.3gpp.org/ftp/TSG_RAN/WG1_RL1/TSGR1_99/Docs/R1-1913683.zip" </w:instrText>
      </w:r>
      <w:r>
        <w:rPr>
          <w:rFonts w:cs="Arial"/>
          <w:u w:val="single"/>
        </w:rPr>
        <w:fldChar w:fldCharType="separate"/>
      </w:r>
      <w:r>
        <w:rPr>
          <w:rStyle w:val="Hyperlink"/>
          <w:rFonts w:cs="Arial"/>
          <w:lang w:val="en-US"/>
        </w:rPr>
        <w:t>R1-1913683</w:t>
      </w:r>
      <w:r>
        <w:rPr>
          <w:rFonts w:cs="Arial"/>
          <w:u w:val="single"/>
        </w:rPr>
        <w:fldChar w:fldCharType="end"/>
      </w:r>
      <w:r w:rsidRPr="00FC14A2">
        <w:rPr>
          <w:rFonts w:cs="Arial"/>
          <w:lang w:val="en-US"/>
        </w:rPr>
        <w:t xml:space="preserve">, </w:t>
      </w:r>
      <w:r w:rsidR="00D26CDD">
        <w:rPr>
          <w:rFonts w:cs="Arial"/>
          <w:lang w:val="en-US"/>
        </w:rPr>
        <w:t>Addition of feature</w:t>
      </w:r>
      <w:r w:rsidR="00D26CDD" w:rsidRPr="00FC14A2">
        <w:rPr>
          <w:rFonts w:cs="Arial"/>
          <w:lang w:val="en-US"/>
        </w:rPr>
        <w:t xml:space="preserve"> </w:t>
      </w:r>
      <w:r w:rsidRPr="00FC14A2">
        <w:rPr>
          <w:rFonts w:cs="Arial"/>
          <w:lang w:val="en-US"/>
        </w:rPr>
        <w:t>for 36.214</w:t>
      </w:r>
      <w:bookmarkEnd w:id="13"/>
    </w:p>
    <w:p w14:paraId="4D25DC1A" w14:textId="3510A732" w:rsidR="00D26CDD" w:rsidRDefault="004B746F" w:rsidP="00030C9B">
      <w:pPr>
        <w:pStyle w:val="Reference"/>
        <w:numPr>
          <w:ilvl w:val="0"/>
          <w:numId w:val="26"/>
        </w:numPr>
        <w:overflowPunct/>
        <w:autoSpaceDE/>
        <w:autoSpaceDN/>
        <w:adjustRightInd/>
        <w:spacing w:after="160" w:line="259" w:lineRule="auto"/>
        <w:jc w:val="left"/>
        <w:textAlignment w:val="auto"/>
        <w:rPr>
          <w:rFonts w:cs="Arial"/>
          <w:lang w:val="en-US"/>
        </w:rPr>
      </w:pPr>
      <w:hyperlink r:id="rId28" w:history="1">
        <w:r w:rsidR="00D26CDD" w:rsidRPr="00D26CDD">
          <w:rPr>
            <w:rStyle w:val="Hyperlink"/>
            <w:rFonts w:cs="Arial"/>
            <w:lang w:val="en-US"/>
          </w:rPr>
          <w:t>R1-2001427</w:t>
        </w:r>
      </w:hyperlink>
      <w:r w:rsidR="00D26CDD">
        <w:rPr>
          <w:rFonts w:cs="Arial"/>
          <w:lang w:val="en-US"/>
        </w:rPr>
        <w:t>, Corrections for 36.211</w:t>
      </w:r>
    </w:p>
    <w:p w14:paraId="019DEB53" w14:textId="5AEB0194" w:rsidR="00D26CDD" w:rsidRDefault="004B746F" w:rsidP="00D26CDD">
      <w:pPr>
        <w:pStyle w:val="Reference"/>
        <w:numPr>
          <w:ilvl w:val="0"/>
          <w:numId w:val="26"/>
        </w:numPr>
        <w:overflowPunct/>
        <w:autoSpaceDE/>
        <w:autoSpaceDN/>
        <w:adjustRightInd/>
        <w:spacing w:after="160" w:line="259" w:lineRule="auto"/>
        <w:jc w:val="left"/>
        <w:textAlignment w:val="auto"/>
        <w:rPr>
          <w:rFonts w:cs="Arial"/>
          <w:lang w:val="en-US"/>
        </w:rPr>
      </w:pPr>
      <w:hyperlink r:id="rId29" w:history="1">
        <w:r w:rsidR="00D26CDD" w:rsidRPr="00D26CDD">
          <w:rPr>
            <w:rStyle w:val="Hyperlink"/>
            <w:rFonts w:cs="Arial"/>
            <w:lang w:val="en-US"/>
          </w:rPr>
          <w:t>R1-2001431</w:t>
        </w:r>
      </w:hyperlink>
      <w:r w:rsidR="00D26CDD">
        <w:rPr>
          <w:rFonts w:cs="Arial"/>
          <w:lang w:val="en-US"/>
        </w:rPr>
        <w:t>, Corrections for 36.212</w:t>
      </w:r>
    </w:p>
    <w:bookmarkStart w:id="14" w:name="_Ref37691818"/>
    <w:p w14:paraId="22597AFD" w14:textId="0BF86ED6" w:rsidR="00D26CDD" w:rsidRDefault="00D26CDD" w:rsidP="00D26CDD">
      <w:pPr>
        <w:pStyle w:val="Reference"/>
        <w:numPr>
          <w:ilvl w:val="0"/>
          <w:numId w:val="26"/>
        </w:numPr>
        <w:overflowPunct/>
        <w:autoSpaceDE/>
        <w:autoSpaceDN/>
        <w:adjustRightInd/>
        <w:spacing w:after="160" w:line="259" w:lineRule="auto"/>
        <w:jc w:val="left"/>
        <w:textAlignment w:val="auto"/>
        <w:rPr>
          <w:rFonts w:cs="Arial"/>
          <w:lang w:val="en-US"/>
        </w:rPr>
      </w:pPr>
      <w:r>
        <w:rPr>
          <w:rFonts w:cs="Arial"/>
          <w:lang w:val="en-US"/>
        </w:rPr>
        <w:fldChar w:fldCharType="begin"/>
      </w:r>
      <w:r>
        <w:rPr>
          <w:rFonts w:cs="Arial"/>
          <w:lang w:val="en-US"/>
        </w:rPr>
        <w:instrText xml:space="preserve"> HYPERLINK "https://www.3gpp.org/ftp/tsg_ran/WG1_RL1/TSGR1_100_e/Docs/R1-2001433.zip" </w:instrText>
      </w:r>
      <w:r>
        <w:rPr>
          <w:rFonts w:cs="Arial"/>
          <w:lang w:val="en-US"/>
        </w:rPr>
        <w:fldChar w:fldCharType="separate"/>
      </w:r>
      <w:r w:rsidRPr="00D26CDD">
        <w:rPr>
          <w:rStyle w:val="Hyperlink"/>
          <w:rFonts w:cs="Arial"/>
          <w:lang w:val="en-US"/>
        </w:rPr>
        <w:t>R1-2001433</w:t>
      </w:r>
      <w:r>
        <w:rPr>
          <w:rFonts w:cs="Arial"/>
          <w:lang w:val="en-US"/>
        </w:rPr>
        <w:fldChar w:fldCharType="end"/>
      </w:r>
      <w:r>
        <w:rPr>
          <w:rFonts w:cs="Arial"/>
          <w:lang w:val="en-US"/>
        </w:rPr>
        <w:t>, Corrections for 36.213</w:t>
      </w:r>
      <w:bookmarkEnd w:id="14"/>
    </w:p>
    <w:bookmarkStart w:id="15" w:name="_Ref37793306"/>
    <w:p w14:paraId="0FECE8B7" w14:textId="01937D39" w:rsidR="00CF76AF" w:rsidRPr="00DD75B4" w:rsidRDefault="00BC115E"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"http://www.3gpp.org/ftp/TSG_RAN/WG1_RL1/TSGR1_100b_e/Docs/R1-2001568.zip" </w:instrText>
      </w:r>
      <w:r>
        <w:fldChar w:fldCharType="separate"/>
      </w:r>
      <w:r w:rsidR="00DD75B4" w:rsidRPr="00DD75B4">
        <w:rPr>
          <w:rStyle w:val="Hyperlink"/>
          <w:rFonts w:cs="Arial"/>
        </w:rPr>
        <w:t>R1-2001568</w:t>
      </w:r>
      <w:r>
        <w:rPr>
          <w:rStyle w:val="Hyperlink"/>
          <w:rFonts w:cs="Arial"/>
        </w:rPr>
        <w:fldChar w:fldCharType="end"/>
      </w:r>
      <w:r w:rsidR="00CF76AF" w:rsidRPr="00DD75B4">
        <w:rPr>
          <w:rFonts w:cs="Arial"/>
          <w:lang w:val="en-US"/>
        </w:rPr>
        <w:t xml:space="preserve">, </w:t>
      </w:r>
      <w:r w:rsidR="00C64907" w:rsidRPr="00DD75B4">
        <w:rPr>
          <w:rFonts w:cs="Arial"/>
          <w:lang w:val="en-US"/>
        </w:rPr>
        <w:t>“</w:t>
      </w:r>
      <w:r w:rsidR="00CF76AF" w:rsidRPr="00DD75B4">
        <w:rPr>
          <w:rFonts w:cs="Arial"/>
          <w:lang w:val="en-US"/>
        </w:rPr>
        <w:t>Corrections on scheduling of multiple transport blocks</w:t>
      </w:r>
      <w:r w:rsidR="00C64907" w:rsidRPr="00DD75B4">
        <w:rPr>
          <w:rFonts w:cs="Arial"/>
          <w:lang w:val="en-US"/>
        </w:rPr>
        <w:t xml:space="preserve">”, </w:t>
      </w:r>
      <w:r w:rsidR="00CF76AF" w:rsidRPr="00DD75B4">
        <w:rPr>
          <w:rFonts w:cs="Arial"/>
          <w:lang w:val="en-US"/>
        </w:rPr>
        <w:t xml:space="preserve">Huawei, </w:t>
      </w:r>
      <w:proofErr w:type="spellStart"/>
      <w:r w:rsidR="00CF76AF" w:rsidRPr="00DD75B4">
        <w:rPr>
          <w:rFonts w:cs="Arial"/>
          <w:lang w:val="en-US"/>
        </w:rPr>
        <w:t>HiSilicon</w:t>
      </w:r>
      <w:bookmarkEnd w:id="15"/>
      <w:proofErr w:type="spellEnd"/>
    </w:p>
    <w:bookmarkStart w:id="16" w:name="_Ref37807558"/>
    <w:p w14:paraId="6C6CD8E7" w14:textId="4FCF2C92"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"http://www.3gpp.org/ftp/TSG_RAN/WG1_RL1/TSGR1_100b_e/Docs/R1-2001852.zip" </w:instrText>
      </w:r>
      <w:r>
        <w:fldChar w:fldCharType="separate"/>
      </w:r>
      <w:r w:rsidR="00DD75B4" w:rsidRPr="00DD75B4">
        <w:rPr>
          <w:rStyle w:val="Hyperlink"/>
          <w:rFonts w:cs="Arial"/>
        </w:rPr>
        <w:t>R1-2001852</w:t>
      </w:r>
      <w:r>
        <w:rPr>
          <w:rStyle w:val="Hyperlink"/>
          <w:rFonts w:cs="Arial"/>
        </w:rPr>
        <w:fldChar w:fldCharType="end"/>
      </w:r>
      <w:r w:rsidR="00C64907" w:rsidRPr="00DD75B4">
        <w:rPr>
          <w:rFonts w:cs="Arial"/>
          <w:lang w:val="en-US"/>
        </w:rPr>
        <w:t>, “</w:t>
      </w:r>
      <w:r w:rsidR="00CF76AF" w:rsidRPr="00DD75B4">
        <w:rPr>
          <w:rFonts w:cs="Arial"/>
          <w:lang w:val="en-US"/>
        </w:rPr>
        <w:t>Remaining issues on scheduling enhancement for MTC</w:t>
      </w:r>
      <w:r w:rsidR="00C64907" w:rsidRPr="00DD75B4">
        <w:rPr>
          <w:rFonts w:cs="Arial"/>
          <w:lang w:val="en-US"/>
        </w:rPr>
        <w:t xml:space="preserve">”, </w:t>
      </w:r>
      <w:r w:rsidR="00CF76AF" w:rsidRPr="00DD75B4">
        <w:rPr>
          <w:rFonts w:cs="Arial"/>
          <w:lang w:val="en-US"/>
        </w:rPr>
        <w:t>ZTE</w:t>
      </w:r>
      <w:bookmarkEnd w:id="16"/>
    </w:p>
    <w:bookmarkStart w:id="17" w:name="_Ref37808470"/>
    <w:p w14:paraId="2F4431AA" w14:textId="14560CAE"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"http://www.3gpp.org/ftp/TSG_RAN/WG1_RL1/TSGR1_100b_e/Docs/R1-2001928.zip" </w:instrText>
      </w:r>
      <w:r>
        <w:fldChar w:fldCharType="separate"/>
      </w:r>
      <w:r w:rsidR="00DD75B4" w:rsidRPr="00DD75B4">
        <w:rPr>
          <w:rStyle w:val="Hyperlink"/>
          <w:rFonts w:cs="Arial"/>
        </w:rPr>
        <w:t>R1-2001928</w:t>
      </w:r>
      <w:r>
        <w:rPr>
          <w:rStyle w:val="Hyperlink"/>
          <w:rFonts w:cs="Arial"/>
        </w:rPr>
        <w:fldChar w:fldCharType="end"/>
      </w:r>
      <w:r w:rsidR="00C64907" w:rsidRPr="00DD75B4">
        <w:rPr>
          <w:rFonts w:cs="Arial"/>
          <w:lang w:val="en-US"/>
        </w:rPr>
        <w:t>, “</w:t>
      </w:r>
      <w:r w:rsidR="00CF76AF" w:rsidRPr="00DD75B4">
        <w:rPr>
          <w:rFonts w:cs="Arial"/>
          <w:lang w:val="en-US"/>
        </w:rPr>
        <w:t>Remaining issues on multiple transport blocks scheduling in MTC</w:t>
      </w:r>
      <w:r w:rsidR="00C64907" w:rsidRPr="00DD75B4">
        <w:rPr>
          <w:rFonts w:cs="Arial"/>
          <w:lang w:val="en-US"/>
        </w:rPr>
        <w:t xml:space="preserve">”, </w:t>
      </w:r>
      <w:r w:rsidR="00CF76AF" w:rsidRPr="00DD75B4">
        <w:rPr>
          <w:rFonts w:cs="Arial"/>
          <w:lang w:val="en-US"/>
        </w:rPr>
        <w:t>LG Electronics</w:t>
      </w:r>
      <w:bookmarkEnd w:id="17"/>
    </w:p>
    <w:bookmarkStart w:id="18" w:name="_Ref37807609"/>
    <w:p w14:paraId="2CA0792D" w14:textId="34FDEE8A"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"http://www.3gpp.org/ftp/TSG_RAN/WG1_RL1/TSGR1_100b_e/Docs/R1-2002174.zip" </w:instrText>
      </w:r>
      <w:r>
        <w:fldChar w:fldCharType="separate"/>
      </w:r>
      <w:r w:rsidR="00DD75B4" w:rsidRPr="00DD75B4">
        <w:rPr>
          <w:rStyle w:val="Hyperlink"/>
          <w:rFonts w:cs="Arial"/>
        </w:rPr>
        <w:t>R1-2002174</w:t>
      </w:r>
      <w:r>
        <w:rPr>
          <w:rStyle w:val="Hyperlink"/>
          <w:rFonts w:cs="Arial"/>
        </w:rPr>
        <w:fldChar w:fldCharType="end"/>
      </w:r>
      <w:r w:rsidR="00C64907" w:rsidRPr="00DD75B4">
        <w:rPr>
          <w:rFonts w:cs="Arial"/>
          <w:lang w:val="en-US"/>
        </w:rPr>
        <w:t>, “</w:t>
      </w:r>
      <w:r w:rsidR="00CF76AF" w:rsidRPr="00DD75B4">
        <w:rPr>
          <w:rFonts w:cs="Arial"/>
          <w:lang w:val="en-US"/>
        </w:rPr>
        <w:t>Scheduling of multiple DL/UL transport blocks</w:t>
      </w:r>
      <w:r w:rsidR="00C64907" w:rsidRPr="00DD75B4">
        <w:rPr>
          <w:rFonts w:cs="Arial"/>
          <w:lang w:val="en-US"/>
        </w:rPr>
        <w:t xml:space="preserve">”, </w:t>
      </w:r>
      <w:r w:rsidR="00CF76AF" w:rsidRPr="00DD75B4">
        <w:rPr>
          <w:rFonts w:cs="Arial"/>
          <w:lang w:val="en-US"/>
        </w:rPr>
        <w:t>Qualcomm Incorporated</w:t>
      </w:r>
      <w:bookmarkEnd w:id="18"/>
    </w:p>
    <w:bookmarkStart w:id="19" w:name="_Ref37809167"/>
    <w:p w14:paraId="23BD201F" w14:textId="15D87409" w:rsidR="00CF76AF" w:rsidRPr="00DD75B4" w:rsidRDefault="00A923C4"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"http://www.3gpp.org/ftp/TSG_RAN/WG1_RL1/TSGR1_100b_e/Docs/R1-2002504.zip" </w:instrText>
      </w:r>
      <w:r>
        <w:fldChar w:fldCharType="separate"/>
      </w:r>
      <w:r w:rsidR="00DD75B4" w:rsidRPr="00DD75B4">
        <w:rPr>
          <w:rStyle w:val="Hyperlink"/>
          <w:rFonts w:cs="Arial"/>
        </w:rPr>
        <w:t>R1-2002504</w:t>
      </w:r>
      <w:r>
        <w:rPr>
          <w:rStyle w:val="Hyperlink"/>
          <w:rFonts w:cs="Arial"/>
        </w:rPr>
        <w:fldChar w:fldCharType="end"/>
      </w:r>
      <w:r w:rsidR="00C64907" w:rsidRPr="00DD75B4">
        <w:rPr>
          <w:rFonts w:cs="Arial"/>
          <w:lang w:val="en-US"/>
        </w:rPr>
        <w:t>, “</w:t>
      </w:r>
      <w:r w:rsidR="00CF76AF" w:rsidRPr="00DD75B4">
        <w:rPr>
          <w:rFonts w:cs="Arial"/>
          <w:lang w:val="en-US"/>
        </w:rPr>
        <w:t>Corrections for Multi-TB scheduling for LTE-MTC</w:t>
      </w:r>
      <w:r w:rsidR="00C64907" w:rsidRPr="00DD75B4">
        <w:rPr>
          <w:rFonts w:cs="Arial"/>
          <w:lang w:val="en-US"/>
        </w:rPr>
        <w:t xml:space="preserve">”, </w:t>
      </w:r>
      <w:r w:rsidR="00CF76AF" w:rsidRPr="00DD75B4">
        <w:rPr>
          <w:rFonts w:cs="Arial"/>
          <w:lang w:val="en-US"/>
        </w:rPr>
        <w:t>Ericsson</w:t>
      </w:r>
      <w:bookmarkEnd w:id="19"/>
    </w:p>
    <w:bookmarkStart w:id="20" w:name="_Ref37812343"/>
    <w:p w14:paraId="5580CE72" w14:textId="1A3C28AC" w:rsidR="00CF76AF" w:rsidRPr="00DD75B4" w:rsidRDefault="006D4092"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"http://www.3gpp.org/ftp/TSG_RAN/WG1_RL1/TSGR1_100b_e/Docs/R1-2002642.zip" </w:instrText>
      </w:r>
      <w:r>
        <w:fldChar w:fldCharType="separate"/>
      </w:r>
      <w:r w:rsidR="00DD75B4" w:rsidRPr="00DD75B4">
        <w:rPr>
          <w:rStyle w:val="Hyperlink"/>
          <w:rFonts w:cs="Arial"/>
        </w:rPr>
        <w:t>R1-2002642</w:t>
      </w:r>
      <w:r>
        <w:rPr>
          <w:rStyle w:val="Hyperlink"/>
          <w:rFonts w:cs="Arial"/>
        </w:rPr>
        <w:fldChar w:fldCharType="end"/>
      </w:r>
      <w:r w:rsidR="00C64907" w:rsidRPr="00DD75B4">
        <w:rPr>
          <w:rFonts w:cs="Arial"/>
          <w:lang w:val="en-US"/>
        </w:rPr>
        <w:t>, “</w:t>
      </w:r>
      <w:r w:rsidR="00CF76AF" w:rsidRPr="00DD75B4">
        <w:rPr>
          <w:rFonts w:cs="Arial"/>
          <w:lang w:val="en-US"/>
        </w:rPr>
        <w:t>Remaining issues for scheduling of multiple TBs</w:t>
      </w:r>
      <w:r w:rsidR="00C64907" w:rsidRPr="00DD75B4">
        <w:rPr>
          <w:rFonts w:cs="Arial"/>
          <w:lang w:val="en-US"/>
        </w:rPr>
        <w:t xml:space="preserve">”, </w:t>
      </w:r>
      <w:r w:rsidR="00CF76AF" w:rsidRPr="00DD75B4">
        <w:rPr>
          <w:rFonts w:cs="Arial"/>
          <w:lang w:val="en-US"/>
        </w:rPr>
        <w:t>Nokia, Nokia Shanghai Bell</w:t>
      </w:r>
      <w:bookmarkEnd w:id="20"/>
    </w:p>
    <w:bookmarkStart w:id="21" w:name="_Ref37793317"/>
    <w:p w14:paraId="23B68C60" w14:textId="313B18E5" w:rsidR="00CF76AF" w:rsidRDefault="00BC115E"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"http://www.3gpp.org/ftp/TSG_RAN/WG1_RL1/TSGR1_100b_e/Docs/R1-2002654.zip" </w:instrText>
      </w:r>
      <w:r>
        <w:fldChar w:fldCharType="separate"/>
      </w:r>
      <w:r w:rsidR="00DD75B4" w:rsidRPr="00DD75B4">
        <w:rPr>
          <w:rStyle w:val="Hyperlink"/>
          <w:rFonts w:cs="Arial"/>
        </w:rPr>
        <w:t>R1-2002654</w:t>
      </w:r>
      <w:r>
        <w:rPr>
          <w:rStyle w:val="Hyperlink"/>
          <w:rFonts w:cs="Arial"/>
        </w:rPr>
        <w:fldChar w:fldCharType="end"/>
      </w:r>
      <w:r w:rsidR="00C64907" w:rsidRPr="00DD75B4">
        <w:rPr>
          <w:rFonts w:cs="Arial"/>
          <w:lang w:val="en-US"/>
        </w:rPr>
        <w:t>, “</w:t>
      </w:r>
      <w:r w:rsidR="00CF76AF" w:rsidRPr="00DD75B4">
        <w:rPr>
          <w:rFonts w:cs="Arial"/>
          <w:lang w:val="en-US"/>
        </w:rPr>
        <w:t>HARQ-ACK bundling for Multi-TB scheduling</w:t>
      </w:r>
      <w:r w:rsidR="00C64907" w:rsidRPr="00DD75B4">
        <w:rPr>
          <w:rFonts w:cs="Arial"/>
          <w:lang w:val="en-US"/>
        </w:rPr>
        <w:t xml:space="preserve">”, </w:t>
      </w:r>
      <w:proofErr w:type="spellStart"/>
      <w:r w:rsidR="00CF76AF" w:rsidRPr="00DD75B4">
        <w:rPr>
          <w:rFonts w:cs="Arial"/>
          <w:lang w:val="en-US"/>
        </w:rPr>
        <w:t>Futurewei</w:t>
      </w:r>
      <w:bookmarkEnd w:id="21"/>
      <w:proofErr w:type="spellEnd"/>
    </w:p>
    <w:bookmarkStart w:id="22" w:name="_Ref32852536"/>
    <w:p w14:paraId="62492019" w14:textId="23B25003" w:rsidR="00F85B47" w:rsidRPr="00BC3886" w:rsidRDefault="00F85B47" w:rsidP="00B06AD2">
      <w:pPr>
        <w:pStyle w:val="Reference"/>
        <w:numPr>
          <w:ilvl w:val="0"/>
          <w:numId w:val="26"/>
        </w:numPr>
        <w:overflowPunct/>
        <w:autoSpaceDE/>
        <w:autoSpaceDN/>
        <w:adjustRightInd/>
        <w:spacing w:after="160" w:line="259" w:lineRule="auto"/>
        <w:jc w:val="left"/>
        <w:textAlignment w:val="auto"/>
        <w:rPr>
          <w:rFonts w:cs="Arial"/>
          <w:lang w:val="en-US"/>
        </w:rPr>
      </w:pPr>
      <w:r>
        <w:fldChar w:fldCharType="begin"/>
      </w:r>
      <w:r>
        <w:instrText xml:space="preserve"> HYPERLINK "http://www.3gpp.org/ftp/TSG_RAN/WG1_RL1/TSGR1_100_e/Docs/R1-2000507.zip" </w:instrText>
      </w:r>
      <w:r>
        <w:fldChar w:fldCharType="separate"/>
      </w:r>
      <w:r w:rsidRPr="00284260">
        <w:rPr>
          <w:rStyle w:val="Hyperlink"/>
          <w:rFonts w:cs="Arial"/>
          <w:lang w:eastAsia="x-none"/>
        </w:rPr>
        <w:t>R1-2000507</w:t>
      </w:r>
      <w:r>
        <w:rPr>
          <w:rStyle w:val="Hyperlink"/>
          <w:rFonts w:cs="Arial"/>
          <w:lang w:eastAsia="x-none"/>
        </w:rPr>
        <w:fldChar w:fldCharType="end"/>
      </w:r>
      <w:r w:rsidRPr="00284260">
        <w:rPr>
          <w:rFonts w:cs="Arial"/>
          <w:lang w:eastAsia="x-none"/>
        </w:rPr>
        <w:t>, “LTE-M Multiple Transport Block Grant Design Considerations”, Sierra Wireless</w:t>
      </w:r>
      <w:bookmarkEnd w:id="22"/>
    </w:p>
    <w:p w14:paraId="0AB4597C" w14:textId="15143602" w:rsidR="00BC3886" w:rsidRPr="00DD75B4" w:rsidRDefault="004B746F" w:rsidP="00B06AD2">
      <w:pPr>
        <w:pStyle w:val="Reference"/>
        <w:numPr>
          <w:ilvl w:val="0"/>
          <w:numId w:val="26"/>
        </w:numPr>
        <w:overflowPunct/>
        <w:autoSpaceDE/>
        <w:autoSpaceDN/>
        <w:adjustRightInd/>
        <w:spacing w:after="160" w:line="259" w:lineRule="auto"/>
        <w:jc w:val="left"/>
        <w:textAlignment w:val="auto"/>
        <w:rPr>
          <w:rFonts w:cs="Arial"/>
          <w:lang w:val="en-US"/>
        </w:rPr>
      </w:pPr>
      <w:hyperlink r:id="rId30" w:history="1">
        <w:r w:rsidR="00BC3886" w:rsidRPr="00BC3886">
          <w:rPr>
            <w:rStyle w:val="Hyperlink"/>
            <w:rFonts w:cs="Arial"/>
            <w:lang w:eastAsia="x-none"/>
          </w:rPr>
          <w:t>R1-2002512</w:t>
        </w:r>
      </w:hyperlink>
      <w:r w:rsidR="00BC3886">
        <w:rPr>
          <w:rFonts w:cs="Arial"/>
          <w:lang w:eastAsia="x-none"/>
        </w:rPr>
        <w:t>, “</w:t>
      </w:r>
      <w:r w:rsidR="00BC3886" w:rsidRPr="00BC3886">
        <w:rPr>
          <w:rFonts w:cs="Arial"/>
          <w:lang w:eastAsia="x-none"/>
        </w:rPr>
        <w:t>Feature lead summary for Multi-TB scheduling for LTE-MTC</w:t>
      </w:r>
      <w:r w:rsidR="00BC3886">
        <w:rPr>
          <w:rFonts w:cs="Arial"/>
          <w:lang w:eastAsia="x-none"/>
        </w:rPr>
        <w:t>”</w:t>
      </w:r>
    </w:p>
    <w:sectPr w:rsidR="00BC3886" w:rsidRPr="00DD75B4" w:rsidSect="00C473A5">
      <w:headerReference w:type="even" r:id="rId31"/>
      <w:footerReference w:type="default" r:id="rId3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6A4C4" w14:textId="77777777" w:rsidR="004B746F" w:rsidRDefault="004B746F">
      <w:r>
        <w:separator/>
      </w:r>
    </w:p>
  </w:endnote>
  <w:endnote w:type="continuationSeparator" w:id="0">
    <w:p w14:paraId="126E64C6" w14:textId="77777777" w:rsidR="004B746F" w:rsidRDefault="004B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92461" w14:textId="77777777" w:rsidR="000F12B7" w:rsidRDefault="000F12B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D25AF" w14:textId="77777777" w:rsidR="004B746F" w:rsidRDefault="004B746F">
      <w:r>
        <w:separator/>
      </w:r>
    </w:p>
  </w:footnote>
  <w:footnote w:type="continuationSeparator" w:id="0">
    <w:p w14:paraId="3828F7D8" w14:textId="77777777" w:rsidR="004B746F" w:rsidRDefault="004B7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F37AE" w14:textId="77777777" w:rsidR="000F12B7" w:rsidRDefault="000F12B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7"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9"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5"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6"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1"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3"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27"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28"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8"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2"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3"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6"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9"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4"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5"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6"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58"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6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4"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5"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6"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67"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4"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2"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8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84"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5"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86"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8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9"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0"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98"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6"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2"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3"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6"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8"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2"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23"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4"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28"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31"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2"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4"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35"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7"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38"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0"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1"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4"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45"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6"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48"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9"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0"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52"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53"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4"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55"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0"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1"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65"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0"/>
  </w:num>
  <w:num w:numId="3">
    <w:abstractNumId w:val="71"/>
  </w:num>
  <w:num w:numId="4">
    <w:abstractNumId w:val="73"/>
  </w:num>
  <w:num w:numId="5">
    <w:abstractNumId w:val="60"/>
  </w:num>
  <w:num w:numId="6">
    <w:abstractNumId w:val="87"/>
  </w:num>
  <w:num w:numId="7">
    <w:abstractNumId w:val="114"/>
  </w:num>
  <w:num w:numId="8">
    <w:abstractNumId w:val="61"/>
  </w:num>
  <w:num w:numId="9">
    <w:abstractNumId w:val="52"/>
  </w:num>
  <w:num w:numId="10">
    <w:abstractNumId w:val="2"/>
  </w:num>
  <w:num w:numId="11">
    <w:abstractNumId w:val="1"/>
  </w:num>
  <w:num w:numId="12">
    <w:abstractNumId w:val="0"/>
  </w:num>
  <w:num w:numId="13">
    <w:abstractNumId w:val="108"/>
  </w:num>
  <w:num w:numId="14">
    <w:abstractNumId w:val="110"/>
  </w:num>
  <w:num w:numId="15">
    <w:abstractNumId w:val="81"/>
  </w:num>
  <w:num w:numId="16">
    <w:abstractNumId w:val="121"/>
  </w:num>
  <w:num w:numId="17">
    <w:abstractNumId w:val="36"/>
  </w:num>
  <w:num w:numId="18">
    <w:abstractNumId w:val="45"/>
  </w:num>
  <w:num w:numId="19">
    <w:abstractNumId w:val="12"/>
  </w:num>
  <w:num w:numId="20">
    <w:abstractNumId w:val="147"/>
  </w:num>
  <w:num w:numId="21">
    <w:abstractNumId w:val="63"/>
  </w:num>
  <w:num w:numId="22">
    <w:abstractNumId w:val="136"/>
  </w:num>
  <w:num w:numId="23">
    <w:abstractNumId w:val="33"/>
  </w:num>
  <w:num w:numId="24">
    <w:abstractNumId w:val="97"/>
  </w:num>
  <w:num w:numId="25">
    <w:abstractNumId w:val="84"/>
  </w:num>
  <w:num w:numId="2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7"/>
  </w:num>
  <w:num w:numId="30">
    <w:abstractNumId w:val="96"/>
  </w:num>
  <w:num w:numId="31">
    <w:abstractNumId w:val="10"/>
  </w:num>
  <w:num w:numId="32">
    <w:abstractNumId w:val="37"/>
  </w:num>
  <w:num w:numId="33">
    <w:abstractNumId w:val="161"/>
  </w:num>
  <w:num w:numId="34">
    <w:abstractNumId w:val="162"/>
  </w:num>
  <w:num w:numId="35">
    <w:abstractNumId w:val="92"/>
  </w:num>
  <w:num w:numId="36">
    <w:abstractNumId w:val="100"/>
  </w:num>
  <w:num w:numId="37">
    <w:abstractNumId w:val="100"/>
  </w:num>
  <w:num w:numId="38">
    <w:abstractNumId w:val="109"/>
  </w:num>
  <w:num w:numId="39">
    <w:abstractNumId w:val="21"/>
  </w:num>
  <w:num w:numId="40">
    <w:abstractNumId w:val="49"/>
  </w:num>
  <w:num w:numId="4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num>
  <w:num w:numId="43">
    <w:abstractNumId w:val="166"/>
  </w:num>
  <w:num w:numId="44">
    <w:abstractNumId w:val="99"/>
  </w:num>
  <w:num w:numId="45">
    <w:abstractNumId w:val="91"/>
  </w:num>
  <w:num w:numId="46">
    <w:abstractNumId w:val="6"/>
  </w:num>
  <w:num w:numId="47">
    <w:abstractNumId w:val="151"/>
  </w:num>
  <w:num w:numId="48">
    <w:abstractNumId w:val="83"/>
  </w:num>
  <w:num w:numId="49">
    <w:abstractNumId w:val="14"/>
  </w:num>
  <w:num w:numId="50">
    <w:abstractNumId w:val="18"/>
  </w:num>
  <w:num w:numId="51">
    <w:abstractNumId w:val="67"/>
  </w:num>
  <w:num w:numId="52">
    <w:abstractNumId w:val="79"/>
  </w:num>
  <w:num w:numId="53">
    <w:abstractNumId w:val="77"/>
  </w:num>
  <w:num w:numId="54">
    <w:abstractNumId w:val="134"/>
  </w:num>
  <w:num w:numId="55">
    <w:abstractNumId w:val="133"/>
  </w:num>
  <w:num w:numId="56">
    <w:abstractNumId w:val="69"/>
  </w:num>
  <w:num w:numId="57">
    <w:abstractNumId w:val="112"/>
  </w:num>
  <w:num w:numId="58">
    <w:abstractNumId w:val="86"/>
  </w:num>
  <w:num w:numId="59">
    <w:abstractNumId w:val="105"/>
  </w:num>
  <w:num w:numId="60">
    <w:abstractNumId w:val="93"/>
  </w:num>
  <w:num w:numId="61">
    <w:abstractNumId w:val="135"/>
  </w:num>
  <w:num w:numId="62">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0"/>
  </w:num>
  <w:num w:numId="67">
    <w:abstractNumId w:val="76"/>
  </w:num>
  <w:num w:numId="68">
    <w:abstractNumId w:val="146"/>
  </w:num>
  <w:num w:numId="69">
    <w:abstractNumId w:val="140"/>
  </w:num>
  <w:num w:numId="70">
    <w:abstractNumId w:val="22"/>
  </w:num>
  <w:num w:numId="71">
    <w:abstractNumId w:val="65"/>
  </w:num>
  <w:num w:numId="72">
    <w:abstractNumId w:val="154"/>
  </w:num>
  <w:num w:numId="73">
    <w:abstractNumId w:val="85"/>
  </w:num>
  <w:num w:numId="74">
    <w:abstractNumId w:val="64"/>
  </w:num>
  <w:num w:numId="75">
    <w:abstractNumId w:val="30"/>
  </w:num>
  <w:num w:numId="76">
    <w:abstractNumId w:val="27"/>
  </w:num>
  <w:num w:numId="77">
    <w:abstractNumId w:val="41"/>
  </w:num>
  <w:num w:numId="78">
    <w:abstractNumId w:val="141"/>
  </w:num>
  <w:num w:numId="79">
    <w:abstractNumId w:val="68"/>
  </w:num>
  <w:num w:numId="80">
    <w:abstractNumId w:val="101"/>
  </w:num>
  <w:num w:numId="81">
    <w:abstractNumId w:val="156"/>
  </w:num>
  <w:num w:numId="82">
    <w:abstractNumId w:val="19"/>
  </w:num>
  <w:num w:numId="83">
    <w:abstractNumId w:val="116"/>
  </w:num>
  <w:num w:numId="84">
    <w:abstractNumId w:val="125"/>
  </w:num>
  <w:num w:numId="85">
    <w:abstractNumId w:val="23"/>
  </w:num>
  <w:num w:numId="86">
    <w:abstractNumId w:val="126"/>
  </w:num>
  <w:num w:numId="87">
    <w:abstractNumId w:val="42"/>
  </w:num>
  <w:num w:numId="88">
    <w:abstractNumId w:val="144"/>
  </w:num>
  <w:num w:numId="89">
    <w:abstractNumId w:val="66"/>
  </w:num>
  <w:num w:numId="90">
    <w:abstractNumId w:val="122"/>
  </w:num>
  <w:num w:numId="91">
    <w:abstractNumId w:val="11"/>
  </w:num>
  <w:num w:numId="92">
    <w:abstractNumId w:val="28"/>
  </w:num>
  <w:num w:numId="93">
    <w:abstractNumId w:val="117"/>
  </w:num>
  <w:num w:numId="94">
    <w:abstractNumId w:val="102"/>
  </w:num>
  <w:num w:numId="95">
    <w:abstractNumId w:val="53"/>
  </w:num>
  <w:num w:numId="96">
    <w:abstractNumId w:val="164"/>
  </w:num>
  <w:num w:numId="97">
    <w:abstractNumId w:val="118"/>
  </w:num>
  <w:num w:numId="98">
    <w:abstractNumId w:val="59"/>
  </w:num>
  <w:num w:numId="99">
    <w:abstractNumId w:val="111"/>
  </w:num>
  <w:num w:numId="100">
    <w:abstractNumId w:val="43"/>
  </w:num>
  <w:num w:numId="101">
    <w:abstractNumId w:val="40"/>
  </w:num>
  <w:num w:numId="102">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6"/>
  </w:num>
  <w:num w:numId="104">
    <w:abstractNumId w:val="129"/>
  </w:num>
  <w:num w:numId="105">
    <w:abstractNumId w:val="56"/>
  </w:num>
  <w:num w:numId="106">
    <w:abstractNumId w:val="158"/>
  </w:num>
  <w:num w:numId="107">
    <w:abstractNumId w:val="123"/>
  </w:num>
  <w:num w:numId="108">
    <w:abstractNumId w:val="32"/>
  </w:num>
  <w:num w:numId="109">
    <w:abstractNumId w:val="94"/>
  </w:num>
  <w:num w:numId="110">
    <w:abstractNumId w:val="25"/>
  </w:num>
  <w:num w:numId="111">
    <w:abstractNumId w:val="120"/>
  </w:num>
  <w:num w:numId="112">
    <w:abstractNumId w:val="58"/>
  </w:num>
  <w:num w:numId="113">
    <w:abstractNumId w:val="163"/>
  </w:num>
  <w:num w:numId="114">
    <w:abstractNumId w:val="89"/>
  </w:num>
  <w:num w:numId="115">
    <w:abstractNumId w:val="127"/>
  </w:num>
  <w:num w:numId="116">
    <w:abstractNumId w:val="31"/>
  </w:num>
  <w:num w:numId="117">
    <w:abstractNumId w:val="128"/>
  </w:num>
  <w:num w:numId="118">
    <w:abstractNumId w:val="157"/>
  </w:num>
  <w:num w:numId="119">
    <w:abstractNumId w:val="132"/>
  </w:num>
  <w:num w:numId="120">
    <w:abstractNumId w:val="80"/>
  </w:num>
  <w:num w:numId="121">
    <w:abstractNumId w:val="152"/>
  </w:num>
  <w:num w:numId="122">
    <w:abstractNumId w:val="62"/>
  </w:num>
  <w:num w:numId="123">
    <w:abstractNumId w:val="29"/>
  </w:num>
  <w:num w:numId="124">
    <w:abstractNumId w:val="51"/>
  </w:num>
  <w:num w:numId="125">
    <w:abstractNumId w:val="165"/>
  </w:num>
  <w:num w:numId="126">
    <w:abstractNumId w:val="17"/>
  </w:num>
  <w:num w:numId="127">
    <w:abstractNumId w:val="16"/>
  </w:num>
  <w:num w:numId="128">
    <w:abstractNumId w:val="5"/>
  </w:num>
  <w:num w:numId="129">
    <w:abstractNumId w:val="160"/>
  </w:num>
  <w:num w:numId="130">
    <w:abstractNumId w:val="130"/>
  </w:num>
  <w:num w:numId="131">
    <w:abstractNumId w:val="155"/>
  </w:num>
  <w:num w:numId="132">
    <w:abstractNumId w:val="137"/>
  </w:num>
  <w:num w:numId="133">
    <w:abstractNumId w:val="38"/>
  </w:num>
  <w:num w:numId="134">
    <w:abstractNumId w:val="70"/>
  </w:num>
  <w:num w:numId="135">
    <w:abstractNumId w:val="74"/>
  </w:num>
  <w:num w:numId="136">
    <w:abstractNumId w:val="104"/>
  </w:num>
  <w:num w:numId="137">
    <w:abstractNumId w:val="55"/>
  </w:num>
  <w:num w:numId="138">
    <w:abstractNumId w:val="107"/>
  </w:num>
  <w:num w:numId="139">
    <w:abstractNumId w:val="106"/>
  </w:num>
  <w:num w:numId="140">
    <w:abstractNumId w:val="8"/>
  </w:num>
  <w:num w:numId="141">
    <w:abstractNumId w:val="20"/>
  </w:num>
  <w:num w:numId="142">
    <w:abstractNumId w:val="119"/>
  </w:num>
  <w:num w:numId="143">
    <w:abstractNumId w:val="143"/>
  </w:num>
  <w:num w:numId="144">
    <w:abstractNumId w:val="47"/>
  </w:num>
  <w:num w:numId="145">
    <w:abstractNumId w:val="142"/>
  </w:num>
  <w:num w:numId="146">
    <w:abstractNumId w:val="159"/>
  </w:num>
  <w:num w:numId="147">
    <w:abstractNumId w:val="148"/>
  </w:num>
  <w:num w:numId="148">
    <w:abstractNumId w:val="115"/>
  </w:num>
  <w:num w:numId="149">
    <w:abstractNumId w:val="88"/>
  </w:num>
  <w:num w:numId="150">
    <w:abstractNumId w:val="149"/>
  </w:num>
  <w:num w:numId="151">
    <w:abstractNumId w:val="75"/>
  </w:num>
  <w:num w:numId="152">
    <w:abstractNumId w:val="24"/>
  </w:num>
  <w:num w:numId="153">
    <w:abstractNumId w:val="95"/>
  </w:num>
  <w:num w:numId="154">
    <w:abstractNumId w:val="50"/>
  </w:num>
  <w:num w:numId="155">
    <w:abstractNumId w:val="46"/>
  </w:num>
  <w:num w:numId="156">
    <w:abstractNumId w:val="153"/>
  </w:num>
  <w:num w:numId="157">
    <w:abstractNumId w:val="124"/>
  </w:num>
  <w:num w:numId="158">
    <w:abstractNumId w:val="9"/>
  </w:num>
  <w:num w:numId="159">
    <w:abstractNumId w:val="113"/>
  </w:num>
  <w:num w:numId="160">
    <w:abstractNumId w:val="35"/>
  </w:num>
  <w:num w:numId="161">
    <w:abstractNumId w:val="131"/>
  </w:num>
  <w:num w:numId="162">
    <w:abstractNumId w:val="98"/>
  </w:num>
  <w:num w:numId="163">
    <w:abstractNumId w:val="44"/>
  </w:num>
  <w:num w:numId="164">
    <w:abstractNumId w:val="4"/>
  </w:num>
  <w:num w:numId="165">
    <w:abstractNumId w:val="34"/>
  </w:num>
  <w:num w:numId="166">
    <w:abstractNumId w:val="150"/>
  </w:num>
  <w:num w:numId="167">
    <w:abstractNumId w:val="72"/>
  </w:num>
  <w:num w:numId="168">
    <w:abstractNumId w:val="48"/>
  </w:num>
  <w:num w:numId="169">
    <w:abstractNumId w:val="15"/>
  </w:num>
  <w:num w:numId="170">
    <w:abstractNumId w:val="145"/>
  </w:num>
  <w:num w:numId="171">
    <w:abstractNumId w:val="39"/>
  </w:num>
  <w:num w:numId="172">
    <w:abstractNumId w:val="138"/>
  </w:num>
  <w:num w:numId="173">
    <w:abstractNumId w:val="139"/>
  </w:num>
  <w:num w:numId="174">
    <w:abstractNumId w:val="82"/>
  </w:num>
  <w:num w:numId="175">
    <w:abstractNumId w:val="71"/>
  </w:num>
  <w:num w:numId="176">
    <w:abstractNumId w:val="57"/>
  </w:num>
  <w:num w:numId="177">
    <w:abstractNumId w:val="71"/>
  </w:num>
  <w:num w:numId="178">
    <w:abstractNumId w:val="71"/>
  </w:num>
  <w:num w:numId="179">
    <w:abstractNumId w:val="71"/>
  </w:num>
  <w:num w:numId="180">
    <w:abstractNumId w:val="71"/>
  </w:num>
  <w:num w:numId="181">
    <w:abstractNumId w:val="71"/>
  </w:num>
  <w:num w:numId="182">
    <w:abstractNumId w:val="71"/>
  </w:num>
  <w:num w:numId="183">
    <w:abstractNumId w:val="71"/>
  </w:num>
  <w:num w:numId="184">
    <w:abstractNumId w:val="71"/>
  </w:num>
  <w:num w:numId="185">
    <w:abstractNumId w:val="71"/>
  </w:num>
  <w:num w:numId="186">
    <w:abstractNumId w:val="71"/>
  </w:num>
  <w:num w:numId="187">
    <w:abstractNumId w:val="71"/>
  </w:num>
  <w:num w:numId="188">
    <w:abstractNumId w:val="78"/>
  </w:num>
  <w:num w:numId="189">
    <w:abstractNumId w:val="103"/>
  </w:num>
  <w:numIdMacAtCleanup w:val="1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81"/>
    <w:rsid w:val="000001A4"/>
    <w:rsid w:val="000006E1"/>
    <w:rsid w:val="000014D9"/>
    <w:rsid w:val="00001717"/>
    <w:rsid w:val="00002A37"/>
    <w:rsid w:val="00005330"/>
    <w:rsid w:val="0000564C"/>
    <w:rsid w:val="00006446"/>
    <w:rsid w:val="00006896"/>
    <w:rsid w:val="00007CDC"/>
    <w:rsid w:val="00011B28"/>
    <w:rsid w:val="00015D15"/>
    <w:rsid w:val="00024368"/>
    <w:rsid w:val="00025225"/>
    <w:rsid w:val="0002564D"/>
    <w:rsid w:val="00025ECA"/>
    <w:rsid w:val="000269E2"/>
    <w:rsid w:val="00027117"/>
    <w:rsid w:val="000273F3"/>
    <w:rsid w:val="00027D86"/>
    <w:rsid w:val="00030C9B"/>
    <w:rsid w:val="000321C5"/>
    <w:rsid w:val="000325B8"/>
    <w:rsid w:val="00034C15"/>
    <w:rsid w:val="00035626"/>
    <w:rsid w:val="00035788"/>
    <w:rsid w:val="00036BA1"/>
    <w:rsid w:val="00041298"/>
    <w:rsid w:val="000422E2"/>
    <w:rsid w:val="00042F22"/>
    <w:rsid w:val="000444EF"/>
    <w:rsid w:val="00052A07"/>
    <w:rsid w:val="000534E3"/>
    <w:rsid w:val="0005375E"/>
    <w:rsid w:val="00053C0D"/>
    <w:rsid w:val="00053ECA"/>
    <w:rsid w:val="0005606A"/>
    <w:rsid w:val="00057117"/>
    <w:rsid w:val="00057572"/>
    <w:rsid w:val="000579B3"/>
    <w:rsid w:val="00060AEE"/>
    <w:rsid w:val="000616E7"/>
    <w:rsid w:val="00062CEE"/>
    <w:rsid w:val="0006487E"/>
    <w:rsid w:val="000648E4"/>
    <w:rsid w:val="00065E1A"/>
    <w:rsid w:val="00065ED1"/>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474"/>
    <w:rsid w:val="0009510F"/>
    <w:rsid w:val="000967BE"/>
    <w:rsid w:val="00097389"/>
    <w:rsid w:val="000A0015"/>
    <w:rsid w:val="000A01E9"/>
    <w:rsid w:val="000A0CF1"/>
    <w:rsid w:val="000A19A2"/>
    <w:rsid w:val="000A1B7B"/>
    <w:rsid w:val="000A2232"/>
    <w:rsid w:val="000A43B8"/>
    <w:rsid w:val="000A550E"/>
    <w:rsid w:val="000A56F2"/>
    <w:rsid w:val="000A67F3"/>
    <w:rsid w:val="000A6F22"/>
    <w:rsid w:val="000A7963"/>
    <w:rsid w:val="000B1E41"/>
    <w:rsid w:val="000B245F"/>
    <w:rsid w:val="000B2719"/>
    <w:rsid w:val="000B3A8F"/>
    <w:rsid w:val="000B4AB9"/>
    <w:rsid w:val="000B5689"/>
    <w:rsid w:val="000B58C3"/>
    <w:rsid w:val="000B5A57"/>
    <w:rsid w:val="000B61E9"/>
    <w:rsid w:val="000B6288"/>
    <w:rsid w:val="000B7287"/>
    <w:rsid w:val="000B7B19"/>
    <w:rsid w:val="000C0565"/>
    <w:rsid w:val="000C165A"/>
    <w:rsid w:val="000C27DF"/>
    <w:rsid w:val="000C2E19"/>
    <w:rsid w:val="000C3B6C"/>
    <w:rsid w:val="000C5890"/>
    <w:rsid w:val="000C5FAC"/>
    <w:rsid w:val="000C7138"/>
    <w:rsid w:val="000D0D07"/>
    <w:rsid w:val="000D1296"/>
    <w:rsid w:val="000D31F0"/>
    <w:rsid w:val="000D4797"/>
    <w:rsid w:val="000D73E9"/>
    <w:rsid w:val="000E02AD"/>
    <w:rsid w:val="000E0527"/>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2077"/>
    <w:rsid w:val="00112770"/>
    <w:rsid w:val="00113CF4"/>
    <w:rsid w:val="00114E9A"/>
    <w:rsid w:val="00115374"/>
    <w:rsid w:val="001153EA"/>
    <w:rsid w:val="00115643"/>
    <w:rsid w:val="00116765"/>
    <w:rsid w:val="001179AE"/>
    <w:rsid w:val="00117C69"/>
    <w:rsid w:val="001213B6"/>
    <w:rsid w:val="001219F5"/>
    <w:rsid w:val="00121A20"/>
    <w:rsid w:val="0012377F"/>
    <w:rsid w:val="00124314"/>
    <w:rsid w:val="001245C8"/>
    <w:rsid w:val="00126B4A"/>
    <w:rsid w:val="00127960"/>
    <w:rsid w:val="0013285B"/>
    <w:rsid w:val="00132F8D"/>
    <w:rsid w:val="00132FD0"/>
    <w:rsid w:val="00133E59"/>
    <w:rsid w:val="001344C0"/>
    <w:rsid w:val="001346FA"/>
    <w:rsid w:val="00135252"/>
    <w:rsid w:val="00137AB5"/>
    <w:rsid w:val="00137F0B"/>
    <w:rsid w:val="0014269A"/>
    <w:rsid w:val="00144801"/>
    <w:rsid w:val="00145C64"/>
    <w:rsid w:val="00151E23"/>
    <w:rsid w:val="001526E0"/>
    <w:rsid w:val="00152BEB"/>
    <w:rsid w:val="00153836"/>
    <w:rsid w:val="00153E07"/>
    <w:rsid w:val="001548D7"/>
    <w:rsid w:val="001551B5"/>
    <w:rsid w:val="00155D48"/>
    <w:rsid w:val="00156AE4"/>
    <w:rsid w:val="0016091D"/>
    <w:rsid w:val="00162665"/>
    <w:rsid w:val="0016399D"/>
    <w:rsid w:val="001652CA"/>
    <w:rsid w:val="001659C1"/>
    <w:rsid w:val="0016738B"/>
    <w:rsid w:val="00171286"/>
    <w:rsid w:val="001720A2"/>
    <w:rsid w:val="00173A8E"/>
    <w:rsid w:val="0017502C"/>
    <w:rsid w:val="0017732B"/>
    <w:rsid w:val="0018143F"/>
    <w:rsid w:val="00181FF8"/>
    <w:rsid w:val="00183C44"/>
    <w:rsid w:val="00183F94"/>
    <w:rsid w:val="00184596"/>
    <w:rsid w:val="00186D90"/>
    <w:rsid w:val="00190AC1"/>
    <w:rsid w:val="0019341A"/>
    <w:rsid w:val="00195D7A"/>
    <w:rsid w:val="00196C15"/>
    <w:rsid w:val="00197DF9"/>
    <w:rsid w:val="001A06AF"/>
    <w:rsid w:val="001A14DC"/>
    <w:rsid w:val="001A1987"/>
    <w:rsid w:val="001A2564"/>
    <w:rsid w:val="001A6173"/>
    <w:rsid w:val="001A61B0"/>
    <w:rsid w:val="001A626F"/>
    <w:rsid w:val="001A6CBA"/>
    <w:rsid w:val="001B0D97"/>
    <w:rsid w:val="001B2238"/>
    <w:rsid w:val="001B3809"/>
    <w:rsid w:val="001B5973"/>
    <w:rsid w:val="001B5A5D"/>
    <w:rsid w:val="001B5BF2"/>
    <w:rsid w:val="001B7EFC"/>
    <w:rsid w:val="001C121D"/>
    <w:rsid w:val="001C1CE5"/>
    <w:rsid w:val="001C3766"/>
    <w:rsid w:val="001C3D2A"/>
    <w:rsid w:val="001C5AFB"/>
    <w:rsid w:val="001C695B"/>
    <w:rsid w:val="001C6DA6"/>
    <w:rsid w:val="001D4556"/>
    <w:rsid w:val="001D51BA"/>
    <w:rsid w:val="001D53E7"/>
    <w:rsid w:val="001D619E"/>
    <w:rsid w:val="001D6342"/>
    <w:rsid w:val="001D662B"/>
    <w:rsid w:val="001D6D53"/>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1F7C5C"/>
    <w:rsid w:val="00200490"/>
    <w:rsid w:val="0020114C"/>
    <w:rsid w:val="0020160F"/>
    <w:rsid w:val="00201AF1"/>
    <w:rsid w:val="00201F3A"/>
    <w:rsid w:val="00203F96"/>
    <w:rsid w:val="00205265"/>
    <w:rsid w:val="00205C15"/>
    <w:rsid w:val="00205D0E"/>
    <w:rsid w:val="00205F98"/>
    <w:rsid w:val="002069B2"/>
    <w:rsid w:val="00207FA3"/>
    <w:rsid w:val="00212281"/>
    <w:rsid w:val="002133D0"/>
    <w:rsid w:val="002143B6"/>
    <w:rsid w:val="00214DA8"/>
    <w:rsid w:val="00215423"/>
    <w:rsid w:val="002158FA"/>
    <w:rsid w:val="0021646F"/>
    <w:rsid w:val="00220600"/>
    <w:rsid w:val="00221217"/>
    <w:rsid w:val="00222456"/>
    <w:rsid w:val="002224DB"/>
    <w:rsid w:val="00223FCB"/>
    <w:rsid w:val="002243ED"/>
    <w:rsid w:val="00224EFA"/>
    <w:rsid w:val="002252C3"/>
    <w:rsid w:val="00225C54"/>
    <w:rsid w:val="0023051B"/>
    <w:rsid w:val="00230765"/>
    <w:rsid w:val="00230D18"/>
    <w:rsid w:val="0023107B"/>
    <w:rsid w:val="002319E4"/>
    <w:rsid w:val="00235296"/>
    <w:rsid w:val="00235632"/>
    <w:rsid w:val="00235872"/>
    <w:rsid w:val="002377FD"/>
    <w:rsid w:val="00237A49"/>
    <w:rsid w:val="00237EBC"/>
    <w:rsid w:val="00241559"/>
    <w:rsid w:val="002435B3"/>
    <w:rsid w:val="00244E95"/>
    <w:rsid w:val="002458EB"/>
    <w:rsid w:val="002500C8"/>
    <w:rsid w:val="00250E8B"/>
    <w:rsid w:val="00250EBF"/>
    <w:rsid w:val="00252CAA"/>
    <w:rsid w:val="00253C6B"/>
    <w:rsid w:val="00257543"/>
    <w:rsid w:val="00260E7C"/>
    <w:rsid w:val="002617E7"/>
    <w:rsid w:val="00261EB3"/>
    <w:rsid w:val="00263D34"/>
    <w:rsid w:val="00264228"/>
    <w:rsid w:val="00264334"/>
    <w:rsid w:val="0026473E"/>
    <w:rsid w:val="00266214"/>
    <w:rsid w:val="00267247"/>
    <w:rsid w:val="002677F7"/>
    <w:rsid w:val="00267BCB"/>
    <w:rsid w:val="00267C83"/>
    <w:rsid w:val="0027144F"/>
    <w:rsid w:val="00271813"/>
    <w:rsid w:val="00271F3A"/>
    <w:rsid w:val="00273278"/>
    <w:rsid w:val="002737F4"/>
    <w:rsid w:val="00274218"/>
    <w:rsid w:val="00276D1B"/>
    <w:rsid w:val="002805F5"/>
    <w:rsid w:val="00280751"/>
    <w:rsid w:val="0028280A"/>
    <w:rsid w:val="00286ACD"/>
    <w:rsid w:val="00287838"/>
    <w:rsid w:val="002907B5"/>
    <w:rsid w:val="002911D2"/>
    <w:rsid w:val="00292EB7"/>
    <w:rsid w:val="00295E91"/>
    <w:rsid w:val="00296227"/>
    <w:rsid w:val="00296F44"/>
    <w:rsid w:val="0029777D"/>
    <w:rsid w:val="00297B14"/>
    <w:rsid w:val="002A055E"/>
    <w:rsid w:val="002A12B0"/>
    <w:rsid w:val="002A1D4E"/>
    <w:rsid w:val="002A2869"/>
    <w:rsid w:val="002A2962"/>
    <w:rsid w:val="002A3BCD"/>
    <w:rsid w:val="002A4475"/>
    <w:rsid w:val="002A4752"/>
    <w:rsid w:val="002A4F57"/>
    <w:rsid w:val="002A691E"/>
    <w:rsid w:val="002B12F2"/>
    <w:rsid w:val="002B24D6"/>
    <w:rsid w:val="002C3DCE"/>
    <w:rsid w:val="002C3EC2"/>
    <w:rsid w:val="002C41E6"/>
    <w:rsid w:val="002C5210"/>
    <w:rsid w:val="002D071A"/>
    <w:rsid w:val="002D11AF"/>
    <w:rsid w:val="002D34B2"/>
    <w:rsid w:val="002D458F"/>
    <w:rsid w:val="002D48B0"/>
    <w:rsid w:val="002D49D7"/>
    <w:rsid w:val="002D5B37"/>
    <w:rsid w:val="002D7637"/>
    <w:rsid w:val="002D7BFF"/>
    <w:rsid w:val="002E038C"/>
    <w:rsid w:val="002E17F2"/>
    <w:rsid w:val="002E21D3"/>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501F"/>
    <w:rsid w:val="00307BA1"/>
    <w:rsid w:val="0031141F"/>
    <w:rsid w:val="00311702"/>
    <w:rsid w:val="00311E82"/>
    <w:rsid w:val="003131C5"/>
    <w:rsid w:val="0031326A"/>
    <w:rsid w:val="00313FD6"/>
    <w:rsid w:val="003143BD"/>
    <w:rsid w:val="00315363"/>
    <w:rsid w:val="00315909"/>
    <w:rsid w:val="00320060"/>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E2C"/>
    <w:rsid w:val="003420C4"/>
    <w:rsid w:val="00342BD7"/>
    <w:rsid w:val="003449B2"/>
    <w:rsid w:val="00344BC8"/>
    <w:rsid w:val="00345E74"/>
    <w:rsid w:val="00346DB5"/>
    <w:rsid w:val="003472C2"/>
    <w:rsid w:val="003477B1"/>
    <w:rsid w:val="0035010D"/>
    <w:rsid w:val="003503FA"/>
    <w:rsid w:val="00350F7B"/>
    <w:rsid w:val="00351063"/>
    <w:rsid w:val="00352077"/>
    <w:rsid w:val="00353360"/>
    <w:rsid w:val="003556C7"/>
    <w:rsid w:val="00355CA5"/>
    <w:rsid w:val="00357380"/>
    <w:rsid w:val="00357CD5"/>
    <w:rsid w:val="003602D9"/>
    <w:rsid w:val="003604CE"/>
    <w:rsid w:val="00360F7A"/>
    <w:rsid w:val="0036488D"/>
    <w:rsid w:val="00367697"/>
    <w:rsid w:val="00370E47"/>
    <w:rsid w:val="003728F1"/>
    <w:rsid w:val="003742AC"/>
    <w:rsid w:val="00377CE1"/>
    <w:rsid w:val="00377D21"/>
    <w:rsid w:val="00380A39"/>
    <w:rsid w:val="003822DE"/>
    <w:rsid w:val="00385BF0"/>
    <w:rsid w:val="00385EAB"/>
    <w:rsid w:val="00386025"/>
    <w:rsid w:val="003905CE"/>
    <w:rsid w:val="00392487"/>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64BB"/>
    <w:rsid w:val="003B7FE5"/>
    <w:rsid w:val="003C11C8"/>
    <w:rsid w:val="003C2702"/>
    <w:rsid w:val="003C42E9"/>
    <w:rsid w:val="003C56EE"/>
    <w:rsid w:val="003C6CF3"/>
    <w:rsid w:val="003C6EE9"/>
    <w:rsid w:val="003C7806"/>
    <w:rsid w:val="003D109F"/>
    <w:rsid w:val="003D2478"/>
    <w:rsid w:val="003D27C6"/>
    <w:rsid w:val="003D2C82"/>
    <w:rsid w:val="003D3C45"/>
    <w:rsid w:val="003D4C80"/>
    <w:rsid w:val="003D5B1F"/>
    <w:rsid w:val="003E0B91"/>
    <w:rsid w:val="003E0FAA"/>
    <w:rsid w:val="003E15FA"/>
    <w:rsid w:val="003E1705"/>
    <w:rsid w:val="003E2EA2"/>
    <w:rsid w:val="003E55E4"/>
    <w:rsid w:val="003E74E3"/>
    <w:rsid w:val="003E7856"/>
    <w:rsid w:val="003F05C7"/>
    <w:rsid w:val="003F2C43"/>
    <w:rsid w:val="003F2CD4"/>
    <w:rsid w:val="003F6BBE"/>
    <w:rsid w:val="004000E8"/>
    <w:rsid w:val="00400380"/>
    <w:rsid w:val="004015C1"/>
    <w:rsid w:val="00402E2B"/>
    <w:rsid w:val="0040512B"/>
    <w:rsid w:val="00405CA5"/>
    <w:rsid w:val="00405E87"/>
    <w:rsid w:val="00405F4B"/>
    <w:rsid w:val="00407122"/>
    <w:rsid w:val="00407CD3"/>
    <w:rsid w:val="00410134"/>
    <w:rsid w:val="00410B72"/>
    <w:rsid w:val="00410F18"/>
    <w:rsid w:val="004123A6"/>
    <w:rsid w:val="0041263E"/>
    <w:rsid w:val="004128A3"/>
    <w:rsid w:val="00413984"/>
    <w:rsid w:val="00413AAC"/>
    <w:rsid w:val="00413E92"/>
    <w:rsid w:val="00417D2C"/>
    <w:rsid w:val="004210EE"/>
    <w:rsid w:val="00421105"/>
    <w:rsid w:val="00422AA4"/>
    <w:rsid w:val="004236E1"/>
    <w:rsid w:val="004242F4"/>
    <w:rsid w:val="00427248"/>
    <w:rsid w:val="00427514"/>
    <w:rsid w:val="004325A8"/>
    <w:rsid w:val="00432FB0"/>
    <w:rsid w:val="00436C8C"/>
    <w:rsid w:val="0043723F"/>
    <w:rsid w:val="00437447"/>
    <w:rsid w:val="00437E81"/>
    <w:rsid w:val="00440ACC"/>
    <w:rsid w:val="004413B2"/>
    <w:rsid w:val="00441A92"/>
    <w:rsid w:val="004425D5"/>
    <w:rsid w:val="004431DC"/>
    <w:rsid w:val="0044342C"/>
    <w:rsid w:val="00443DC9"/>
    <w:rsid w:val="00444F56"/>
    <w:rsid w:val="0044535F"/>
    <w:rsid w:val="00445A8F"/>
    <w:rsid w:val="00446488"/>
    <w:rsid w:val="00446723"/>
    <w:rsid w:val="004507A7"/>
    <w:rsid w:val="004517AA"/>
    <w:rsid w:val="00452CAC"/>
    <w:rsid w:val="00456645"/>
    <w:rsid w:val="0045684E"/>
    <w:rsid w:val="00457565"/>
    <w:rsid w:val="00457B71"/>
    <w:rsid w:val="004611AB"/>
    <w:rsid w:val="00461E30"/>
    <w:rsid w:val="00463A2C"/>
    <w:rsid w:val="004641B0"/>
    <w:rsid w:val="00464689"/>
    <w:rsid w:val="004664B6"/>
    <w:rsid w:val="004669E2"/>
    <w:rsid w:val="00466D98"/>
    <w:rsid w:val="0046710F"/>
    <w:rsid w:val="00470C31"/>
    <w:rsid w:val="00471DE0"/>
    <w:rsid w:val="004734D0"/>
    <w:rsid w:val="0047556B"/>
    <w:rsid w:val="00475CB3"/>
    <w:rsid w:val="00477768"/>
    <w:rsid w:val="004841FB"/>
    <w:rsid w:val="00486A9F"/>
    <w:rsid w:val="00487CD0"/>
    <w:rsid w:val="00491982"/>
    <w:rsid w:val="004925D7"/>
    <w:rsid w:val="00492BC5"/>
    <w:rsid w:val="004964F1"/>
    <w:rsid w:val="004A06C1"/>
    <w:rsid w:val="004A0F26"/>
    <w:rsid w:val="004A16BC"/>
    <w:rsid w:val="004A2B94"/>
    <w:rsid w:val="004A2F33"/>
    <w:rsid w:val="004A44D6"/>
    <w:rsid w:val="004A715F"/>
    <w:rsid w:val="004A7E29"/>
    <w:rsid w:val="004B0267"/>
    <w:rsid w:val="004B118F"/>
    <w:rsid w:val="004B2D70"/>
    <w:rsid w:val="004B2FB5"/>
    <w:rsid w:val="004B6F6A"/>
    <w:rsid w:val="004B746F"/>
    <w:rsid w:val="004B7C0C"/>
    <w:rsid w:val="004C1BC9"/>
    <w:rsid w:val="004C1D4B"/>
    <w:rsid w:val="004C3898"/>
    <w:rsid w:val="004C3941"/>
    <w:rsid w:val="004C3942"/>
    <w:rsid w:val="004C3BD8"/>
    <w:rsid w:val="004C50AD"/>
    <w:rsid w:val="004C54BC"/>
    <w:rsid w:val="004C58D2"/>
    <w:rsid w:val="004C6984"/>
    <w:rsid w:val="004D167F"/>
    <w:rsid w:val="004D1D5A"/>
    <w:rsid w:val="004D36B1"/>
    <w:rsid w:val="004D6973"/>
    <w:rsid w:val="004D7EBD"/>
    <w:rsid w:val="004D7F04"/>
    <w:rsid w:val="004E2680"/>
    <w:rsid w:val="004E28F9"/>
    <w:rsid w:val="004E462E"/>
    <w:rsid w:val="004E5419"/>
    <w:rsid w:val="004E56DC"/>
    <w:rsid w:val="004E6CBB"/>
    <w:rsid w:val="004E6F6D"/>
    <w:rsid w:val="004E76F4"/>
    <w:rsid w:val="004F0B4E"/>
    <w:rsid w:val="004F0B6C"/>
    <w:rsid w:val="004F2078"/>
    <w:rsid w:val="004F2956"/>
    <w:rsid w:val="004F41E5"/>
    <w:rsid w:val="004F427D"/>
    <w:rsid w:val="004F4DA3"/>
    <w:rsid w:val="004F5F54"/>
    <w:rsid w:val="004F74F8"/>
    <w:rsid w:val="004F7D41"/>
    <w:rsid w:val="00500CBB"/>
    <w:rsid w:val="00503986"/>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7CD"/>
    <w:rsid w:val="00522CBB"/>
    <w:rsid w:val="005237D6"/>
    <w:rsid w:val="00530CE9"/>
    <w:rsid w:val="005314D8"/>
    <w:rsid w:val="00531D45"/>
    <w:rsid w:val="00533BA0"/>
    <w:rsid w:val="00534B59"/>
    <w:rsid w:val="00536759"/>
    <w:rsid w:val="00536D80"/>
    <w:rsid w:val="00537C62"/>
    <w:rsid w:val="005423CB"/>
    <w:rsid w:val="00542509"/>
    <w:rsid w:val="00542D4A"/>
    <w:rsid w:val="00543364"/>
    <w:rsid w:val="00543E3B"/>
    <w:rsid w:val="00544169"/>
    <w:rsid w:val="00544524"/>
    <w:rsid w:val="00546970"/>
    <w:rsid w:val="00547830"/>
    <w:rsid w:val="005507B8"/>
    <w:rsid w:val="00550E49"/>
    <w:rsid w:val="00550EB1"/>
    <w:rsid w:val="0055222F"/>
    <w:rsid w:val="005530A0"/>
    <w:rsid w:val="00553AF8"/>
    <w:rsid w:val="00554E19"/>
    <w:rsid w:val="0056121F"/>
    <w:rsid w:val="00561729"/>
    <w:rsid w:val="005620A5"/>
    <w:rsid w:val="00562226"/>
    <w:rsid w:val="005622A9"/>
    <w:rsid w:val="0056698D"/>
    <w:rsid w:val="00566FD1"/>
    <w:rsid w:val="005673D3"/>
    <w:rsid w:val="00572505"/>
    <w:rsid w:val="0057335F"/>
    <w:rsid w:val="00573F9C"/>
    <w:rsid w:val="00574E58"/>
    <w:rsid w:val="00574FB5"/>
    <w:rsid w:val="0057589A"/>
    <w:rsid w:val="00582809"/>
    <w:rsid w:val="00583056"/>
    <w:rsid w:val="005830F0"/>
    <w:rsid w:val="005853A8"/>
    <w:rsid w:val="005855E8"/>
    <w:rsid w:val="00585EE6"/>
    <w:rsid w:val="0058798C"/>
    <w:rsid w:val="00587B69"/>
    <w:rsid w:val="005900FA"/>
    <w:rsid w:val="00590B8E"/>
    <w:rsid w:val="00591F0A"/>
    <w:rsid w:val="00592E2D"/>
    <w:rsid w:val="005935A4"/>
    <w:rsid w:val="005948C2"/>
    <w:rsid w:val="00594D34"/>
    <w:rsid w:val="00595DCA"/>
    <w:rsid w:val="0059779B"/>
    <w:rsid w:val="005A065E"/>
    <w:rsid w:val="005A209A"/>
    <w:rsid w:val="005A2B1C"/>
    <w:rsid w:val="005A57E4"/>
    <w:rsid w:val="005A662D"/>
    <w:rsid w:val="005B1409"/>
    <w:rsid w:val="005B1A0F"/>
    <w:rsid w:val="005B3381"/>
    <w:rsid w:val="005B35D7"/>
    <w:rsid w:val="005B392A"/>
    <w:rsid w:val="005B3AA3"/>
    <w:rsid w:val="005B421D"/>
    <w:rsid w:val="005B53EF"/>
    <w:rsid w:val="005B6F83"/>
    <w:rsid w:val="005B704E"/>
    <w:rsid w:val="005C52CB"/>
    <w:rsid w:val="005C74FB"/>
    <w:rsid w:val="005D1602"/>
    <w:rsid w:val="005D23DC"/>
    <w:rsid w:val="005D4321"/>
    <w:rsid w:val="005D6582"/>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20A71"/>
    <w:rsid w:val="00620D80"/>
    <w:rsid w:val="006234A6"/>
    <w:rsid w:val="00624470"/>
    <w:rsid w:val="00627B58"/>
    <w:rsid w:val="00630001"/>
    <w:rsid w:val="00630C45"/>
    <w:rsid w:val="006311B3"/>
    <w:rsid w:val="0063284C"/>
    <w:rsid w:val="00635207"/>
    <w:rsid w:val="00636297"/>
    <w:rsid w:val="00636398"/>
    <w:rsid w:val="006368D3"/>
    <w:rsid w:val="00636DE2"/>
    <w:rsid w:val="00637672"/>
    <w:rsid w:val="00637762"/>
    <w:rsid w:val="006377EC"/>
    <w:rsid w:val="006402F4"/>
    <w:rsid w:val="006407FF"/>
    <w:rsid w:val="00641019"/>
    <w:rsid w:val="0064151F"/>
    <w:rsid w:val="00641533"/>
    <w:rsid w:val="0064208D"/>
    <w:rsid w:val="00643475"/>
    <w:rsid w:val="0064396A"/>
    <w:rsid w:val="00644B77"/>
    <w:rsid w:val="0064624E"/>
    <w:rsid w:val="00646E69"/>
    <w:rsid w:val="0065029A"/>
    <w:rsid w:val="00650AB9"/>
    <w:rsid w:val="006529D9"/>
    <w:rsid w:val="00654837"/>
    <w:rsid w:val="00655733"/>
    <w:rsid w:val="00655ACD"/>
    <w:rsid w:val="006560B3"/>
    <w:rsid w:val="006564E7"/>
    <w:rsid w:val="00656A92"/>
    <w:rsid w:val="00656DDE"/>
    <w:rsid w:val="0066011D"/>
    <w:rsid w:val="006607C0"/>
    <w:rsid w:val="006613A6"/>
    <w:rsid w:val="00662100"/>
    <w:rsid w:val="006627A2"/>
    <w:rsid w:val="006634E6"/>
    <w:rsid w:val="006655EE"/>
    <w:rsid w:val="006669AA"/>
    <w:rsid w:val="00667351"/>
    <w:rsid w:val="00667EE7"/>
    <w:rsid w:val="00670922"/>
    <w:rsid w:val="00670BE1"/>
    <w:rsid w:val="00671DF6"/>
    <w:rsid w:val="0067218F"/>
    <w:rsid w:val="00672928"/>
    <w:rsid w:val="00672B57"/>
    <w:rsid w:val="006741F2"/>
    <w:rsid w:val="00674CC3"/>
    <w:rsid w:val="00675C72"/>
    <w:rsid w:val="006771F9"/>
    <w:rsid w:val="00677229"/>
    <w:rsid w:val="006776D7"/>
    <w:rsid w:val="006803AB"/>
    <w:rsid w:val="006808D3"/>
    <w:rsid w:val="00681003"/>
    <w:rsid w:val="00681787"/>
    <w:rsid w:val="006817C9"/>
    <w:rsid w:val="00683981"/>
    <w:rsid w:val="00683ECE"/>
    <w:rsid w:val="006851A4"/>
    <w:rsid w:val="0068537A"/>
    <w:rsid w:val="006862C5"/>
    <w:rsid w:val="00686A72"/>
    <w:rsid w:val="00690E57"/>
    <w:rsid w:val="00691022"/>
    <w:rsid w:val="00691BBB"/>
    <w:rsid w:val="00692A0A"/>
    <w:rsid w:val="0069554E"/>
    <w:rsid w:val="00695FC2"/>
    <w:rsid w:val="00696248"/>
    <w:rsid w:val="00696949"/>
    <w:rsid w:val="00697052"/>
    <w:rsid w:val="006A0AE8"/>
    <w:rsid w:val="006A30A0"/>
    <w:rsid w:val="006A46FB"/>
    <w:rsid w:val="006A476E"/>
    <w:rsid w:val="006A4D6A"/>
    <w:rsid w:val="006A5E28"/>
    <w:rsid w:val="006A697B"/>
    <w:rsid w:val="006A75BE"/>
    <w:rsid w:val="006A7AFF"/>
    <w:rsid w:val="006B1816"/>
    <w:rsid w:val="006B2099"/>
    <w:rsid w:val="006B219F"/>
    <w:rsid w:val="006B2AF3"/>
    <w:rsid w:val="006B4A5F"/>
    <w:rsid w:val="006B4D27"/>
    <w:rsid w:val="006B50CF"/>
    <w:rsid w:val="006C03B8"/>
    <w:rsid w:val="006C12C5"/>
    <w:rsid w:val="006C14F9"/>
    <w:rsid w:val="006C2EB9"/>
    <w:rsid w:val="006C57EA"/>
    <w:rsid w:val="006C5EC9"/>
    <w:rsid w:val="006C6059"/>
    <w:rsid w:val="006C7522"/>
    <w:rsid w:val="006D4092"/>
    <w:rsid w:val="006D6F08"/>
    <w:rsid w:val="006D76CB"/>
    <w:rsid w:val="006E062C"/>
    <w:rsid w:val="006E06C6"/>
    <w:rsid w:val="006E1B8E"/>
    <w:rsid w:val="006E1C82"/>
    <w:rsid w:val="006E2525"/>
    <w:rsid w:val="006E28B7"/>
    <w:rsid w:val="006E2A9B"/>
    <w:rsid w:val="006E32B4"/>
    <w:rsid w:val="006E3310"/>
    <w:rsid w:val="006E4947"/>
    <w:rsid w:val="006E4B18"/>
    <w:rsid w:val="006E4E39"/>
    <w:rsid w:val="006E565E"/>
    <w:rsid w:val="006E673D"/>
    <w:rsid w:val="006E7D3B"/>
    <w:rsid w:val="006F0C9B"/>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10"/>
    <w:rsid w:val="00715B9A"/>
    <w:rsid w:val="0071669D"/>
    <w:rsid w:val="007226FA"/>
    <w:rsid w:val="00722D7B"/>
    <w:rsid w:val="0072450B"/>
    <w:rsid w:val="00724589"/>
    <w:rsid w:val="007257D0"/>
    <w:rsid w:val="00726073"/>
    <w:rsid w:val="00726EA6"/>
    <w:rsid w:val="00727208"/>
    <w:rsid w:val="0072720F"/>
    <w:rsid w:val="00727680"/>
    <w:rsid w:val="00730BDF"/>
    <w:rsid w:val="00730C1D"/>
    <w:rsid w:val="007319D9"/>
    <w:rsid w:val="007348B1"/>
    <w:rsid w:val="00735BC5"/>
    <w:rsid w:val="007362A6"/>
    <w:rsid w:val="00736D7D"/>
    <w:rsid w:val="00740E58"/>
    <w:rsid w:val="0074291F"/>
    <w:rsid w:val="00743DEB"/>
    <w:rsid w:val="00744493"/>
    <w:rsid w:val="007445A0"/>
    <w:rsid w:val="0074524B"/>
    <w:rsid w:val="007456B2"/>
    <w:rsid w:val="00745742"/>
    <w:rsid w:val="007468A0"/>
    <w:rsid w:val="00746D85"/>
    <w:rsid w:val="00747D8B"/>
    <w:rsid w:val="00751228"/>
    <w:rsid w:val="00754280"/>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5FC9"/>
    <w:rsid w:val="00776019"/>
    <w:rsid w:val="00776971"/>
    <w:rsid w:val="007776BB"/>
    <w:rsid w:val="00777DDE"/>
    <w:rsid w:val="00780A33"/>
    <w:rsid w:val="00780A80"/>
    <w:rsid w:val="0078177E"/>
    <w:rsid w:val="0078273F"/>
    <w:rsid w:val="0078304C"/>
    <w:rsid w:val="0078323D"/>
    <w:rsid w:val="0078358E"/>
    <w:rsid w:val="00783673"/>
    <w:rsid w:val="00785490"/>
    <w:rsid w:val="007856EA"/>
    <w:rsid w:val="007864ED"/>
    <w:rsid w:val="007867A0"/>
    <w:rsid w:val="007879C8"/>
    <w:rsid w:val="007904E7"/>
    <w:rsid w:val="00790CC6"/>
    <w:rsid w:val="007918D8"/>
    <w:rsid w:val="007925EA"/>
    <w:rsid w:val="0079329A"/>
    <w:rsid w:val="00793CD8"/>
    <w:rsid w:val="0079409B"/>
    <w:rsid w:val="007954CD"/>
    <w:rsid w:val="00795C92"/>
    <w:rsid w:val="00796231"/>
    <w:rsid w:val="007974E3"/>
    <w:rsid w:val="007A00DC"/>
    <w:rsid w:val="007A1CB3"/>
    <w:rsid w:val="007A306F"/>
    <w:rsid w:val="007A3D4E"/>
    <w:rsid w:val="007A43A6"/>
    <w:rsid w:val="007A4EA9"/>
    <w:rsid w:val="007A58A6"/>
    <w:rsid w:val="007A6062"/>
    <w:rsid w:val="007B2419"/>
    <w:rsid w:val="007B3123"/>
    <w:rsid w:val="007B3BA9"/>
    <w:rsid w:val="007B3D2D"/>
    <w:rsid w:val="007B3E37"/>
    <w:rsid w:val="007B49CD"/>
    <w:rsid w:val="007B50AE"/>
    <w:rsid w:val="007B51DF"/>
    <w:rsid w:val="007B5450"/>
    <w:rsid w:val="007B6F5E"/>
    <w:rsid w:val="007C05DD"/>
    <w:rsid w:val="007C14A1"/>
    <w:rsid w:val="007C240F"/>
    <w:rsid w:val="007C2586"/>
    <w:rsid w:val="007C3D18"/>
    <w:rsid w:val="007C5D77"/>
    <w:rsid w:val="007C5D8E"/>
    <w:rsid w:val="007C60BF"/>
    <w:rsid w:val="007C6636"/>
    <w:rsid w:val="007C6A07"/>
    <w:rsid w:val="007C75A1"/>
    <w:rsid w:val="007C77A5"/>
    <w:rsid w:val="007D04E5"/>
    <w:rsid w:val="007D12F2"/>
    <w:rsid w:val="007D1D3C"/>
    <w:rsid w:val="007D46FB"/>
    <w:rsid w:val="007D5901"/>
    <w:rsid w:val="007D5AF2"/>
    <w:rsid w:val="007D7526"/>
    <w:rsid w:val="007D795E"/>
    <w:rsid w:val="007E4610"/>
    <w:rsid w:val="007E4715"/>
    <w:rsid w:val="007E505B"/>
    <w:rsid w:val="007E55FC"/>
    <w:rsid w:val="007E5693"/>
    <w:rsid w:val="007E59BE"/>
    <w:rsid w:val="007E5CFA"/>
    <w:rsid w:val="007E6183"/>
    <w:rsid w:val="007E6D3A"/>
    <w:rsid w:val="007E6F54"/>
    <w:rsid w:val="007E7091"/>
    <w:rsid w:val="007F16B7"/>
    <w:rsid w:val="007F568E"/>
    <w:rsid w:val="007F617B"/>
    <w:rsid w:val="007F78DB"/>
    <w:rsid w:val="0080128E"/>
    <w:rsid w:val="00802286"/>
    <w:rsid w:val="00803FAE"/>
    <w:rsid w:val="0080522C"/>
    <w:rsid w:val="00805BD0"/>
    <w:rsid w:val="0080605F"/>
    <w:rsid w:val="00807786"/>
    <w:rsid w:val="00811D8F"/>
    <w:rsid w:val="00811FCB"/>
    <w:rsid w:val="00812212"/>
    <w:rsid w:val="00813C20"/>
    <w:rsid w:val="0081427E"/>
    <w:rsid w:val="008158D6"/>
    <w:rsid w:val="00816DC6"/>
    <w:rsid w:val="00817196"/>
    <w:rsid w:val="008171EC"/>
    <w:rsid w:val="00817F7E"/>
    <w:rsid w:val="00820F30"/>
    <w:rsid w:val="008212AC"/>
    <w:rsid w:val="008235DB"/>
    <w:rsid w:val="00824A63"/>
    <w:rsid w:val="00824AB4"/>
    <w:rsid w:val="008252EB"/>
    <w:rsid w:val="00825C42"/>
    <w:rsid w:val="00825D25"/>
    <w:rsid w:val="00826058"/>
    <w:rsid w:val="00826DAD"/>
    <w:rsid w:val="00827D6F"/>
    <w:rsid w:val="008313F8"/>
    <w:rsid w:val="00831422"/>
    <w:rsid w:val="00831983"/>
    <w:rsid w:val="008319AF"/>
    <w:rsid w:val="00831C7C"/>
    <w:rsid w:val="0083332F"/>
    <w:rsid w:val="00836A89"/>
    <w:rsid w:val="008376AC"/>
    <w:rsid w:val="00840686"/>
    <w:rsid w:val="00842249"/>
    <w:rsid w:val="00842C4E"/>
    <w:rsid w:val="0084329D"/>
    <w:rsid w:val="008434F8"/>
    <w:rsid w:val="008439B2"/>
    <w:rsid w:val="008444E8"/>
    <w:rsid w:val="008448BA"/>
    <w:rsid w:val="00844E80"/>
    <w:rsid w:val="00845942"/>
    <w:rsid w:val="00846FE7"/>
    <w:rsid w:val="00854439"/>
    <w:rsid w:val="008546E8"/>
    <w:rsid w:val="00856911"/>
    <w:rsid w:val="0086561B"/>
    <w:rsid w:val="00865F90"/>
    <w:rsid w:val="00866B3F"/>
    <w:rsid w:val="008677FD"/>
    <w:rsid w:val="0087066A"/>
    <w:rsid w:val="008706D4"/>
    <w:rsid w:val="00870F8A"/>
    <w:rsid w:val="008719A4"/>
    <w:rsid w:val="00871D23"/>
    <w:rsid w:val="00874312"/>
    <w:rsid w:val="0087437C"/>
    <w:rsid w:val="008746DB"/>
    <w:rsid w:val="00874F65"/>
    <w:rsid w:val="00875CD7"/>
    <w:rsid w:val="00876B4D"/>
    <w:rsid w:val="00877444"/>
    <w:rsid w:val="00877F18"/>
    <w:rsid w:val="00885CB5"/>
    <w:rsid w:val="008875AE"/>
    <w:rsid w:val="008916C4"/>
    <w:rsid w:val="008919BC"/>
    <w:rsid w:val="00892691"/>
    <w:rsid w:val="008941E3"/>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483"/>
    <w:rsid w:val="008B120C"/>
    <w:rsid w:val="008B285E"/>
    <w:rsid w:val="008B51A0"/>
    <w:rsid w:val="008B592A"/>
    <w:rsid w:val="008B7454"/>
    <w:rsid w:val="008B7B5C"/>
    <w:rsid w:val="008C0C99"/>
    <w:rsid w:val="008C2017"/>
    <w:rsid w:val="008C2E1C"/>
    <w:rsid w:val="008C43A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477F"/>
    <w:rsid w:val="008F4EB4"/>
    <w:rsid w:val="009015DE"/>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31D"/>
    <w:rsid w:val="0092783E"/>
    <w:rsid w:val="00930B0E"/>
    <w:rsid w:val="00931BD9"/>
    <w:rsid w:val="0093250D"/>
    <w:rsid w:val="009368F3"/>
    <w:rsid w:val="00937258"/>
    <w:rsid w:val="00940448"/>
    <w:rsid w:val="00941513"/>
    <w:rsid w:val="00941636"/>
    <w:rsid w:val="00941FC8"/>
    <w:rsid w:val="00942BDD"/>
    <w:rsid w:val="00943742"/>
    <w:rsid w:val="009444C0"/>
    <w:rsid w:val="009445F9"/>
    <w:rsid w:val="00945C05"/>
    <w:rsid w:val="00946945"/>
    <w:rsid w:val="00947713"/>
    <w:rsid w:val="00950C80"/>
    <w:rsid w:val="00950DE7"/>
    <w:rsid w:val="0095159A"/>
    <w:rsid w:val="00952530"/>
    <w:rsid w:val="00953920"/>
    <w:rsid w:val="00953D47"/>
    <w:rsid w:val="009564BA"/>
    <w:rsid w:val="0095681E"/>
    <w:rsid w:val="009572D4"/>
    <w:rsid w:val="00961921"/>
    <w:rsid w:val="009636ED"/>
    <w:rsid w:val="0096430A"/>
    <w:rsid w:val="0096458B"/>
    <w:rsid w:val="00964C39"/>
    <w:rsid w:val="0096554B"/>
    <w:rsid w:val="0096584A"/>
    <w:rsid w:val="009661CB"/>
    <w:rsid w:val="00967461"/>
    <w:rsid w:val="00971E3D"/>
    <w:rsid w:val="00971F08"/>
    <w:rsid w:val="0097379D"/>
    <w:rsid w:val="00973B2E"/>
    <w:rsid w:val="00974D99"/>
    <w:rsid w:val="009756ED"/>
    <w:rsid w:val="0097603D"/>
    <w:rsid w:val="00976949"/>
    <w:rsid w:val="00980100"/>
    <w:rsid w:val="00980477"/>
    <w:rsid w:val="00980821"/>
    <w:rsid w:val="009815FE"/>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70DD"/>
    <w:rsid w:val="009A0FA6"/>
    <w:rsid w:val="009A0FBA"/>
    <w:rsid w:val="009A1601"/>
    <w:rsid w:val="009A3BB6"/>
    <w:rsid w:val="009A462D"/>
    <w:rsid w:val="009A49F2"/>
    <w:rsid w:val="009A4FC3"/>
    <w:rsid w:val="009A5763"/>
    <w:rsid w:val="009A5CBA"/>
    <w:rsid w:val="009B0467"/>
    <w:rsid w:val="009B1730"/>
    <w:rsid w:val="009B1F30"/>
    <w:rsid w:val="009B23BF"/>
    <w:rsid w:val="009B3799"/>
    <w:rsid w:val="009B3AC2"/>
    <w:rsid w:val="009B4DF4"/>
    <w:rsid w:val="009B564E"/>
    <w:rsid w:val="009B58F5"/>
    <w:rsid w:val="009B5D0D"/>
    <w:rsid w:val="009B7E87"/>
    <w:rsid w:val="009C0169"/>
    <w:rsid w:val="009C1288"/>
    <w:rsid w:val="009C1D02"/>
    <w:rsid w:val="009C403E"/>
    <w:rsid w:val="009C4304"/>
    <w:rsid w:val="009C6681"/>
    <w:rsid w:val="009D3D19"/>
    <w:rsid w:val="009D41DA"/>
    <w:rsid w:val="009D4FF0"/>
    <w:rsid w:val="009D571E"/>
    <w:rsid w:val="009D5A30"/>
    <w:rsid w:val="009D703C"/>
    <w:rsid w:val="009D709C"/>
    <w:rsid w:val="009D718F"/>
    <w:rsid w:val="009E035F"/>
    <w:rsid w:val="009E068F"/>
    <w:rsid w:val="009E1139"/>
    <w:rsid w:val="009E1423"/>
    <w:rsid w:val="009E14E0"/>
    <w:rsid w:val="009E35DB"/>
    <w:rsid w:val="009E47A3"/>
    <w:rsid w:val="009E5A5F"/>
    <w:rsid w:val="009F08F3"/>
    <w:rsid w:val="009F0FBC"/>
    <w:rsid w:val="009F2E00"/>
    <w:rsid w:val="009F2E34"/>
    <w:rsid w:val="009F344F"/>
    <w:rsid w:val="009F46D3"/>
    <w:rsid w:val="00A0016E"/>
    <w:rsid w:val="00A002F1"/>
    <w:rsid w:val="00A031D8"/>
    <w:rsid w:val="00A034F5"/>
    <w:rsid w:val="00A038D9"/>
    <w:rsid w:val="00A03F03"/>
    <w:rsid w:val="00A048A8"/>
    <w:rsid w:val="00A04F49"/>
    <w:rsid w:val="00A11E91"/>
    <w:rsid w:val="00A13E54"/>
    <w:rsid w:val="00A163EE"/>
    <w:rsid w:val="00A17AFC"/>
    <w:rsid w:val="00A17F63"/>
    <w:rsid w:val="00A2193B"/>
    <w:rsid w:val="00A2351A"/>
    <w:rsid w:val="00A246B3"/>
    <w:rsid w:val="00A264A9"/>
    <w:rsid w:val="00A26DCF"/>
    <w:rsid w:val="00A27785"/>
    <w:rsid w:val="00A30187"/>
    <w:rsid w:val="00A31609"/>
    <w:rsid w:val="00A31F02"/>
    <w:rsid w:val="00A32198"/>
    <w:rsid w:val="00A33331"/>
    <w:rsid w:val="00A3448A"/>
    <w:rsid w:val="00A34629"/>
    <w:rsid w:val="00A36297"/>
    <w:rsid w:val="00A40579"/>
    <w:rsid w:val="00A41E2B"/>
    <w:rsid w:val="00A436AF"/>
    <w:rsid w:val="00A45B74"/>
    <w:rsid w:val="00A46428"/>
    <w:rsid w:val="00A466BF"/>
    <w:rsid w:val="00A5044A"/>
    <w:rsid w:val="00A52E1D"/>
    <w:rsid w:val="00A53815"/>
    <w:rsid w:val="00A560F5"/>
    <w:rsid w:val="00A61499"/>
    <w:rsid w:val="00A6164D"/>
    <w:rsid w:val="00A62A77"/>
    <w:rsid w:val="00A62E7E"/>
    <w:rsid w:val="00A63483"/>
    <w:rsid w:val="00A643C2"/>
    <w:rsid w:val="00A657D7"/>
    <w:rsid w:val="00A660AC"/>
    <w:rsid w:val="00A67E6C"/>
    <w:rsid w:val="00A71167"/>
    <w:rsid w:val="00A71B2E"/>
    <w:rsid w:val="00A71B99"/>
    <w:rsid w:val="00A739D0"/>
    <w:rsid w:val="00A761D4"/>
    <w:rsid w:val="00A77895"/>
    <w:rsid w:val="00A77E4D"/>
    <w:rsid w:val="00A77EC4"/>
    <w:rsid w:val="00A80FF0"/>
    <w:rsid w:val="00A81565"/>
    <w:rsid w:val="00A81CF1"/>
    <w:rsid w:val="00A82DC7"/>
    <w:rsid w:val="00A84756"/>
    <w:rsid w:val="00A8476E"/>
    <w:rsid w:val="00A84A48"/>
    <w:rsid w:val="00A8501B"/>
    <w:rsid w:val="00A85C50"/>
    <w:rsid w:val="00A91166"/>
    <w:rsid w:val="00A923C4"/>
    <w:rsid w:val="00A92879"/>
    <w:rsid w:val="00A93668"/>
    <w:rsid w:val="00A9442A"/>
    <w:rsid w:val="00A966E5"/>
    <w:rsid w:val="00A97F02"/>
    <w:rsid w:val="00AA016F"/>
    <w:rsid w:val="00AA15EA"/>
    <w:rsid w:val="00AA1ED6"/>
    <w:rsid w:val="00AA3116"/>
    <w:rsid w:val="00AA51D6"/>
    <w:rsid w:val="00AA6C61"/>
    <w:rsid w:val="00AB0BC8"/>
    <w:rsid w:val="00AB11CA"/>
    <w:rsid w:val="00AB14D9"/>
    <w:rsid w:val="00AB4AB8"/>
    <w:rsid w:val="00AB655E"/>
    <w:rsid w:val="00AB6D3E"/>
    <w:rsid w:val="00AC007F"/>
    <w:rsid w:val="00AC19C6"/>
    <w:rsid w:val="00AC2ECD"/>
    <w:rsid w:val="00AC3119"/>
    <w:rsid w:val="00AC49FB"/>
    <w:rsid w:val="00AC5A10"/>
    <w:rsid w:val="00AC7A55"/>
    <w:rsid w:val="00AD0AA3"/>
    <w:rsid w:val="00AD1BED"/>
    <w:rsid w:val="00AD2D49"/>
    <w:rsid w:val="00AD2ED0"/>
    <w:rsid w:val="00AD3F94"/>
    <w:rsid w:val="00AD4A5A"/>
    <w:rsid w:val="00AD5242"/>
    <w:rsid w:val="00AD5A76"/>
    <w:rsid w:val="00AE1503"/>
    <w:rsid w:val="00AE1B73"/>
    <w:rsid w:val="00AE1E07"/>
    <w:rsid w:val="00AE2144"/>
    <w:rsid w:val="00AE27AC"/>
    <w:rsid w:val="00AE40E0"/>
    <w:rsid w:val="00AE4DBA"/>
    <w:rsid w:val="00AE4F07"/>
    <w:rsid w:val="00AE6325"/>
    <w:rsid w:val="00AF1C5D"/>
    <w:rsid w:val="00AF3BF7"/>
    <w:rsid w:val="00AF42D7"/>
    <w:rsid w:val="00AF64B9"/>
    <w:rsid w:val="00AF67D1"/>
    <w:rsid w:val="00B006FE"/>
    <w:rsid w:val="00B007CB"/>
    <w:rsid w:val="00B010DA"/>
    <w:rsid w:val="00B01507"/>
    <w:rsid w:val="00B026F9"/>
    <w:rsid w:val="00B02AA9"/>
    <w:rsid w:val="00B02FA3"/>
    <w:rsid w:val="00B04B65"/>
    <w:rsid w:val="00B05084"/>
    <w:rsid w:val="00B06319"/>
    <w:rsid w:val="00B06AD2"/>
    <w:rsid w:val="00B07BF2"/>
    <w:rsid w:val="00B121F3"/>
    <w:rsid w:val="00B14616"/>
    <w:rsid w:val="00B1550A"/>
    <w:rsid w:val="00B157F9"/>
    <w:rsid w:val="00B20256"/>
    <w:rsid w:val="00B20B84"/>
    <w:rsid w:val="00B20D09"/>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4BD9"/>
    <w:rsid w:val="00B45A52"/>
    <w:rsid w:val="00B46175"/>
    <w:rsid w:val="00B46A82"/>
    <w:rsid w:val="00B51C96"/>
    <w:rsid w:val="00B51CB8"/>
    <w:rsid w:val="00B51D79"/>
    <w:rsid w:val="00B520AB"/>
    <w:rsid w:val="00B548B7"/>
    <w:rsid w:val="00B575E5"/>
    <w:rsid w:val="00B57B16"/>
    <w:rsid w:val="00B60228"/>
    <w:rsid w:val="00B63AE3"/>
    <w:rsid w:val="00B642EA"/>
    <w:rsid w:val="00B664C7"/>
    <w:rsid w:val="00B67AB7"/>
    <w:rsid w:val="00B705B3"/>
    <w:rsid w:val="00B70D91"/>
    <w:rsid w:val="00B739F6"/>
    <w:rsid w:val="00B75956"/>
    <w:rsid w:val="00B775C9"/>
    <w:rsid w:val="00B81675"/>
    <w:rsid w:val="00B81A6C"/>
    <w:rsid w:val="00B83688"/>
    <w:rsid w:val="00B8539F"/>
    <w:rsid w:val="00B856D5"/>
    <w:rsid w:val="00B85DE5"/>
    <w:rsid w:val="00B87C1A"/>
    <w:rsid w:val="00B90F73"/>
    <w:rsid w:val="00B9356B"/>
    <w:rsid w:val="00B93B59"/>
    <w:rsid w:val="00B9406A"/>
    <w:rsid w:val="00B94A13"/>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24D"/>
    <w:rsid w:val="00BB5D02"/>
    <w:rsid w:val="00BC03A5"/>
    <w:rsid w:val="00BC058F"/>
    <w:rsid w:val="00BC0FDC"/>
    <w:rsid w:val="00BC115E"/>
    <w:rsid w:val="00BC1781"/>
    <w:rsid w:val="00BC3053"/>
    <w:rsid w:val="00BC3886"/>
    <w:rsid w:val="00BC3D78"/>
    <w:rsid w:val="00BC4D2E"/>
    <w:rsid w:val="00BC58BD"/>
    <w:rsid w:val="00BC6D0A"/>
    <w:rsid w:val="00BC6FF0"/>
    <w:rsid w:val="00BD368E"/>
    <w:rsid w:val="00BD4244"/>
    <w:rsid w:val="00BD48AC"/>
    <w:rsid w:val="00BD5F1A"/>
    <w:rsid w:val="00BD785B"/>
    <w:rsid w:val="00BD7E30"/>
    <w:rsid w:val="00BE045A"/>
    <w:rsid w:val="00BE1234"/>
    <w:rsid w:val="00BE151F"/>
    <w:rsid w:val="00BE2FA6"/>
    <w:rsid w:val="00BE333F"/>
    <w:rsid w:val="00BE49E0"/>
    <w:rsid w:val="00BE6B91"/>
    <w:rsid w:val="00BE7406"/>
    <w:rsid w:val="00BE7603"/>
    <w:rsid w:val="00BF03EF"/>
    <w:rsid w:val="00BF078F"/>
    <w:rsid w:val="00BF07C5"/>
    <w:rsid w:val="00BF3279"/>
    <w:rsid w:val="00BF468D"/>
    <w:rsid w:val="00BF5E3B"/>
    <w:rsid w:val="00BF74C7"/>
    <w:rsid w:val="00C015F1"/>
    <w:rsid w:val="00C01F33"/>
    <w:rsid w:val="00C02CC6"/>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1866"/>
    <w:rsid w:val="00C279B5"/>
    <w:rsid w:val="00C27C45"/>
    <w:rsid w:val="00C30F35"/>
    <w:rsid w:val="00C3136B"/>
    <w:rsid w:val="00C31BEC"/>
    <w:rsid w:val="00C32906"/>
    <w:rsid w:val="00C3328B"/>
    <w:rsid w:val="00C36C3F"/>
    <w:rsid w:val="00C3719D"/>
    <w:rsid w:val="00C37CB2"/>
    <w:rsid w:val="00C40D65"/>
    <w:rsid w:val="00C40F8B"/>
    <w:rsid w:val="00C430CE"/>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198"/>
    <w:rsid w:val="00C70697"/>
    <w:rsid w:val="00C72093"/>
    <w:rsid w:val="00C72EF4"/>
    <w:rsid w:val="00C73E89"/>
    <w:rsid w:val="00C744FE"/>
    <w:rsid w:val="00C74EAD"/>
    <w:rsid w:val="00C75224"/>
    <w:rsid w:val="00C75D2F"/>
    <w:rsid w:val="00C76186"/>
    <w:rsid w:val="00C767BE"/>
    <w:rsid w:val="00C76E3C"/>
    <w:rsid w:val="00C770C1"/>
    <w:rsid w:val="00C81568"/>
    <w:rsid w:val="00C84B4F"/>
    <w:rsid w:val="00C85B13"/>
    <w:rsid w:val="00C86D45"/>
    <w:rsid w:val="00C875E7"/>
    <w:rsid w:val="00C9027A"/>
    <w:rsid w:val="00C9068E"/>
    <w:rsid w:val="00C93814"/>
    <w:rsid w:val="00C93C4B"/>
    <w:rsid w:val="00C944AB"/>
    <w:rsid w:val="00C95742"/>
    <w:rsid w:val="00C95B40"/>
    <w:rsid w:val="00C95D74"/>
    <w:rsid w:val="00CA0B16"/>
    <w:rsid w:val="00CA0E61"/>
    <w:rsid w:val="00CA18EE"/>
    <w:rsid w:val="00CA1ED8"/>
    <w:rsid w:val="00CA2257"/>
    <w:rsid w:val="00CA70BB"/>
    <w:rsid w:val="00CB1F63"/>
    <w:rsid w:val="00CB3EDD"/>
    <w:rsid w:val="00CB672B"/>
    <w:rsid w:val="00CB6B4B"/>
    <w:rsid w:val="00CB7170"/>
    <w:rsid w:val="00CB7EE1"/>
    <w:rsid w:val="00CC040E"/>
    <w:rsid w:val="00CC111F"/>
    <w:rsid w:val="00CC1CF8"/>
    <w:rsid w:val="00CC2011"/>
    <w:rsid w:val="00CC218F"/>
    <w:rsid w:val="00CC21EC"/>
    <w:rsid w:val="00CC3EA0"/>
    <w:rsid w:val="00CC5C18"/>
    <w:rsid w:val="00CC7B45"/>
    <w:rsid w:val="00CC7E06"/>
    <w:rsid w:val="00CD002F"/>
    <w:rsid w:val="00CD1152"/>
    <w:rsid w:val="00CD1188"/>
    <w:rsid w:val="00CD1E94"/>
    <w:rsid w:val="00CD2A3E"/>
    <w:rsid w:val="00CD2ED1"/>
    <w:rsid w:val="00CD337B"/>
    <w:rsid w:val="00CD567B"/>
    <w:rsid w:val="00CD6AB0"/>
    <w:rsid w:val="00CE0424"/>
    <w:rsid w:val="00CE0BF5"/>
    <w:rsid w:val="00CE3972"/>
    <w:rsid w:val="00CE4B27"/>
    <w:rsid w:val="00CE6678"/>
    <w:rsid w:val="00CE6BA9"/>
    <w:rsid w:val="00CE7561"/>
    <w:rsid w:val="00CF1354"/>
    <w:rsid w:val="00CF1639"/>
    <w:rsid w:val="00CF1822"/>
    <w:rsid w:val="00CF1E6B"/>
    <w:rsid w:val="00CF3957"/>
    <w:rsid w:val="00CF3A9D"/>
    <w:rsid w:val="00CF3B1F"/>
    <w:rsid w:val="00CF3BF6"/>
    <w:rsid w:val="00CF4038"/>
    <w:rsid w:val="00CF625B"/>
    <w:rsid w:val="00CF687E"/>
    <w:rsid w:val="00CF6E99"/>
    <w:rsid w:val="00CF76AF"/>
    <w:rsid w:val="00CF7B38"/>
    <w:rsid w:val="00D020F8"/>
    <w:rsid w:val="00D03490"/>
    <w:rsid w:val="00D0349B"/>
    <w:rsid w:val="00D06022"/>
    <w:rsid w:val="00D068E5"/>
    <w:rsid w:val="00D07BCC"/>
    <w:rsid w:val="00D10249"/>
    <w:rsid w:val="00D11405"/>
    <w:rsid w:val="00D115C3"/>
    <w:rsid w:val="00D11897"/>
    <w:rsid w:val="00D11F26"/>
    <w:rsid w:val="00D13013"/>
    <w:rsid w:val="00D13135"/>
    <w:rsid w:val="00D13380"/>
    <w:rsid w:val="00D13E4E"/>
    <w:rsid w:val="00D14E67"/>
    <w:rsid w:val="00D162E0"/>
    <w:rsid w:val="00D20BF7"/>
    <w:rsid w:val="00D239A7"/>
    <w:rsid w:val="00D23F47"/>
    <w:rsid w:val="00D25309"/>
    <w:rsid w:val="00D26CDD"/>
    <w:rsid w:val="00D331D4"/>
    <w:rsid w:val="00D33254"/>
    <w:rsid w:val="00D33BE9"/>
    <w:rsid w:val="00D34E0D"/>
    <w:rsid w:val="00D354C8"/>
    <w:rsid w:val="00D355DB"/>
    <w:rsid w:val="00D36D96"/>
    <w:rsid w:val="00D36E71"/>
    <w:rsid w:val="00D37D87"/>
    <w:rsid w:val="00D40B33"/>
    <w:rsid w:val="00D40C4F"/>
    <w:rsid w:val="00D4100A"/>
    <w:rsid w:val="00D4317E"/>
    <w:rsid w:val="00D4318F"/>
    <w:rsid w:val="00D436F7"/>
    <w:rsid w:val="00D438BF"/>
    <w:rsid w:val="00D43CA5"/>
    <w:rsid w:val="00D440F8"/>
    <w:rsid w:val="00D44F28"/>
    <w:rsid w:val="00D4787A"/>
    <w:rsid w:val="00D47A9E"/>
    <w:rsid w:val="00D50658"/>
    <w:rsid w:val="00D52023"/>
    <w:rsid w:val="00D546FF"/>
    <w:rsid w:val="00D552A0"/>
    <w:rsid w:val="00D555CB"/>
    <w:rsid w:val="00D55AD5"/>
    <w:rsid w:val="00D55F18"/>
    <w:rsid w:val="00D564D4"/>
    <w:rsid w:val="00D56FCB"/>
    <w:rsid w:val="00D576CA"/>
    <w:rsid w:val="00D61AF5"/>
    <w:rsid w:val="00D623D2"/>
    <w:rsid w:val="00D652B5"/>
    <w:rsid w:val="00D66155"/>
    <w:rsid w:val="00D66BB5"/>
    <w:rsid w:val="00D708B0"/>
    <w:rsid w:val="00D71402"/>
    <w:rsid w:val="00D72307"/>
    <w:rsid w:val="00D72AD8"/>
    <w:rsid w:val="00D72E98"/>
    <w:rsid w:val="00D75019"/>
    <w:rsid w:val="00D75612"/>
    <w:rsid w:val="00D765BB"/>
    <w:rsid w:val="00D77196"/>
    <w:rsid w:val="00D77B1D"/>
    <w:rsid w:val="00D8021F"/>
    <w:rsid w:val="00D80383"/>
    <w:rsid w:val="00D823C6"/>
    <w:rsid w:val="00D8327F"/>
    <w:rsid w:val="00D83977"/>
    <w:rsid w:val="00D842AC"/>
    <w:rsid w:val="00D86CA3"/>
    <w:rsid w:val="00D871CE"/>
    <w:rsid w:val="00D90EF6"/>
    <w:rsid w:val="00D9196D"/>
    <w:rsid w:val="00D91DE5"/>
    <w:rsid w:val="00D91ED6"/>
    <w:rsid w:val="00D92982"/>
    <w:rsid w:val="00D92BEE"/>
    <w:rsid w:val="00D942F7"/>
    <w:rsid w:val="00D96EBC"/>
    <w:rsid w:val="00D96ECD"/>
    <w:rsid w:val="00D975D0"/>
    <w:rsid w:val="00DA2206"/>
    <w:rsid w:val="00DA305E"/>
    <w:rsid w:val="00DA5417"/>
    <w:rsid w:val="00DA56E8"/>
    <w:rsid w:val="00DA57D0"/>
    <w:rsid w:val="00DB03D2"/>
    <w:rsid w:val="00DB0A9F"/>
    <w:rsid w:val="00DB3597"/>
    <w:rsid w:val="00DB377D"/>
    <w:rsid w:val="00DB516E"/>
    <w:rsid w:val="00DB7444"/>
    <w:rsid w:val="00DC1019"/>
    <w:rsid w:val="00DC2298"/>
    <w:rsid w:val="00DC2D36"/>
    <w:rsid w:val="00DC4521"/>
    <w:rsid w:val="00DC53EF"/>
    <w:rsid w:val="00DC70ED"/>
    <w:rsid w:val="00DD15D4"/>
    <w:rsid w:val="00DD2EFE"/>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27AB"/>
    <w:rsid w:val="00DF37A0"/>
    <w:rsid w:val="00DF53D0"/>
    <w:rsid w:val="00DF7EE7"/>
    <w:rsid w:val="00E0111A"/>
    <w:rsid w:val="00E01C92"/>
    <w:rsid w:val="00E02045"/>
    <w:rsid w:val="00E04C85"/>
    <w:rsid w:val="00E05DAC"/>
    <w:rsid w:val="00E070FC"/>
    <w:rsid w:val="00E1039B"/>
    <w:rsid w:val="00E110E7"/>
    <w:rsid w:val="00E11B20"/>
    <w:rsid w:val="00E122FB"/>
    <w:rsid w:val="00E13426"/>
    <w:rsid w:val="00E1777C"/>
    <w:rsid w:val="00E17FA2"/>
    <w:rsid w:val="00E2105E"/>
    <w:rsid w:val="00E2223E"/>
    <w:rsid w:val="00E22330"/>
    <w:rsid w:val="00E25276"/>
    <w:rsid w:val="00E30B5A"/>
    <w:rsid w:val="00E3123D"/>
    <w:rsid w:val="00E31451"/>
    <w:rsid w:val="00E31461"/>
    <w:rsid w:val="00E31A56"/>
    <w:rsid w:val="00E31D43"/>
    <w:rsid w:val="00E32608"/>
    <w:rsid w:val="00E34188"/>
    <w:rsid w:val="00E34B6E"/>
    <w:rsid w:val="00E35559"/>
    <w:rsid w:val="00E3723A"/>
    <w:rsid w:val="00E37860"/>
    <w:rsid w:val="00E379D1"/>
    <w:rsid w:val="00E379E4"/>
    <w:rsid w:val="00E37F53"/>
    <w:rsid w:val="00E43AA7"/>
    <w:rsid w:val="00E44504"/>
    <w:rsid w:val="00E446F1"/>
    <w:rsid w:val="00E450E5"/>
    <w:rsid w:val="00E466B6"/>
    <w:rsid w:val="00E46886"/>
    <w:rsid w:val="00E476BF"/>
    <w:rsid w:val="00E47A56"/>
    <w:rsid w:val="00E47AEF"/>
    <w:rsid w:val="00E5043D"/>
    <w:rsid w:val="00E525AF"/>
    <w:rsid w:val="00E53B75"/>
    <w:rsid w:val="00E53F41"/>
    <w:rsid w:val="00E54E3B"/>
    <w:rsid w:val="00E57565"/>
    <w:rsid w:val="00E631C1"/>
    <w:rsid w:val="00E63261"/>
    <w:rsid w:val="00E63838"/>
    <w:rsid w:val="00E64434"/>
    <w:rsid w:val="00E64B5A"/>
    <w:rsid w:val="00E66FF0"/>
    <w:rsid w:val="00E67C51"/>
    <w:rsid w:val="00E72EFC"/>
    <w:rsid w:val="00E758EC"/>
    <w:rsid w:val="00E76119"/>
    <w:rsid w:val="00E8234C"/>
    <w:rsid w:val="00E83AA9"/>
    <w:rsid w:val="00E85928"/>
    <w:rsid w:val="00E85D88"/>
    <w:rsid w:val="00E86F64"/>
    <w:rsid w:val="00E87822"/>
    <w:rsid w:val="00E90395"/>
    <w:rsid w:val="00E90E49"/>
    <w:rsid w:val="00E917F9"/>
    <w:rsid w:val="00E9291C"/>
    <w:rsid w:val="00E93FFE"/>
    <w:rsid w:val="00E941E3"/>
    <w:rsid w:val="00E94268"/>
    <w:rsid w:val="00E94F8A"/>
    <w:rsid w:val="00E967E8"/>
    <w:rsid w:val="00EA0E07"/>
    <w:rsid w:val="00EA17BD"/>
    <w:rsid w:val="00EA32D9"/>
    <w:rsid w:val="00EA5A87"/>
    <w:rsid w:val="00EA5B07"/>
    <w:rsid w:val="00EA7A41"/>
    <w:rsid w:val="00EA7E4D"/>
    <w:rsid w:val="00EB077B"/>
    <w:rsid w:val="00EB3DC3"/>
    <w:rsid w:val="00EB4EA2"/>
    <w:rsid w:val="00EC12B3"/>
    <w:rsid w:val="00EC24D5"/>
    <w:rsid w:val="00EC25D1"/>
    <w:rsid w:val="00EC27C6"/>
    <w:rsid w:val="00EC32BD"/>
    <w:rsid w:val="00EC34CA"/>
    <w:rsid w:val="00EC3B30"/>
    <w:rsid w:val="00EC4207"/>
    <w:rsid w:val="00EC48EE"/>
    <w:rsid w:val="00EC5653"/>
    <w:rsid w:val="00EC6466"/>
    <w:rsid w:val="00EC71CE"/>
    <w:rsid w:val="00EC78C3"/>
    <w:rsid w:val="00ED1006"/>
    <w:rsid w:val="00ED1A42"/>
    <w:rsid w:val="00ED26D6"/>
    <w:rsid w:val="00ED36D9"/>
    <w:rsid w:val="00ED3BC3"/>
    <w:rsid w:val="00ED4392"/>
    <w:rsid w:val="00ED6983"/>
    <w:rsid w:val="00EE6223"/>
    <w:rsid w:val="00EE65C0"/>
    <w:rsid w:val="00EF18FE"/>
    <w:rsid w:val="00EF5787"/>
    <w:rsid w:val="00EF59A6"/>
    <w:rsid w:val="00EF60D0"/>
    <w:rsid w:val="00F0100A"/>
    <w:rsid w:val="00F01B7D"/>
    <w:rsid w:val="00F04638"/>
    <w:rsid w:val="00F0528D"/>
    <w:rsid w:val="00F06C67"/>
    <w:rsid w:val="00F06DFD"/>
    <w:rsid w:val="00F071D1"/>
    <w:rsid w:val="00F07244"/>
    <w:rsid w:val="00F074FC"/>
    <w:rsid w:val="00F07533"/>
    <w:rsid w:val="00F10629"/>
    <w:rsid w:val="00F10D61"/>
    <w:rsid w:val="00F11F22"/>
    <w:rsid w:val="00F1202C"/>
    <w:rsid w:val="00F15FA5"/>
    <w:rsid w:val="00F209B7"/>
    <w:rsid w:val="00F21C73"/>
    <w:rsid w:val="00F22C70"/>
    <w:rsid w:val="00F2376F"/>
    <w:rsid w:val="00F243D8"/>
    <w:rsid w:val="00F25419"/>
    <w:rsid w:val="00F272F9"/>
    <w:rsid w:val="00F274DA"/>
    <w:rsid w:val="00F30828"/>
    <w:rsid w:val="00F30C18"/>
    <w:rsid w:val="00F313D6"/>
    <w:rsid w:val="00F36B10"/>
    <w:rsid w:val="00F40463"/>
    <w:rsid w:val="00F40F0C"/>
    <w:rsid w:val="00F438B8"/>
    <w:rsid w:val="00F43C48"/>
    <w:rsid w:val="00F458AF"/>
    <w:rsid w:val="00F472B7"/>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4C2B"/>
    <w:rsid w:val="00F651BE"/>
    <w:rsid w:val="00F6766A"/>
    <w:rsid w:val="00F67F53"/>
    <w:rsid w:val="00F703BE"/>
    <w:rsid w:val="00F7080B"/>
    <w:rsid w:val="00F7168F"/>
    <w:rsid w:val="00F71D16"/>
    <w:rsid w:val="00F71F69"/>
    <w:rsid w:val="00F72B72"/>
    <w:rsid w:val="00F72F50"/>
    <w:rsid w:val="00F74BB9"/>
    <w:rsid w:val="00F75582"/>
    <w:rsid w:val="00F76EFA"/>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2782"/>
    <w:rsid w:val="00F92ACB"/>
    <w:rsid w:val="00F93AA9"/>
    <w:rsid w:val="00F96985"/>
    <w:rsid w:val="00F97838"/>
    <w:rsid w:val="00FA2BB3"/>
    <w:rsid w:val="00FA5335"/>
    <w:rsid w:val="00FA5D3A"/>
    <w:rsid w:val="00FA5D5A"/>
    <w:rsid w:val="00FA5EF2"/>
    <w:rsid w:val="00FA6D8C"/>
    <w:rsid w:val="00FB2C73"/>
    <w:rsid w:val="00FB2EC5"/>
    <w:rsid w:val="00FB4BA3"/>
    <w:rsid w:val="00FB4C80"/>
    <w:rsid w:val="00FB4CBC"/>
    <w:rsid w:val="00FB5D4A"/>
    <w:rsid w:val="00FB67B4"/>
    <w:rsid w:val="00FB6A6A"/>
    <w:rsid w:val="00FC1631"/>
    <w:rsid w:val="00FC3F78"/>
    <w:rsid w:val="00FC522E"/>
    <w:rsid w:val="00FC637D"/>
    <w:rsid w:val="00FC7429"/>
    <w:rsid w:val="00FD07F6"/>
    <w:rsid w:val="00FD1EC8"/>
    <w:rsid w:val="00FD254F"/>
    <w:rsid w:val="00FD47ED"/>
    <w:rsid w:val="00FD491C"/>
    <w:rsid w:val="00FD5E6B"/>
    <w:rsid w:val="00FD74DB"/>
    <w:rsid w:val="00FD7660"/>
    <w:rsid w:val="00FE0655"/>
    <w:rsid w:val="00FE07EC"/>
    <w:rsid w:val="00FE09E6"/>
    <w:rsid w:val="00FE143B"/>
    <w:rsid w:val="00FE2365"/>
    <w:rsid w:val="00FE37D7"/>
    <w:rsid w:val="00FE3F13"/>
    <w:rsid w:val="00FE4191"/>
    <w:rsid w:val="00FE4C7B"/>
    <w:rsid w:val="00FE64E2"/>
    <w:rsid w:val="00FE7336"/>
    <w:rsid w:val="00FE787C"/>
    <w:rsid w:val="00FF15C6"/>
    <w:rsid w:val="00FF347F"/>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qFormat="1"/>
    <w:lsdException w:name="Emphasis" w:qFormat="1"/>
    <w:lsdException w:name="Document Map" w:uiPriority="99"/>
    <w:lsdException w:name="HTML Code" w:uiPriority="99"/>
    <w:lsdException w:name="HTML Typewriter"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EC48EE"/>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0_e/Docs/R1-2001220.zip" TargetMode="External"/><Relationship Id="rId18" Type="http://schemas.openxmlformats.org/officeDocument/2006/relationships/image" Target="media/image2.emf"/><Relationship Id="rId26" Type="http://schemas.openxmlformats.org/officeDocument/2006/relationships/hyperlink" Target="http://www.3gpp.org/ftp/TSG_RAN/WG1_RL1/TSGR1_99/Docs/R1-1913684.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654.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0_e/Docs/R1-2001185.zip" TargetMode="External"/><Relationship Id="rId17" Type="http://schemas.openxmlformats.org/officeDocument/2006/relationships/oleObject" Target="embeddings/Microsoft_Visio_2003-2010_Drawing.vsd"/><Relationship Id="rId25" Type="http://schemas.openxmlformats.org/officeDocument/2006/relationships/hyperlink" Target="http://www.3gpp.org/ftp/TSG_RAN/WG1_RL1/TSGR1_99/Docs/R1-1913614.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www.3gpp.org/ftp/TSG_RAN/WG1_RL1/TSGR1_100b_e/Docs/R1-2002174.zip" TargetMode="External"/><Relationship Id="rId29" Type="http://schemas.openxmlformats.org/officeDocument/2006/relationships/hyperlink" Target="https://www.3gpp.org/ftp/tsg_ran/WG1_RL1/TSGR1_100_e/Docs/R1-20014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0_e/Docs/R1-2001056.zip" TargetMode="External"/><Relationship Id="rId24" Type="http://schemas.openxmlformats.org/officeDocument/2006/relationships/hyperlink" Target="http://www.3gpp.org/ftp/TSG_RAN/WG1_RL1/TSGR1_99/Docs/R1-1913613.zi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3gpp.org/ftp/TSG_RAN/WG1_RL1/TSGR1_100b_e/Docs/R1-2002174.zip" TargetMode="External"/><Relationship Id="rId23" Type="http://schemas.openxmlformats.org/officeDocument/2006/relationships/hyperlink" Target="http://www.3gpp.org/ftp/TSG_RAN/WG1_RL1/TSGR1_99/Docs/R1-1913612.zip" TargetMode="External"/><Relationship Id="rId28" Type="http://schemas.openxmlformats.org/officeDocument/2006/relationships/hyperlink" Target="https://www.3gpp.org/ftp/tsg_ran/WG1_RL1/TSGR1_100_e/Docs/R1-2001427.zip" TargetMode="External"/><Relationship Id="rId10" Type="http://schemas.openxmlformats.org/officeDocument/2006/relationships/endnotes" Target="endnotes.xml"/><Relationship Id="rId19" Type="http://schemas.openxmlformats.org/officeDocument/2006/relationships/oleObject" Target="embeddings/Microsoft_Visio_2003-2010_Drawing1.vsd"/><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0_e/Docs/R1-2001086.zip" TargetMode="External"/><Relationship Id="rId22" Type="http://schemas.openxmlformats.org/officeDocument/2006/relationships/hyperlink" Target="http://www.3gpp.org/ftp/TSG_RAN/WG1_RL1/TSGR1_99/Docs/R1-1913611.zip" TargetMode="External"/><Relationship Id="rId27" Type="http://schemas.openxmlformats.org/officeDocument/2006/relationships/hyperlink" Target="http://www.3gpp.org/ftp/TSG_RAN/WG1_RL1/TSGR1_99/Docs/R1-1913615.zip" TargetMode="External"/><Relationship Id="rId30" Type="http://schemas.openxmlformats.org/officeDocument/2006/relationships/hyperlink" Target="https://www.3gpp.org/ftp/tsg_ran/WG1_RL1/TSGR1_100b_e/Docs/R1-20025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3EB12099-E10E-4B7D-9902-8959921C7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0945C2-C2CE-4B98-9835-2F5DBC40D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5</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14213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Brian Classon</cp:lastModifiedBy>
  <cp:revision>4</cp:revision>
  <cp:lastPrinted>2008-01-31T07:09:00Z</cp:lastPrinted>
  <dcterms:created xsi:type="dcterms:W3CDTF">2020-04-21T22:08:00Z</dcterms:created>
  <dcterms:modified xsi:type="dcterms:W3CDTF">2020-04-21T23:01:00Z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0x01010040990417226E544CBA03C7FA15009975</vt:lpwstr>
  </property>
</Properties>
</file>