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8691A" w14:textId="04DF669D" w:rsidR="007C04EE" w:rsidRPr="007C04EE" w:rsidRDefault="007C04EE" w:rsidP="007C04EE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92190689"/>
      <w:bookmarkStart w:id="1" w:name="_Hlk22884984"/>
      <w:r w:rsidRPr="007C04EE">
        <w:rPr>
          <w:rFonts w:ascii="Arial" w:hAnsi="Arial" w:cs="Arial"/>
          <w:b/>
          <w:bCs/>
          <w:sz w:val="28"/>
        </w:rPr>
        <w:t>3GPP TSG RAN WG1 #100-e</w:t>
      </w:r>
      <w:r w:rsidRPr="007C04EE">
        <w:rPr>
          <w:rFonts w:ascii="Arial" w:hAnsi="Arial" w:cs="Arial"/>
          <w:b/>
          <w:bCs/>
          <w:sz w:val="28"/>
        </w:rPr>
        <w:tab/>
        <w:t>R1-20001</w:t>
      </w:r>
      <w:r>
        <w:rPr>
          <w:rFonts w:ascii="Arial" w:hAnsi="Arial" w:cs="Arial"/>
          <w:b/>
          <w:bCs/>
          <w:sz w:val="28"/>
        </w:rPr>
        <w:t>65</w:t>
      </w:r>
    </w:p>
    <w:p w14:paraId="1D5AAD3C" w14:textId="77777777" w:rsidR="007C04EE" w:rsidRDefault="007C04EE" w:rsidP="007C04EE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7C04EE">
        <w:rPr>
          <w:rFonts w:ascii="Arial" w:hAnsi="Arial" w:cs="Arial"/>
          <w:b/>
          <w:bCs/>
          <w:sz w:val="28"/>
        </w:rPr>
        <w:t>e-Meeting, February 24th – March 6th, 2020</w:t>
      </w:r>
    </w:p>
    <w:p w14:paraId="3AFB732C" w14:textId="77777777" w:rsidR="007C04EE" w:rsidRDefault="007C04EE" w:rsidP="007C04EE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6C158E0C" w14:textId="3AB48913" w:rsidR="008C2ACF" w:rsidRPr="007C04EE" w:rsidRDefault="008C2ACF" w:rsidP="007C04EE">
      <w:pPr>
        <w:tabs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7C04EE">
        <w:rPr>
          <w:rFonts w:ascii="Arial" w:hAnsi="Arial" w:cs="Arial"/>
          <w:b/>
          <w:bCs/>
          <w:sz w:val="24"/>
          <w:szCs w:val="24"/>
        </w:rPr>
        <w:t>3GPP TSG RAN WG1 #100</w:t>
      </w:r>
      <w:r w:rsidRPr="007C04EE">
        <w:rPr>
          <w:rFonts w:ascii="Arial" w:hAnsi="Arial" w:cs="Arial"/>
          <w:b/>
          <w:bCs/>
          <w:sz w:val="24"/>
          <w:szCs w:val="24"/>
        </w:rPr>
        <w:tab/>
        <w:t>R1-2000017</w:t>
      </w:r>
    </w:p>
    <w:p w14:paraId="11F754DA" w14:textId="77777777" w:rsidR="008C2ACF" w:rsidRPr="007C04EE" w:rsidRDefault="008C2ACF" w:rsidP="008C2AC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C04EE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7C04E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7C04E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7C04E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7C04E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87EF7A6" w14:textId="77777777" w:rsidR="008C2ACF" w:rsidRPr="00A44DC8" w:rsidRDefault="008C2ACF" w:rsidP="008C2ACF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59FF40F8" w14:textId="1A2E5597" w:rsidR="00C3636A" w:rsidRPr="007C04EE" w:rsidRDefault="00C3636A" w:rsidP="00C3636A">
      <w:pPr>
        <w:pStyle w:val="3GPPHeader"/>
        <w:spacing w:after="0"/>
        <w:rPr>
          <w:rFonts w:ascii="Arial" w:hAnsi="Arial" w:cs="Arial"/>
          <w:szCs w:val="24"/>
        </w:rPr>
      </w:pPr>
      <w:r w:rsidRPr="007C04EE">
        <w:rPr>
          <w:rFonts w:ascii="Arial" w:hAnsi="Arial" w:cs="Arial"/>
          <w:szCs w:val="24"/>
        </w:rPr>
        <w:t>3GPP TSG-RAN2 Meeting #10</w:t>
      </w:r>
      <w:r w:rsidR="00D05BF1" w:rsidRPr="007C04EE">
        <w:rPr>
          <w:rFonts w:ascii="Arial" w:hAnsi="Arial" w:cs="Arial"/>
          <w:szCs w:val="24"/>
        </w:rPr>
        <w:t>8</w:t>
      </w:r>
      <w:r w:rsidRPr="007C04EE">
        <w:rPr>
          <w:rFonts w:ascii="Arial" w:hAnsi="Arial" w:cs="Arial"/>
          <w:szCs w:val="24"/>
        </w:rPr>
        <w:tab/>
      </w:r>
      <w:r w:rsidR="00BB0182" w:rsidRPr="007C04EE">
        <w:rPr>
          <w:rFonts w:ascii="Arial" w:hAnsi="Arial" w:cs="Arial"/>
          <w:szCs w:val="24"/>
        </w:rPr>
        <w:t>R2-1916597</w:t>
      </w:r>
    </w:p>
    <w:bookmarkEnd w:id="0"/>
    <w:p w14:paraId="0081787E" w14:textId="3CCCA9EC" w:rsidR="00B05548" w:rsidRPr="007C04EE" w:rsidRDefault="00D05BF1" w:rsidP="00B05548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7C04EE">
        <w:rPr>
          <w:rFonts w:ascii="Arial" w:hAnsi="Arial" w:cs="Arial"/>
          <w:b/>
          <w:sz w:val="24"/>
          <w:szCs w:val="24"/>
        </w:rPr>
        <w:t xml:space="preserve">Reno, USA, 18-22 November </w:t>
      </w:r>
      <w:r w:rsidR="00B05548" w:rsidRPr="007C04EE">
        <w:rPr>
          <w:rFonts w:ascii="Arial" w:hAnsi="Arial" w:cs="Arial"/>
          <w:b/>
          <w:sz w:val="24"/>
          <w:szCs w:val="24"/>
        </w:rPr>
        <w:t>2019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2" w:name="_GoBack"/>
      <w:bookmarkEnd w:id="1"/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bookmarkEnd w:id="2"/>
    <w:p w14:paraId="2A79410F" w14:textId="00985955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BA7CA8">
        <w:rPr>
          <w:rFonts w:ascii="Arial" w:hAnsi="Arial" w:cs="Arial"/>
        </w:rPr>
        <w:t>secondary DRX group</w:t>
      </w:r>
    </w:p>
    <w:p w14:paraId="08F13847" w14:textId="60C1CBC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</w:p>
    <w:p w14:paraId="2908A3F5" w14:textId="7C31407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85A19">
        <w:rPr>
          <w:rFonts w:ascii="Arial" w:hAnsi="Arial" w:cs="Arial"/>
        </w:rPr>
        <w:t>TEI16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397A20E6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701A4" w:rsidRPr="00343EEA">
        <w:rPr>
          <w:rFonts w:ascii="Arial" w:hAnsi="Arial" w:cs="Arial"/>
          <w:bCs/>
        </w:rPr>
        <w:t xml:space="preserve">3GPP </w:t>
      </w:r>
      <w:r w:rsidR="00A701A4">
        <w:rPr>
          <w:rFonts w:ascii="Arial" w:hAnsi="Arial" w:cs="Arial"/>
          <w:bCs/>
        </w:rPr>
        <w:t>RAN WG2</w:t>
      </w:r>
    </w:p>
    <w:p w14:paraId="2C224155" w14:textId="1EF76B0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WG1</w:t>
      </w:r>
      <w:r w:rsidR="00172D17">
        <w:rPr>
          <w:rFonts w:ascii="Arial" w:hAnsi="Arial" w:cs="Arial"/>
          <w:bCs/>
        </w:rPr>
        <w:t xml:space="preserve">, </w:t>
      </w:r>
      <w:r w:rsidR="00172D17" w:rsidRPr="00343EEA">
        <w:rPr>
          <w:rFonts w:ascii="Arial" w:hAnsi="Arial" w:cs="Arial"/>
          <w:bCs/>
        </w:rPr>
        <w:t xml:space="preserve">3GPP </w:t>
      </w:r>
      <w:r w:rsidR="00172D17">
        <w:rPr>
          <w:rFonts w:ascii="Arial" w:hAnsi="Arial" w:cs="Arial"/>
          <w:bCs/>
        </w:rPr>
        <w:t>RAN WG4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7B94AB58" w14:textId="77777777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</w:rPr>
        <w:t>+46 107151936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4660E6" w14:textId="77784C9B" w:rsidR="00C869D0" w:rsidRDefault="00185118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a power saving </w:t>
      </w:r>
      <w:r w:rsidR="00095E74">
        <w:rPr>
          <w:rFonts w:ascii="Arial" w:hAnsi="Arial" w:cs="Arial"/>
        </w:rPr>
        <w:t xml:space="preserve">enhancement </w:t>
      </w:r>
      <w:r>
        <w:rPr>
          <w:rFonts w:ascii="Arial" w:hAnsi="Arial" w:cs="Arial"/>
        </w:rPr>
        <w:t xml:space="preserve">when </w:t>
      </w:r>
      <w:r w:rsidR="00581718">
        <w:rPr>
          <w:rFonts w:ascii="Arial" w:hAnsi="Arial" w:cs="Arial"/>
        </w:rPr>
        <w:t>both FR1 and FR2 cells are configured via Carrier Aggregation</w:t>
      </w:r>
      <w:r>
        <w:rPr>
          <w:rFonts w:ascii="Arial" w:hAnsi="Arial" w:cs="Arial"/>
        </w:rPr>
        <w:t xml:space="preserve">. </w:t>
      </w:r>
      <w:r w:rsidR="005B1363">
        <w:rPr>
          <w:rFonts w:ascii="Arial" w:hAnsi="Arial" w:cs="Arial"/>
        </w:rPr>
        <w:t>With this enhancement</w:t>
      </w:r>
      <w:r w:rsidR="00B06425">
        <w:rPr>
          <w:rFonts w:ascii="Arial" w:hAnsi="Arial" w:cs="Arial"/>
        </w:rPr>
        <w:t xml:space="preserve"> the FR2 cells </w:t>
      </w:r>
      <w:r w:rsidR="00797752">
        <w:rPr>
          <w:rFonts w:ascii="Arial" w:hAnsi="Arial" w:cs="Arial"/>
        </w:rPr>
        <w:t>can</w:t>
      </w:r>
      <w:r w:rsidR="00DD4B8A">
        <w:rPr>
          <w:rFonts w:ascii="Arial" w:hAnsi="Arial" w:cs="Arial"/>
        </w:rPr>
        <w:t xml:space="preserve"> be configured with a separate</w:t>
      </w:r>
      <w:r w:rsidR="00C869D0">
        <w:rPr>
          <w:rFonts w:ascii="Arial" w:hAnsi="Arial" w:cs="Arial"/>
        </w:rPr>
        <w:t xml:space="preserve"> (and shorter)</w:t>
      </w:r>
      <w:r w:rsidR="00DD4B8A">
        <w:rPr>
          <w:rFonts w:ascii="Arial" w:hAnsi="Arial" w:cs="Arial"/>
        </w:rPr>
        <w:t xml:space="preserve"> </w:t>
      </w:r>
      <w:r w:rsidR="00DD4B8A" w:rsidRPr="00250F73">
        <w:rPr>
          <w:rFonts w:ascii="Arial" w:hAnsi="Arial" w:cs="Arial"/>
          <w:i/>
        </w:rPr>
        <w:t>drx-InactivityTimer</w:t>
      </w:r>
      <w:r w:rsidR="00DD4B8A">
        <w:rPr>
          <w:rFonts w:ascii="Arial" w:hAnsi="Arial" w:cs="Arial"/>
        </w:rPr>
        <w:t xml:space="preserve"> and </w:t>
      </w:r>
      <w:r w:rsidR="00DD4B8A" w:rsidRPr="00250F73">
        <w:rPr>
          <w:rFonts w:ascii="Arial" w:hAnsi="Arial" w:cs="Arial"/>
          <w:i/>
        </w:rPr>
        <w:t>drx-OnDurationTimer</w:t>
      </w:r>
      <w:r w:rsidR="00C869D0">
        <w:rPr>
          <w:rFonts w:ascii="Arial" w:hAnsi="Arial" w:cs="Arial"/>
        </w:rPr>
        <w:t xml:space="preserve"> </w:t>
      </w:r>
      <w:r w:rsidR="0044288A">
        <w:rPr>
          <w:rFonts w:ascii="Arial" w:hAnsi="Arial" w:cs="Arial"/>
        </w:rPr>
        <w:t>compared to the FR1 cells</w:t>
      </w:r>
      <w:r w:rsidR="00797752">
        <w:rPr>
          <w:rFonts w:ascii="Arial" w:hAnsi="Arial" w:cs="Arial"/>
        </w:rPr>
        <w:t xml:space="preserve">. </w:t>
      </w:r>
      <w:r w:rsidR="00710651">
        <w:rPr>
          <w:rFonts w:ascii="Arial" w:hAnsi="Arial" w:cs="Arial"/>
        </w:rPr>
        <w:t>The</w:t>
      </w:r>
      <w:r w:rsidR="00683546">
        <w:rPr>
          <w:rFonts w:ascii="Arial" w:hAnsi="Arial" w:cs="Arial"/>
        </w:rPr>
        <w:t xml:space="preserve"> length of</w:t>
      </w:r>
      <w:r w:rsidR="00710651">
        <w:rPr>
          <w:rFonts w:ascii="Arial" w:hAnsi="Arial" w:cs="Arial"/>
        </w:rPr>
        <w:t xml:space="preserve"> Long</w:t>
      </w:r>
      <w:r w:rsidR="006561E5">
        <w:rPr>
          <w:rFonts w:ascii="Arial" w:hAnsi="Arial" w:cs="Arial"/>
        </w:rPr>
        <w:t xml:space="preserve"> DRX cycle and Short DRX cycle, if configured, are common for both FR1 and FR2. </w:t>
      </w:r>
      <w:r w:rsidR="00797752">
        <w:rPr>
          <w:rFonts w:ascii="Arial" w:hAnsi="Arial" w:cs="Arial"/>
        </w:rPr>
        <w:t>This enhancement</w:t>
      </w:r>
      <w:r w:rsidR="000E7284">
        <w:rPr>
          <w:rFonts w:ascii="Arial" w:hAnsi="Arial" w:cs="Arial"/>
        </w:rPr>
        <w:t xml:space="preserve"> enables</w:t>
      </w:r>
      <w:r w:rsidR="00B03E20">
        <w:rPr>
          <w:rFonts w:ascii="Arial" w:hAnsi="Arial" w:cs="Arial"/>
        </w:rPr>
        <w:t xml:space="preserve"> the</w:t>
      </w:r>
      <w:r w:rsidR="00C869D0">
        <w:rPr>
          <w:rFonts w:ascii="Arial" w:hAnsi="Arial" w:cs="Arial"/>
        </w:rPr>
        <w:t xml:space="preserve"> FR2 cells </w:t>
      </w:r>
      <w:r w:rsidR="0015474E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 xml:space="preserve">go </w:t>
      </w:r>
      <w:r w:rsidR="004143F1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>sleep</w:t>
      </w:r>
      <w:r w:rsidR="004143F1">
        <w:rPr>
          <w:rFonts w:ascii="Arial" w:hAnsi="Arial" w:cs="Arial"/>
        </w:rPr>
        <w:t xml:space="preserve"> more quickly</w:t>
      </w:r>
      <w:r w:rsidR="00C869D0">
        <w:rPr>
          <w:rFonts w:ascii="Arial" w:hAnsi="Arial" w:cs="Arial"/>
        </w:rPr>
        <w:t xml:space="preserve"> and </w:t>
      </w:r>
      <w:r w:rsidR="004143F1">
        <w:rPr>
          <w:rFonts w:ascii="Arial" w:hAnsi="Arial" w:cs="Arial"/>
        </w:rPr>
        <w:t xml:space="preserve">thereby </w:t>
      </w:r>
      <w:r w:rsidR="00C869D0">
        <w:rPr>
          <w:rFonts w:ascii="Arial" w:hAnsi="Arial" w:cs="Arial"/>
        </w:rPr>
        <w:t>reduce power consumption</w:t>
      </w:r>
      <w:r w:rsidR="003D74B3">
        <w:rPr>
          <w:rFonts w:ascii="Arial" w:hAnsi="Arial" w:cs="Arial"/>
        </w:rPr>
        <w:t xml:space="preserve"> as depicted below</w:t>
      </w:r>
      <w:r w:rsidR="00C869D0">
        <w:rPr>
          <w:rFonts w:ascii="Arial" w:hAnsi="Arial" w:cs="Arial"/>
        </w:rPr>
        <w:t xml:space="preserve">: </w:t>
      </w:r>
    </w:p>
    <w:p w14:paraId="715EB2AD" w14:textId="224E6BBB" w:rsidR="00B41807" w:rsidRDefault="0016157C" w:rsidP="00B41807">
      <w:pPr>
        <w:spacing w:after="12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6E5AB32" wp14:editId="473DA0CB">
            <wp:extent cx="4908550" cy="223629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2" t="23228" r="22954" b="18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977" cy="224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F73">
        <w:rPr>
          <w:rFonts w:ascii="Arial" w:hAnsi="Arial" w:cs="Arial"/>
        </w:rPr>
        <w:t xml:space="preserve"> </w:t>
      </w:r>
    </w:p>
    <w:p w14:paraId="3587B28F" w14:textId="3DFBCF04" w:rsidR="0016157C" w:rsidRDefault="001F4F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reached the following agreements: </w:t>
      </w:r>
    </w:p>
    <w:p w14:paraId="00419849" w14:textId="47FAC087" w:rsidR="00901B73" w:rsidRPr="00901B73" w:rsidRDefault="00901B73" w:rsidP="00901B73">
      <w:pPr>
        <w:pStyle w:val="Doc-text2"/>
        <w:rPr>
          <w:b/>
          <w:lang w:eastAsia="zh-CN"/>
        </w:rPr>
      </w:pPr>
      <w:bookmarkStart w:id="3" w:name="_Hlk25217911"/>
      <w:r w:rsidRPr="009761CC">
        <w:rPr>
          <w:b/>
          <w:lang w:eastAsia="zh-CN"/>
        </w:rPr>
        <w:t>Conditional on R1 acceptance</w:t>
      </w:r>
      <w:bookmarkEnd w:id="3"/>
      <w:r w:rsidRPr="009761CC">
        <w:rPr>
          <w:b/>
          <w:lang w:eastAsia="zh-CN"/>
        </w:rPr>
        <w:t xml:space="preserve">: </w:t>
      </w:r>
    </w:p>
    <w:p w14:paraId="7F2E2B17" w14:textId="77777777" w:rsidR="00DF1A6C" w:rsidRPr="00BB731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 w:rsidRPr="00BB731C">
        <w:rPr>
          <w:lang w:eastAsia="zh-CN"/>
        </w:rPr>
        <w:t xml:space="preserve">A separate </w:t>
      </w:r>
      <w:r w:rsidRPr="00BB731C">
        <w:rPr>
          <w:rFonts w:eastAsia="Times New Roman"/>
          <w:i/>
          <w:lang w:eastAsia="zh-CN"/>
        </w:rPr>
        <w:t>drx-InactivityTimer</w:t>
      </w:r>
      <w:r w:rsidRPr="00BB731C">
        <w:rPr>
          <w:rFonts w:eastAsia="Times New Roman"/>
          <w:lang w:eastAsia="zh-CN"/>
        </w:rPr>
        <w:t xml:space="preserve"> and </w:t>
      </w:r>
      <w:r w:rsidRPr="00BB731C">
        <w:rPr>
          <w:rFonts w:eastAsia="Times New Roman"/>
          <w:i/>
          <w:lang w:eastAsia="zh-CN"/>
        </w:rPr>
        <w:t>drx-onDurationTimer</w:t>
      </w:r>
      <w:r w:rsidRPr="00BB731C">
        <w:rPr>
          <w:lang w:eastAsia="zh-CN"/>
        </w:rPr>
        <w:t xml:space="preserve"> can be configured for the secondary DRX group</w:t>
      </w:r>
      <w:r>
        <w:rPr>
          <w:lang w:eastAsia="zh-CN"/>
        </w:rPr>
        <w:t>. R2 understands that this has zero or almost zero impact in R1 and R4</w:t>
      </w:r>
    </w:p>
    <w:p w14:paraId="29380B6A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T</w:t>
      </w:r>
      <w:r w:rsidRPr="00E47B0D">
        <w:rPr>
          <w:lang w:eastAsia="zh-CN"/>
        </w:rPr>
        <w:t xml:space="preserve">he </w:t>
      </w:r>
      <w:bookmarkStart w:id="4" w:name="_Hlk25216465"/>
      <w:r w:rsidRPr="00E47B0D">
        <w:rPr>
          <w:lang w:eastAsia="zh-CN"/>
        </w:rPr>
        <w:t>combination of cross-carrier scheduling and secondary DRX group is not support</w:t>
      </w:r>
      <w:bookmarkEnd w:id="4"/>
      <w:r w:rsidRPr="00E47B0D">
        <w:rPr>
          <w:lang w:eastAsia="zh-CN"/>
        </w:rPr>
        <w:t>ed</w:t>
      </w:r>
    </w:p>
    <w:p w14:paraId="661AB74C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FFS if timers for FR2 DRX configuration are shorter than timers for FR1 DRX configuration.</w:t>
      </w:r>
    </w:p>
    <w:p w14:paraId="29F6DDFD" w14:textId="77777777" w:rsidR="00DF1A6C" w:rsidRDefault="00DF1A6C" w:rsidP="00C44051">
      <w:pPr>
        <w:pStyle w:val="Agreement"/>
        <w:tabs>
          <w:tab w:val="clear" w:pos="1800"/>
          <w:tab w:val="num" w:pos="1619"/>
        </w:tabs>
        <w:spacing w:after="240"/>
        <w:ind w:left="1616" w:hanging="357"/>
        <w:rPr>
          <w:lang w:eastAsia="zh-CN"/>
        </w:rPr>
      </w:pPr>
      <w:r>
        <w:rPr>
          <w:lang w:eastAsia="zh-CN"/>
        </w:rPr>
        <w:t xml:space="preserve">The intention is to apply secondary DRX configuration to FR2 and existing DRX configuration to FR1 </w:t>
      </w:r>
    </w:p>
    <w:p w14:paraId="23B02A45" w14:textId="305D0648" w:rsidR="00DF1A6C" w:rsidRDefault="002457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RAN2 has the intention to </w:t>
      </w:r>
      <w:r w:rsidR="005B62BC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this enhancement </w:t>
      </w:r>
      <w:r w:rsidR="00BB3965">
        <w:rPr>
          <w:rFonts w:ascii="Arial" w:hAnsi="Arial" w:cs="Arial"/>
        </w:rPr>
        <w:t>under</w:t>
      </w:r>
      <w:r>
        <w:rPr>
          <w:rFonts w:ascii="Arial" w:hAnsi="Arial" w:cs="Arial"/>
        </w:rPr>
        <w:t xml:space="preserve"> TEI16</w:t>
      </w:r>
      <w:r w:rsidR="00AF332E">
        <w:rPr>
          <w:rFonts w:ascii="Arial" w:hAnsi="Arial" w:cs="Arial"/>
        </w:rPr>
        <w:t xml:space="preserve"> and would like to check that this has zero or very little impact</w:t>
      </w:r>
      <w:r w:rsidR="00F6036D">
        <w:rPr>
          <w:rFonts w:ascii="Arial" w:hAnsi="Arial" w:cs="Arial"/>
        </w:rPr>
        <w:t>s</w:t>
      </w:r>
      <w:r w:rsidR="00AF332E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.</w:t>
      </w:r>
    </w:p>
    <w:p w14:paraId="58F98A03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777777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RAN1</w:t>
      </w:r>
    </w:p>
    <w:p w14:paraId="51F8C962" w14:textId="100B4BF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634FB9">
        <w:rPr>
          <w:rFonts w:ascii="Arial" w:hAnsi="Arial" w:cs="Arial"/>
          <w:lang w:eastAsia="zh-CN"/>
        </w:rPr>
        <w:t xml:space="preserve">respectfully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RAN1 </w:t>
      </w:r>
      <w:r w:rsidR="00E806A2">
        <w:rPr>
          <w:rFonts w:ascii="Arial" w:hAnsi="Arial" w:cs="Arial"/>
          <w:lang w:eastAsia="zh-CN"/>
        </w:rPr>
        <w:t xml:space="preserve">to confirm there is no RAN1 impact, or </w:t>
      </w:r>
      <w:r w:rsidR="00670482">
        <w:rPr>
          <w:rFonts w:ascii="Arial" w:hAnsi="Arial" w:cs="Arial"/>
          <w:lang w:eastAsia="zh-CN"/>
        </w:rPr>
        <w:t>little</w:t>
      </w:r>
      <w:r w:rsidR="000C1C73">
        <w:rPr>
          <w:rFonts w:ascii="Arial" w:hAnsi="Arial" w:cs="Arial"/>
          <w:lang w:eastAsia="zh-CN"/>
        </w:rPr>
        <w:t xml:space="preserve"> </w:t>
      </w:r>
      <w:r w:rsidR="00E806A2">
        <w:rPr>
          <w:rFonts w:ascii="Arial" w:hAnsi="Arial" w:cs="Arial"/>
          <w:lang w:eastAsia="zh-CN"/>
        </w:rPr>
        <w:t xml:space="preserve">impact </w:t>
      </w:r>
      <w:r w:rsidR="000C1C73">
        <w:rPr>
          <w:rFonts w:ascii="Arial" w:hAnsi="Arial" w:cs="Arial"/>
          <w:lang w:eastAsia="zh-CN"/>
        </w:rPr>
        <w:t>that is</w:t>
      </w:r>
      <w:r w:rsidR="00E806A2">
        <w:rPr>
          <w:rFonts w:ascii="Arial" w:hAnsi="Arial" w:cs="Arial"/>
          <w:lang w:eastAsia="zh-CN"/>
        </w:rPr>
        <w:t xml:space="preserve"> acceptabl</w:t>
      </w:r>
      <w:r w:rsidR="005A4E36">
        <w:rPr>
          <w:rFonts w:ascii="Arial" w:hAnsi="Arial" w:cs="Arial"/>
          <w:lang w:eastAsia="zh-CN"/>
        </w:rPr>
        <w:t>e.</w:t>
      </w:r>
    </w:p>
    <w:p w14:paraId="6F806A9C" w14:textId="77777777" w:rsidR="00670482" w:rsidRDefault="00670482" w:rsidP="00F6036D">
      <w:pPr>
        <w:spacing w:after="120"/>
        <w:ind w:left="1985" w:hanging="1985"/>
        <w:jc w:val="both"/>
        <w:rPr>
          <w:rFonts w:ascii="Arial" w:hAnsi="Arial" w:cs="Arial"/>
          <w:b/>
        </w:rPr>
      </w:pPr>
    </w:p>
    <w:p w14:paraId="4AF91476" w14:textId="0D78D497" w:rsidR="00F6036D" w:rsidRDefault="00F6036D" w:rsidP="00F6036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RAN4</w:t>
      </w:r>
    </w:p>
    <w:p w14:paraId="5092C789" w14:textId="51059E75" w:rsidR="00F6036D" w:rsidRDefault="00F6036D" w:rsidP="00F6036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RAN4 to confirm there </w:t>
      </w:r>
      <w:r w:rsidR="00DB7C38">
        <w:rPr>
          <w:rFonts w:ascii="Arial" w:hAnsi="Arial" w:cs="Arial"/>
          <w:lang w:eastAsia="zh-CN"/>
        </w:rPr>
        <w:t xml:space="preserve">is no </w:t>
      </w:r>
      <w:r w:rsidR="00820F8B">
        <w:rPr>
          <w:rFonts w:ascii="Arial" w:hAnsi="Arial" w:cs="Arial"/>
          <w:lang w:eastAsia="zh-CN"/>
        </w:rPr>
        <w:t xml:space="preserve">RAN4 </w:t>
      </w:r>
      <w:r w:rsidR="00DB7C38">
        <w:rPr>
          <w:rFonts w:ascii="Arial" w:hAnsi="Arial" w:cs="Arial"/>
          <w:lang w:eastAsia="zh-CN"/>
        </w:rPr>
        <w:t>impact or</w:t>
      </w:r>
      <w:r w:rsidR="00820F8B">
        <w:rPr>
          <w:rFonts w:ascii="Arial" w:hAnsi="Arial" w:cs="Arial"/>
          <w:lang w:eastAsia="zh-CN"/>
        </w:rPr>
        <w:t xml:space="preserve"> little impact that is acceptable</w:t>
      </w:r>
      <w:r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ABAF456" w14:textId="2CB29C9D" w:rsidR="006F799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583391">
        <w:rPr>
          <w:rFonts w:ascii="Arial" w:hAnsi="Arial" w:cs="Arial"/>
          <w:lang w:eastAsia="zh-CN"/>
        </w:rPr>
        <w:t>9</w:t>
      </w:r>
      <w:r w:rsidR="0058339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24 - 28</w:t>
      </w:r>
      <w:r>
        <w:rPr>
          <w:rFonts w:ascii="Arial" w:hAnsi="Arial" w:cs="Arial"/>
          <w:lang w:eastAsia="zh-CN"/>
        </w:rPr>
        <w:t xml:space="preserve"> </w:t>
      </w:r>
      <w:r w:rsidR="008168A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20</w:t>
      </w:r>
      <w:r w:rsidR="008168A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Athens, Greece</w:t>
      </w:r>
    </w:p>
    <w:p w14:paraId="6D24DA8E" w14:textId="7AB22471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8D79DE">
        <w:rPr>
          <w:rFonts w:ascii="Arial" w:hAnsi="Arial" w:cs="Arial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 w:rsidR="008D79DE">
        <w:rPr>
          <w:rFonts w:ascii="Arial" w:hAnsi="Arial" w:cs="Arial"/>
          <w:lang w:eastAsia="zh-CN"/>
        </w:rPr>
        <w:t>20 – 24 April</w:t>
      </w:r>
      <w:r>
        <w:rPr>
          <w:rFonts w:ascii="Arial" w:hAnsi="Arial" w:cs="Arial"/>
          <w:lang w:eastAsia="zh-CN"/>
        </w:rPr>
        <w:t xml:space="preserve"> 20</w:t>
      </w:r>
      <w:r w:rsidR="008D79D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933C7">
        <w:rPr>
          <w:rFonts w:ascii="Arial" w:hAnsi="Arial" w:cs="Arial"/>
          <w:lang w:eastAsia="zh-CN"/>
        </w:rPr>
        <w:t>TBD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22908" w14:textId="77777777" w:rsidR="005D421F" w:rsidRDefault="005D421F" w:rsidP="00A0385F">
      <w:r>
        <w:separator/>
      </w:r>
    </w:p>
  </w:endnote>
  <w:endnote w:type="continuationSeparator" w:id="0">
    <w:p w14:paraId="2ED17C9F" w14:textId="77777777" w:rsidR="005D421F" w:rsidRDefault="005D421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18E6C" w14:textId="77777777" w:rsidR="005D421F" w:rsidRDefault="005D421F" w:rsidP="00A0385F">
      <w:r>
        <w:separator/>
      </w:r>
    </w:p>
  </w:footnote>
  <w:footnote w:type="continuationSeparator" w:id="0">
    <w:p w14:paraId="11BFF133" w14:textId="77777777" w:rsidR="005D421F" w:rsidRDefault="005D421F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3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08BD"/>
    <w:rsid w:val="00041456"/>
    <w:rsid w:val="00042445"/>
    <w:rsid w:val="00043127"/>
    <w:rsid w:val="00044F08"/>
    <w:rsid w:val="00046967"/>
    <w:rsid w:val="00052FC2"/>
    <w:rsid w:val="00054F5D"/>
    <w:rsid w:val="00084430"/>
    <w:rsid w:val="000869DC"/>
    <w:rsid w:val="00095E74"/>
    <w:rsid w:val="00097631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5474E"/>
    <w:rsid w:val="0016157C"/>
    <w:rsid w:val="00172D17"/>
    <w:rsid w:val="00175BEA"/>
    <w:rsid w:val="00185118"/>
    <w:rsid w:val="00190491"/>
    <w:rsid w:val="001B2E09"/>
    <w:rsid w:val="001C47DD"/>
    <w:rsid w:val="001D2B13"/>
    <w:rsid w:val="001F3993"/>
    <w:rsid w:val="001F4F0C"/>
    <w:rsid w:val="002179C9"/>
    <w:rsid w:val="002213D2"/>
    <w:rsid w:val="002227C7"/>
    <w:rsid w:val="0022433F"/>
    <w:rsid w:val="00230679"/>
    <w:rsid w:val="0024570C"/>
    <w:rsid w:val="00250F73"/>
    <w:rsid w:val="00260231"/>
    <w:rsid w:val="00262741"/>
    <w:rsid w:val="002630FA"/>
    <w:rsid w:val="00264BA9"/>
    <w:rsid w:val="00266DBB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367A"/>
    <w:rsid w:val="0033658F"/>
    <w:rsid w:val="003462F3"/>
    <w:rsid w:val="00373A3E"/>
    <w:rsid w:val="00384B2D"/>
    <w:rsid w:val="0039149C"/>
    <w:rsid w:val="003C2C4D"/>
    <w:rsid w:val="003C749E"/>
    <w:rsid w:val="003D74B3"/>
    <w:rsid w:val="003F5B0A"/>
    <w:rsid w:val="00400AFE"/>
    <w:rsid w:val="004022F4"/>
    <w:rsid w:val="004143F1"/>
    <w:rsid w:val="00414C06"/>
    <w:rsid w:val="00421F26"/>
    <w:rsid w:val="004320CC"/>
    <w:rsid w:val="0044288A"/>
    <w:rsid w:val="00443577"/>
    <w:rsid w:val="004517EC"/>
    <w:rsid w:val="004558C3"/>
    <w:rsid w:val="00460472"/>
    <w:rsid w:val="00470DCC"/>
    <w:rsid w:val="0047208B"/>
    <w:rsid w:val="0047251C"/>
    <w:rsid w:val="0048165E"/>
    <w:rsid w:val="004A6D5F"/>
    <w:rsid w:val="004A7D99"/>
    <w:rsid w:val="004B7D2F"/>
    <w:rsid w:val="004D40C0"/>
    <w:rsid w:val="004E1281"/>
    <w:rsid w:val="004E5FB6"/>
    <w:rsid w:val="004F306F"/>
    <w:rsid w:val="004F399F"/>
    <w:rsid w:val="004F5E9A"/>
    <w:rsid w:val="0051382C"/>
    <w:rsid w:val="00527284"/>
    <w:rsid w:val="00537236"/>
    <w:rsid w:val="00541168"/>
    <w:rsid w:val="00542918"/>
    <w:rsid w:val="00551C91"/>
    <w:rsid w:val="00554461"/>
    <w:rsid w:val="00562A58"/>
    <w:rsid w:val="00577C34"/>
    <w:rsid w:val="00581718"/>
    <w:rsid w:val="00583391"/>
    <w:rsid w:val="00583F61"/>
    <w:rsid w:val="005843BB"/>
    <w:rsid w:val="00590E18"/>
    <w:rsid w:val="00597606"/>
    <w:rsid w:val="005A033E"/>
    <w:rsid w:val="005A399E"/>
    <w:rsid w:val="005A3A3F"/>
    <w:rsid w:val="005A4E36"/>
    <w:rsid w:val="005B1363"/>
    <w:rsid w:val="005B62BC"/>
    <w:rsid w:val="005C148A"/>
    <w:rsid w:val="005D1EB5"/>
    <w:rsid w:val="005D421F"/>
    <w:rsid w:val="005D59CE"/>
    <w:rsid w:val="005D6CE6"/>
    <w:rsid w:val="005E2E1E"/>
    <w:rsid w:val="005E7270"/>
    <w:rsid w:val="00600921"/>
    <w:rsid w:val="00604DC6"/>
    <w:rsid w:val="0063262B"/>
    <w:rsid w:val="00634FB9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92DA9"/>
    <w:rsid w:val="006A3DEE"/>
    <w:rsid w:val="006A7F38"/>
    <w:rsid w:val="006B27BE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40AB0"/>
    <w:rsid w:val="00745C31"/>
    <w:rsid w:val="007461D1"/>
    <w:rsid w:val="0076468F"/>
    <w:rsid w:val="007849AA"/>
    <w:rsid w:val="00792418"/>
    <w:rsid w:val="00793FDC"/>
    <w:rsid w:val="00797752"/>
    <w:rsid w:val="007A0188"/>
    <w:rsid w:val="007A57BD"/>
    <w:rsid w:val="007B116B"/>
    <w:rsid w:val="007B6A10"/>
    <w:rsid w:val="007C04EE"/>
    <w:rsid w:val="007C0DE5"/>
    <w:rsid w:val="007D1408"/>
    <w:rsid w:val="007D48AF"/>
    <w:rsid w:val="007E49A2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933C7"/>
    <w:rsid w:val="00893A20"/>
    <w:rsid w:val="00893BCD"/>
    <w:rsid w:val="008952B0"/>
    <w:rsid w:val="00895992"/>
    <w:rsid w:val="008C003F"/>
    <w:rsid w:val="008C2ACF"/>
    <w:rsid w:val="008C7469"/>
    <w:rsid w:val="008C7AB3"/>
    <w:rsid w:val="008D1242"/>
    <w:rsid w:val="008D57B8"/>
    <w:rsid w:val="008D79DE"/>
    <w:rsid w:val="00901B73"/>
    <w:rsid w:val="00935388"/>
    <w:rsid w:val="00935471"/>
    <w:rsid w:val="00942282"/>
    <w:rsid w:val="009453B7"/>
    <w:rsid w:val="00953382"/>
    <w:rsid w:val="0095456F"/>
    <w:rsid w:val="00964599"/>
    <w:rsid w:val="00970A79"/>
    <w:rsid w:val="00972275"/>
    <w:rsid w:val="00990806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01A4"/>
    <w:rsid w:val="00A77FD4"/>
    <w:rsid w:val="00A84F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F332E"/>
    <w:rsid w:val="00AF39C6"/>
    <w:rsid w:val="00B01B9E"/>
    <w:rsid w:val="00B03E20"/>
    <w:rsid w:val="00B05548"/>
    <w:rsid w:val="00B06425"/>
    <w:rsid w:val="00B17C24"/>
    <w:rsid w:val="00B3340D"/>
    <w:rsid w:val="00B41807"/>
    <w:rsid w:val="00B420FD"/>
    <w:rsid w:val="00B423C1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A7CA8"/>
    <w:rsid w:val="00BB0182"/>
    <w:rsid w:val="00BB3965"/>
    <w:rsid w:val="00BB7F2C"/>
    <w:rsid w:val="00BC2E05"/>
    <w:rsid w:val="00BD3CB8"/>
    <w:rsid w:val="00BD3D11"/>
    <w:rsid w:val="00BD40D1"/>
    <w:rsid w:val="00C00D99"/>
    <w:rsid w:val="00C023ED"/>
    <w:rsid w:val="00C10171"/>
    <w:rsid w:val="00C3636A"/>
    <w:rsid w:val="00C44051"/>
    <w:rsid w:val="00C51444"/>
    <w:rsid w:val="00C6191A"/>
    <w:rsid w:val="00C626AA"/>
    <w:rsid w:val="00C869D0"/>
    <w:rsid w:val="00C87BBC"/>
    <w:rsid w:val="00CA7F2C"/>
    <w:rsid w:val="00CC2501"/>
    <w:rsid w:val="00CC4E91"/>
    <w:rsid w:val="00CC58B8"/>
    <w:rsid w:val="00CC7246"/>
    <w:rsid w:val="00CD1BD9"/>
    <w:rsid w:val="00CD622B"/>
    <w:rsid w:val="00CE574D"/>
    <w:rsid w:val="00CF3042"/>
    <w:rsid w:val="00D05BF1"/>
    <w:rsid w:val="00D22BA5"/>
    <w:rsid w:val="00D33394"/>
    <w:rsid w:val="00D44546"/>
    <w:rsid w:val="00D4682B"/>
    <w:rsid w:val="00D51E6A"/>
    <w:rsid w:val="00D606E9"/>
    <w:rsid w:val="00D65C62"/>
    <w:rsid w:val="00D85A19"/>
    <w:rsid w:val="00D95883"/>
    <w:rsid w:val="00DA6E56"/>
    <w:rsid w:val="00DB3554"/>
    <w:rsid w:val="00DB37D8"/>
    <w:rsid w:val="00DB7C38"/>
    <w:rsid w:val="00DD4B8A"/>
    <w:rsid w:val="00DD77FC"/>
    <w:rsid w:val="00DE7CFD"/>
    <w:rsid w:val="00DF1A6C"/>
    <w:rsid w:val="00E25394"/>
    <w:rsid w:val="00E3231B"/>
    <w:rsid w:val="00E330C9"/>
    <w:rsid w:val="00E33608"/>
    <w:rsid w:val="00E402F6"/>
    <w:rsid w:val="00E440DD"/>
    <w:rsid w:val="00E6658A"/>
    <w:rsid w:val="00E67E2D"/>
    <w:rsid w:val="00E748F4"/>
    <w:rsid w:val="00E7722B"/>
    <w:rsid w:val="00E7744D"/>
    <w:rsid w:val="00E806A2"/>
    <w:rsid w:val="00EA0F07"/>
    <w:rsid w:val="00EB1670"/>
    <w:rsid w:val="00ED024F"/>
    <w:rsid w:val="00EE2CA2"/>
    <w:rsid w:val="00EE3FDC"/>
    <w:rsid w:val="00EE4C9E"/>
    <w:rsid w:val="00EF466B"/>
    <w:rsid w:val="00F058F8"/>
    <w:rsid w:val="00F201E9"/>
    <w:rsid w:val="00F23CB4"/>
    <w:rsid w:val="00F2757D"/>
    <w:rsid w:val="00F344F5"/>
    <w:rsid w:val="00F35473"/>
    <w:rsid w:val="00F36738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MCC:</cp:lastModifiedBy>
  <cp:revision>4</cp:revision>
  <cp:lastPrinted>2002-04-23T07:10:00Z</cp:lastPrinted>
  <dcterms:created xsi:type="dcterms:W3CDTF">2019-11-23T01:33:00Z</dcterms:created>
  <dcterms:modified xsi:type="dcterms:W3CDTF">2020-02-06T14:22:00Z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