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89EA" w14:textId="481538E2" w:rsidR="00A03A09" w:rsidRPr="00D74B92" w:rsidRDefault="00A03A09" w:rsidP="00A03A0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9A783E0" wp14:editId="3A7B07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943B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9B7AAF">
        <w:rPr>
          <w:rFonts w:ascii="Arial" w:hAnsi="Arial" w:cs="Arial"/>
          <w:b/>
          <w:kern w:val="2"/>
          <w:lang w:eastAsia="zh-CN"/>
        </w:rPr>
        <w:t>100</w:t>
      </w:r>
      <w:r w:rsidR="00167426">
        <w:rPr>
          <w:rFonts w:ascii="Arial" w:hAnsi="Arial" w:cs="Arial"/>
          <w:b/>
          <w:kern w:val="2"/>
          <w:lang w:eastAsia="zh-CN"/>
        </w:rPr>
        <w:t>-e</w:t>
      </w:r>
      <w:r w:rsidRPr="00D74B92">
        <w:rPr>
          <w:rFonts w:ascii="Arial" w:hAnsi="Arial" w:cs="Arial"/>
          <w:b/>
          <w:kern w:val="2"/>
          <w:lang w:eastAsia="zh-CN"/>
        </w:rPr>
        <w:tab/>
        <w:t>R1-</w:t>
      </w:r>
      <w:r w:rsidR="009B7AAF">
        <w:rPr>
          <w:rFonts w:ascii="Arial" w:hAnsi="Arial" w:cs="Arial"/>
          <w:b/>
          <w:kern w:val="2"/>
          <w:lang w:eastAsia="zh-CN"/>
        </w:rPr>
        <w:t>20</w:t>
      </w:r>
      <w:r w:rsidR="003A0878">
        <w:rPr>
          <w:rFonts w:ascii="Arial" w:hAnsi="Arial" w:cs="Arial"/>
          <w:b/>
          <w:kern w:val="2"/>
          <w:lang w:eastAsia="zh-CN"/>
        </w:rPr>
        <w:t>00572</w:t>
      </w:r>
    </w:p>
    <w:p w14:paraId="77459A90" w14:textId="638AEF8C" w:rsidR="00A03A09" w:rsidRPr="007F5EC6" w:rsidRDefault="00167426" w:rsidP="00A03A09">
      <w:pPr>
        <w:jc w:val="left"/>
        <w:rPr>
          <w:rFonts w:ascii="Arial" w:hAnsi="Arial" w:cs="Arial"/>
          <w:b/>
          <w:kern w:val="2"/>
          <w:lang w:eastAsia="zh-CN"/>
        </w:rPr>
      </w:pPr>
      <w:r>
        <w:rPr>
          <w:rFonts w:ascii="Arial" w:hAnsi="Arial" w:cs="Arial"/>
          <w:b/>
          <w:kern w:val="2"/>
          <w:lang w:eastAsia="zh-CN"/>
        </w:rPr>
        <w:t>e-Meeting</w:t>
      </w:r>
      <w:r w:rsidR="00A03A09" w:rsidRPr="00D74B92">
        <w:rPr>
          <w:rFonts w:ascii="Arial" w:hAnsi="Arial" w:cs="Arial"/>
          <w:b/>
          <w:kern w:val="2"/>
          <w:lang w:eastAsia="zh-CN"/>
        </w:rPr>
        <w:t xml:space="preserve">, </w:t>
      </w:r>
      <w:r w:rsidR="009B7AAF">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44478E3C" w14:textId="19C81D4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w:t>
      </w:r>
      <w:r w:rsidR="004C434C">
        <w:rPr>
          <w:rFonts w:ascii="Arial" w:hAnsi="Arial" w:cs="Arial"/>
          <w:b/>
          <w:lang w:eastAsia="zh-CN"/>
        </w:rPr>
        <w:t>4.</w:t>
      </w:r>
      <w:r w:rsidR="007A1C02">
        <w:rPr>
          <w:rFonts w:ascii="Arial" w:hAnsi="Arial" w:cs="Arial"/>
          <w:b/>
          <w:lang w:eastAsia="zh-CN"/>
        </w:rPr>
        <w:t>6</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3A0878">
        <w:rPr>
          <w:rFonts w:ascii="Arial" w:hAnsi="Arial" w:cs="Arial"/>
          <w:b/>
          <w:bCs/>
          <w:caps/>
          <w:shd w:val="clear" w:color="auto" w:fill="FFFFFF"/>
        </w:rPr>
        <w:t>FUTUREWEI</w:t>
      </w:r>
    </w:p>
    <w:p w14:paraId="0F22F8FF" w14:textId="7806432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B46BC" w:rsidRPr="00EB46BC">
        <w:rPr>
          <w:rFonts w:ascii="Arial" w:hAnsi="Arial" w:cs="Arial"/>
          <w:b/>
          <w:lang w:eastAsia="zh-CN"/>
        </w:rPr>
        <w:t xml:space="preserve">Remaining details on </w:t>
      </w:r>
      <w:r w:rsidR="007A1C02">
        <w:rPr>
          <w:rFonts w:ascii="Arial" w:hAnsi="Arial" w:cs="Arial"/>
          <w:b/>
          <w:lang w:eastAsia="zh-CN"/>
        </w:rPr>
        <w:t>QoS for sidelin</w:t>
      </w:r>
      <w:r w:rsidR="003A0878">
        <w:rPr>
          <w:rFonts w:ascii="Arial" w:hAnsi="Arial" w:cs="Arial"/>
          <w:b/>
          <w:lang w:eastAsia="zh-CN"/>
        </w:rPr>
        <w:t>k</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808F366" w14:textId="34B682E0"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p>
    <w:p w14:paraId="25BE3639" w14:textId="1C320C2A" w:rsidR="00495A39" w:rsidRDefault="00BE45B7" w:rsidP="00495A39">
      <w:pPr>
        <w:rPr>
          <w:lang w:eastAsia="zh-CN"/>
        </w:rPr>
      </w:pPr>
      <w:r>
        <w:rPr>
          <w:lang w:eastAsia="zh-CN"/>
        </w:rPr>
        <w:t xml:space="preserve">In [1], </w:t>
      </w:r>
      <w:r w:rsidR="00AA053C">
        <w:rPr>
          <w:lang w:eastAsia="zh-CN"/>
        </w:rPr>
        <w:t xml:space="preserve">two issues not captured in the other AI are </w:t>
      </w:r>
      <w:r w:rsidR="00126747">
        <w:rPr>
          <w:lang w:eastAsia="zh-CN"/>
        </w:rPr>
        <w:t>listed</w:t>
      </w:r>
      <w:r w:rsidR="00E05F14">
        <w:rPr>
          <w:lang w:eastAsia="zh-CN"/>
        </w:rPr>
        <w:t xml:space="preserve"> </w:t>
      </w:r>
      <w:r>
        <w:rPr>
          <w:lang w:eastAsia="zh-CN"/>
        </w:rPr>
        <w:t xml:space="preserve"> and </w:t>
      </w:r>
      <w:r w:rsidR="00AA053C">
        <w:rPr>
          <w:lang w:eastAsia="zh-CN"/>
        </w:rPr>
        <w:t>are</w:t>
      </w:r>
      <w:r>
        <w:rPr>
          <w:lang w:eastAsia="zh-CN"/>
        </w:rPr>
        <w:t xml:space="preserve"> shown in Table </w:t>
      </w:r>
      <w:r w:rsidR="00126747">
        <w:rPr>
          <w:lang w:eastAsia="zh-CN"/>
        </w:rPr>
        <w:t>1</w:t>
      </w:r>
      <w:r>
        <w:rPr>
          <w:lang w:eastAsia="zh-CN"/>
        </w:rPr>
        <w:t xml:space="preserve">. In this contribution, we discuss </w:t>
      </w:r>
      <w:r w:rsidR="00AA053C">
        <w:rPr>
          <w:lang w:eastAsia="zh-CN"/>
        </w:rPr>
        <w:t>issue G1. G2 is discussed in our companion paper [2].</w:t>
      </w:r>
    </w:p>
    <w:p w14:paraId="103E5106" w14:textId="3596B1DB" w:rsidR="00BE45B7" w:rsidRDefault="00BE45B7" w:rsidP="00BE45B7">
      <w:pPr>
        <w:pStyle w:val="Caption"/>
      </w:pPr>
      <w:r>
        <w:t xml:space="preserve">Table </w:t>
      </w:r>
      <w:r w:rsidR="00833462">
        <w:fldChar w:fldCharType="begin"/>
      </w:r>
      <w:r w:rsidR="00833462">
        <w:instrText xml:space="preserve"> SEQ Table \* ARABIC </w:instrText>
      </w:r>
      <w:r w:rsidR="00833462">
        <w:fldChar w:fldCharType="separate"/>
      </w:r>
      <w:r w:rsidR="007F6CE9">
        <w:rPr>
          <w:noProof/>
        </w:rPr>
        <w:t>1</w:t>
      </w:r>
      <w:r w:rsidR="00833462">
        <w:rPr>
          <w:noProof/>
        </w:rPr>
        <w:fldChar w:fldCharType="end"/>
      </w:r>
      <w:r>
        <w:t xml:space="preserve">. Open issues for </w:t>
      </w:r>
      <w:r w:rsidR="00E05F14">
        <w:t>physical procedures for sidelink</w:t>
      </w:r>
      <w:r w:rsidR="000D15B7">
        <w:t>.</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AA053C" w:rsidRPr="004E1F9F" w14:paraId="544B7715" w14:textId="77777777" w:rsidTr="00937D91">
        <w:tc>
          <w:tcPr>
            <w:tcW w:w="1527" w:type="dxa"/>
            <w:vMerge w:val="restart"/>
            <w:shd w:val="clear" w:color="auto" w:fill="auto"/>
          </w:tcPr>
          <w:p w14:paraId="0648E7E2" w14:textId="77777777" w:rsidR="00AA053C" w:rsidRPr="004E1F9F" w:rsidRDefault="00AA053C" w:rsidP="00937D91">
            <w:pPr>
              <w:spacing w:after="0" w:line="320" w:lineRule="exact"/>
              <w:rPr>
                <w:rFonts w:cs="Batang"/>
                <w:sz w:val="20"/>
                <w:lang w:eastAsia="ko-KR"/>
              </w:rPr>
            </w:pPr>
            <w:r w:rsidRPr="004E1F9F">
              <w:rPr>
                <w:rFonts w:cs="Batang" w:hint="eastAsia"/>
                <w:sz w:val="20"/>
                <w:lang w:eastAsia="ko-KR"/>
              </w:rPr>
              <w:t>Other</w:t>
            </w:r>
          </w:p>
        </w:tc>
        <w:tc>
          <w:tcPr>
            <w:tcW w:w="595" w:type="dxa"/>
          </w:tcPr>
          <w:p w14:paraId="35F48725" w14:textId="77777777" w:rsidR="00AA053C" w:rsidRPr="004E1F9F" w:rsidRDefault="00AA053C" w:rsidP="00937D91">
            <w:pPr>
              <w:spacing w:after="0" w:line="320" w:lineRule="exact"/>
              <w:rPr>
                <w:rFonts w:cs="Batang"/>
                <w:sz w:val="20"/>
                <w:lang w:eastAsia="ko-KR"/>
              </w:rPr>
            </w:pPr>
            <w:r w:rsidRPr="004E1F9F">
              <w:rPr>
                <w:rFonts w:cs="Batang"/>
                <w:sz w:val="20"/>
                <w:lang w:eastAsia="ko-KR"/>
              </w:rPr>
              <w:t>G</w:t>
            </w:r>
            <w:r w:rsidRPr="004E1F9F">
              <w:rPr>
                <w:rFonts w:cs="Batang" w:hint="eastAsia"/>
                <w:sz w:val="20"/>
                <w:lang w:eastAsia="ko-KR"/>
              </w:rPr>
              <w:t>1</w:t>
            </w:r>
          </w:p>
        </w:tc>
        <w:tc>
          <w:tcPr>
            <w:tcW w:w="6406" w:type="dxa"/>
            <w:shd w:val="clear" w:color="auto" w:fill="auto"/>
          </w:tcPr>
          <w:p w14:paraId="00F15935" w14:textId="77777777" w:rsidR="00AA053C" w:rsidRPr="004E1F9F" w:rsidRDefault="00AA053C" w:rsidP="00937D91">
            <w:pPr>
              <w:spacing w:after="0" w:line="320" w:lineRule="exact"/>
              <w:rPr>
                <w:rFonts w:cs="Batang"/>
                <w:sz w:val="20"/>
                <w:lang w:eastAsia="ko-KR"/>
              </w:rPr>
            </w:pPr>
            <w:r>
              <w:rPr>
                <w:rFonts w:cs="Batang"/>
                <w:sz w:val="20"/>
                <w:lang w:eastAsia="ko-KR"/>
              </w:rPr>
              <w:t>Whether to use physical or logical slot index in indicating the resources in SCI</w:t>
            </w:r>
          </w:p>
        </w:tc>
        <w:tc>
          <w:tcPr>
            <w:tcW w:w="1640" w:type="dxa"/>
            <w:shd w:val="clear" w:color="auto" w:fill="auto"/>
          </w:tcPr>
          <w:p w14:paraId="45F7F3A9" w14:textId="77777777" w:rsidR="00AA053C" w:rsidRPr="004E1F9F" w:rsidRDefault="00AA053C" w:rsidP="00937D91">
            <w:pPr>
              <w:spacing w:after="0" w:line="320" w:lineRule="exact"/>
              <w:rPr>
                <w:rFonts w:cs="Batang"/>
                <w:sz w:val="20"/>
                <w:lang w:eastAsia="ko-KR"/>
              </w:rPr>
            </w:pPr>
            <w:r>
              <w:rPr>
                <w:rFonts w:cs="Batang" w:hint="eastAsia"/>
                <w:sz w:val="20"/>
                <w:lang w:eastAsia="ko-KR"/>
              </w:rPr>
              <w:t>No</w:t>
            </w:r>
          </w:p>
        </w:tc>
      </w:tr>
      <w:tr w:rsidR="00AA053C" w:rsidRPr="004E1F9F" w:rsidDel="00A83C66" w14:paraId="42AC2666" w14:textId="77777777" w:rsidTr="00937D91">
        <w:tc>
          <w:tcPr>
            <w:tcW w:w="1527" w:type="dxa"/>
            <w:vMerge/>
            <w:shd w:val="clear" w:color="auto" w:fill="auto"/>
          </w:tcPr>
          <w:p w14:paraId="6E243A04" w14:textId="77777777" w:rsidR="00AA053C" w:rsidRPr="004E1F9F" w:rsidRDefault="00AA053C" w:rsidP="00937D91">
            <w:pPr>
              <w:spacing w:after="0" w:line="320" w:lineRule="exact"/>
              <w:rPr>
                <w:rFonts w:cs="Batang"/>
                <w:sz w:val="20"/>
                <w:lang w:eastAsia="ko-KR"/>
              </w:rPr>
            </w:pPr>
          </w:p>
        </w:tc>
        <w:tc>
          <w:tcPr>
            <w:tcW w:w="595" w:type="dxa"/>
          </w:tcPr>
          <w:p w14:paraId="7ED2A00A" w14:textId="77777777" w:rsidR="00AA053C" w:rsidRPr="004E1F9F" w:rsidRDefault="00AA053C" w:rsidP="00937D91">
            <w:pPr>
              <w:spacing w:after="0" w:line="320" w:lineRule="exact"/>
              <w:rPr>
                <w:rFonts w:cs="Batang"/>
                <w:sz w:val="20"/>
                <w:lang w:eastAsia="ko-KR"/>
              </w:rPr>
            </w:pPr>
            <w:r>
              <w:rPr>
                <w:rFonts w:cs="Batang" w:hint="eastAsia"/>
                <w:sz w:val="20"/>
                <w:lang w:eastAsia="ko-KR"/>
              </w:rPr>
              <w:t>G2</w:t>
            </w:r>
          </w:p>
        </w:tc>
        <w:tc>
          <w:tcPr>
            <w:tcW w:w="6406" w:type="dxa"/>
            <w:shd w:val="clear" w:color="auto" w:fill="auto"/>
          </w:tcPr>
          <w:p w14:paraId="715291BF" w14:textId="77777777" w:rsidR="00AA053C" w:rsidRPr="004E1F9F" w:rsidDel="00A83C66" w:rsidRDefault="00AA053C" w:rsidP="00937D91">
            <w:pPr>
              <w:spacing w:after="0" w:line="320" w:lineRule="exact"/>
              <w:rPr>
                <w:rFonts w:cs="Batang"/>
                <w:sz w:val="20"/>
                <w:lang w:eastAsia="ko-KR"/>
              </w:rPr>
            </w:pPr>
            <w:r w:rsidRPr="00046B9D">
              <w:rPr>
                <w:rFonts w:cs="Batang"/>
                <w:sz w:val="20"/>
                <w:lang w:eastAsia="ko-KR"/>
              </w:rPr>
              <w:t>Details of size alignment</w:t>
            </w:r>
            <w:r>
              <w:rPr>
                <w:rFonts w:cs="Batang"/>
                <w:sz w:val="20"/>
                <w:lang w:eastAsia="ko-KR"/>
              </w:rPr>
              <w:t xml:space="preserve"> of DCI format 3-1</w:t>
            </w:r>
          </w:p>
        </w:tc>
        <w:tc>
          <w:tcPr>
            <w:tcW w:w="1640" w:type="dxa"/>
            <w:shd w:val="clear" w:color="auto" w:fill="auto"/>
          </w:tcPr>
          <w:p w14:paraId="07AE3ECE" w14:textId="77777777" w:rsidR="00AA053C" w:rsidRPr="004E1F9F" w:rsidDel="00A83C66" w:rsidRDefault="00AA053C" w:rsidP="00937D91">
            <w:pPr>
              <w:spacing w:after="0" w:line="320" w:lineRule="exact"/>
              <w:rPr>
                <w:rFonts w:cs="Batang"/>
                <w:sz w:val="20"/>
                <w:lang w:eastAsia="ko-KR"/>
              </w:rPr>
            </w:pPr>
            <w:r>
              <w:rPr>
                <w:rFonts w:cs="Batang" w:hint="eastAsia"/>
                <w:sz w:val="20"/>
                <w:lang w:eastAsia="ko-KR"/>
              </w:rPr>
              <w:t>No</w:t>
            </w:r>
          </w:p>
        </w:tc>
      </w:tr>
    </w:tbl>
    <w:p w14:paraId="3DAB8C32" w14:textId="77777777" w:rsidR="008E2F31" w:rsidRPr="008E2F31" w:rsidRDefault="008E2F31" w:rsidP="008E2F31"/>
    <w:p w14:paraId="35954F20" w14:textId="2629B17E" w:rsidR="00816E9B" w:rsidRDefault="00EE4568" w:rsidP="00493C77">
      <w:pPr>
        <w:pStyle w:val="Heading1"/>
      </w:pPr>
      <w:r>
        <w:t>Discussion</w:t>
      </w:r>
    </w:p>
    <w:p w14:paraId="288B03AB" w14:textId="4D19029D" w:rsidR="00AA053C" w:rsidRDefault="00AA053C" w:rsidP="00AA053C">
      <w:r>
        <w:t>The question of whether to use physical or logical slot index on the SL has been discussed for LTE and for NR. The main argument for logical resources usage is that the resource pools may not necessary be a set of adjacent slots. Thus, with logical addressing, the UE only has to keep track of the resources within the resource pool. On the other hand, some parameters are linked to actual UE capabilities (e.g., HARQ feedback), thus for these, it makes more sense to use physical resource indexing since it is actually tied to real timing.</w:t>
      </w:r>
    </w:p>
    <w:p w14:paraId="53861494" w14:textId="28EAD914" w:rsidR="00AA053C" w:rsidRDefault="00AA053C" w:rsidP="00AA053C">
      <w:r>
        <w:t>The logical addressing is what was done for LTE. We thus suggest using logical addressing as well for NR V2X</w:t>
      </w:r>
      <w:r w:rsidR="00803E4C">
        <w:t xml:space="preserve"> given that reuse of LTE-V is the default</w:t>
      </w:r>
      <w:r>
        <w:t>.</w:t>
      </w:r>
    </w:p>
    <w:p w14:paraId="0184548C" w14:textId="055EC74A" w:rsidR="00AA053C" w:rsidRPr="00AA053C" w:rsidRDefault="00AA053C" w:rsidP="00AA053C">
      <w:pPr>
        <w:rPr>
          <w:b/>
          <w:bCs/>
          <w:i/>
          <w:iCs/>
        </w:rPr>
      </w:pPr>
      <w:r w:rsidRPr="00AA053C">
        <w:rPr>
          <w:b/>
          <w:bCs/>
          <w:i/>
          <w:iCs/>
        </w:rPr>
        <w:t>Proposal : logical slot indexing is used for indicating the resources in SCI</w:t>
      </w:r>
    </w:p>
    <w:p w14:paraId="3518B99D" w14:textId="1D08E09C" w:rsidR="00744A23" w:rsidRDefault="00882E8B" w:rsidP="00882E8B">
      <w:pPr>
        <w:pStyle w:val="Heading1"/>
      </w:pPr>
      <w:r>
        <w:t>Conclusion</w:t>
      </w:r>
    </w:p>
    <w:p w14:paraId="789D80E2" w14:textId="22EB0380" w:rsidR="004C4902" w:rsidRDefault="00AA053C" w:rsidP="004C4902">
      <w:r>
        <w:t>Indexing of the resources in the SCI was discussed in this contribution.</w:t>
      </w:r>
      <w:r w:rsidR="004C4902">
        <w:t xml:space="preserve"> We propose the following</w:t>
      </w:r>
      <w:r>
        <w:t>:</w:t>
      </w:r>
    </w:p>
    <w:p w14:paraId="23D0FEF1" w14:textId="77777777" w:rsidR="00AA053C" w:rsidRPr="00AA053C" w:rsidRDefault="00AA053C" w:rsidP="00AA053C">
      <w:pPr>
        <w:rPr>
          <w:b/>
          <w:bCs/>
          <w:i/>
          <w:iCs/>
        </w:rPr>
      </w:pPr>
      <w:r w:rsidRPr="00AA053C">
        <w:rPr>
          <w:b/>
          <w:bCs/>
          <w:i/>
          <w:iCs/>
        </w:rPr>
        <w:t>Proposal : logical slot indexing is used for indicating the resources in SCI</w:t>
      </w:r>
    </w:p>
    <w:p w14:paraId="20D32928" w14:textId="36420F98" w:rsidR="00E7756E" w:rsidRDefault="00E7756E" w:rsidP="00E7756E">
      <w:pPr>
        <w:pStyle w:val="Heading1"/>
        <w:numPr>
          <w:ilvl w:val="0"/>
          <w:numId w:val="0"/>
        </w:numPr>
        <w:ind w:left="432" w:hanging="432"/>
      </w:pPr>
      <w:r>
        <w:t>References</w:t>
      </w:r>
    </w:p>
    <w:p w14:paraId="367CF0F0" w14:textId="328EF667" w:rsidR="00F62478" w:rsidRDefault="00E0752D" w:rsidP="00AD72DA">
      <w:r>
        <w:t xml:space="preserve">[1] </w:t>
      </w:r>
      <w:r w:rsidR="00B64059" w:rsidRPr="00B64059">
        <w:t>R</w:t>
      </w:r>
      <w:r w:rsidR="00BE45B7">
        <w:t>P-193198</w:t>
      </w:r>
      <w:r>
        <w:t xml:space="preserve">, </w:t>
      </w:r>
      <w:r w:rsidR="00BE45B7" w:rsidRPr="00BE45B7">
        <w:t>Task list for 5G V2X in RAN1#100</w:t>
      </w:r>
      <w:r>
        <w:t xml:space="preserve">, </w:t>
      </w:r>
      <w:r w:rsidR="00BE45B7">
        <w:t>LGE</w:t>
      </w:r>
      <w:r>
        <w:t>, RAN#</w:t>
      </w:r>
      <w:r w:rsidR="00BE45B7">
        <w:t>86</w:t>
      </w:r>
      <w:r>
        <w:t xml:space="preserve">, </w:t>
      </w:r>
      <w:r w:rsidR="00BE45B7">
        <w:t>Sitges</w:t>
      </w:r>
      <w:r>
        <w:t xml:space="preserve">, </w:t>
      </w:r>
      <w:r w:rsidR="00BE45B7">
        <w:t>Spain</w:t>
      </w:r>
      <w:r>
        <w:t xml:space="preserve">, </w:t>
      </w:r>
      <w:r w:rsidR="00BE45B7">
        <w:t>Dec</w:t>
      </w:r>
      <w:r>
        <w:t xml:space="preserve"> </w:t>
      </w:r>
      <w:r w:rsidR="00BE45B7">
        <w:t>9</w:t>
      </w:r>
      <w:r>
        <w:t>-</w:t>
      </w:r>
      <w:r w:rsidR="00BE45B7">
        <w:t>1</w:t>
      </w:r>
      <w:r>
        <w:t>2, 2019</w:t>
      </w:r>
    </w:p>
    <w:p w14:paraId="2174F2C0" w14:textId="14CB6574" w:rsidR="009E5EA4" w:rsidRPr="00E7756E" w:rsidRDefault="00AA053C" w:rsidP="00AD72DA">
      <w:r>
        <w:t>[2]R1-20</w:t>
      </w:r>
      <w:r w:rsidR="00CC63D4">
        <w:t>00571</w:t>
      </w:r>
      <w:bookmarkStart w:id="2" w:name="_GoBack"/>
      <w:bookmarkEnd w:id="2"/>
      <w:r>
        <w:t>, “</w:t>
      </w:r>
      <w:r w:rsidRPr="00AA053C">
        <w:t>Remaining details on the support of NR Uu controlling LTE sidelink</w:t>
      </w:r>
      <w:r>
        <w:t>,” Futurewei, RAN1#100-e, Feb.24-Mar 6, 2020</w:t>
      </w:r>
    </w:p>
    <w:sectPr w:rsidR="009E5EA4"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76CCB" w14:textId="77777777" w:rsidR="00833462" w:rsidRDefault="00833462">
      <w:r>
        <w:separator/>
      </w:r>
    </w:p>
  </w:endnote>
  <w:endnote w:type="continuationSeparator" w:id="0">
    <w:p w14:paraId="2829CAE7" w14:textId="77777777" w:rsidR="00833462" w:rsidRDefault="0083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A9189" w14:textId="77777777" w:rsidR="00833462" w:rsidRDefault="00833462">
      <w:r>
        <w:separator/>
      </w:r>
    </w:p>
  </w:footnote>
  <w:footnote w:type="continuationSeparator" w:id="0">
    <w:p w14:paraId="677C6EBC" w14:textId="77777777" w:rsidR="00833462" w:rsidRDefault="00833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D0657BF"/>
    <w:multiLevelType w:val="hybridMultilevel"/>
    <w:tmpl w:val="2AFA0A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E993E74"/>
    <w:multiLevelType w:val="multilevel"/>
    <w:tmpl w:val="4560D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379EF"/>
    <w:multiLevelType w:val="hybridMultilevel"/>
    <w:tmpl w:val="25FE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934BE"/>
    <w:multiLevelType w:val="multilevel"/>
    <w:tmpl w:val="33408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3079AE"/>
    <w:multiLevelType w:val="hybridMultilevel"/>
    <w:tmpl w:val="9E10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D769BA"/>
    <w:multiLevelType w:val="hybridMultilevel"/>
    <w:tmpl w:val="29262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27C7F"/>
    <w:multiLevelType w:val="hybridMultilevel"/>
    <w:tmpl w:val="E348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3EC968A3"/>
    <w:multiLevelType w:val="hybridMultilevel"/>
    <w:tmpl w:val="E4589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068D5"/>
    <w:multiLevelType w:val="hybridMultilevel"/>
    <w:tmpl w:val="E4B8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649625BE"/>
    <w:multiLevelType w:val="hybridMultilevel"/>
    <w:tmpl w:val="7FD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E31EA7"/>
    <w:multiLevelType w:val="hybridMultilevel"/>
    <w:tmpl w:val="4E569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327FB4"/>
    <w:multiLevelType w:val="hybridMultilevel"/>
    <w:tmpl w:val="D89A2F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F573E47"/>
    <w:multiLevelType w:val="hybridMultilevel"/>
    <w:tmpl w:val="60DC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E7182"/>
    <w:multiLevelType w:val="hybridMultilevel"/>
    <w:tmpl w:val="8B5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32"/>
  </w:num>
  <w:num w:numId="4">
    <w:abstractNumId w:val="26"/>
  </w:num>
  <w:num w:numId="5">
    <w:abstractNumId w:val="14"/>
  </w:num>
  <w:num w:numId="6">
    <w:abstractNumId w:val="9"/>
  </w:num>
  <w:num w:numId="7">
    <w:abstractNumId w:val="23"/>
  </w:num>
  <w:num w:numId="8">
    <w:abstractNumId w:val="32"/>
  </w:num>
  <w:num w:numId="9">
    <w:abstractNumId w:val="11"/>
  </w:num>
  <w:num w:numId="10">
    <w:abstractNumId w:val="8"/>
  </w:num>
  <w:num w:numId="11">
    <w:abstractNumId w:val="19"/>
  </w:num>
  <w:num w:numId="12">
    <w:abstractNumId w:val="29"/>
  </w:num>
  <w:num w:numId="13">
    <w:abstractNumId w:val="1"/>
  </w:num>
  <w:num w:numId="14">
    <w:abstractNumId w:val="15"/>
  </w:num>
  <w:num w:numId="15">
    <w:abstractNumId w:val="40"/>
  </w:num>
  <w:num w:numId="16">
    <w:abstractNumId w:val="31"/>
  </w:num>
  <w:num w:numId="17">
    <w:abstractNumId w:val="31"/>
  </w:num>
  <w:num w:numId="18">
    <w:abstractNumId w:val="37"/>
  </w:num>
  <w:num w:numId="19">
    <w:abstractNumId w:val="28"/>
  </w:num>
  <w:num w:numId="20">
    <w:abstractNumId w:val="13"/>
  </w:num>
  <w:num w:numId="21">
    <w:abstractNumId w:val="5"/>
  </w:num>
  <w:num w:numId="22">
    <w:abstractNumId w:val="36"/>
  </w:num>
  <w:num w:numId="23">
    <w:abstractNumId w:val="20"/>
  </w:num>
  <w:num w:numId="24">
    <w:abstractNumId w:val="33"/>
  </w:num>
  <w:num w:numId="25">
    <w:abstractNumId w:val="39"/>
  </w:num>
  <w:num w:numId="26">
    <w:abstractNumId w:val="21"/>
  </w:num>
  <w:num w:numId="27">
    <w:abstractNumId w:val="41"/>
  </w:num>
  <w:num w:numId="28">
    <w:abstractNumId w:val="2"/>
  </w:num>
  <w:num w:numId="29">
    <w:abstractNumId w:val="25"/>
  </w:num>
  <w:num w:numId="30">
    <w:abstractNumId w:val="34"/>
  </w:num>
  <w:num w:numId="31">
    <w:abstractNumId w:val="18"/>
  </w:num>
  <w:num w:numId="32">
    <w:abstractNumId w:val="34"/>
  </w:num>
  <w:num w:numId="33">
    <w:abstractNumId w:val="27"/>
  </w:num>
  <w:num w:numId="34">
    <w:abstractNumId w:val="17"/>
  </w:num>
  <w:num w:numId="35">
    <w:abstractNumId w:val="38"/>
  </w:num>
  <w:num w:numId="36">
    <w:abstractNumId w:val="12"/>
  </w:num>
  <w:num w:numId="37">
    <w:abstractNumId w:val="6"/>
  </w:num>
  <w:num w:numId="38">
    <w:abstractNumId w:val="10"/>
  </w:num>
  <w:num w:numId="39">
    <w:abstractNumId w:val="30"/>
  </w:num>
  <w:num w:numId="40">
    <w:abstractNumId w:val="3"/>
  </w:num>
  <w:num w:numId="41">
    <w:abstractNumId w:val="35"/>
  </w:num>
  <w:num w:numId="42">
    <w:abstractNumId w:val="31"/>
  </w:num>
  <w:num w:numId="43">
    <w:abstractNumId w:val="24"/>
  </w:num>
  <w:num w:numId="44">
    <w:abstractNumId w:val="42"/>
  </w:num>
  <w:num w:numId="45">
    <w:abstractNumId w:val="4"/>
  </w:num>
  <w:num w:numId="46">
    <w:abstractNumId w:val="7"/>
  </w:num>
  <w:num w:numId="4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5F0"/>
    <w:rsid w:val="00210860"/>
    <w:rsid w:val="00210B6A"/>
    <w:rsid w:val="0021120F"/>
    <w:rsid w:val="002119C5"/>
    <w:rsid w:val="00211C40"/>
    <w:rsid w:val="00211DAC"/>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DF8"/>
    <w:rsid w:val="003B0E79"/>
    <w:rsid w:val="003B19A2"/>
    <w:rsid w:val="003B2A63"/>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4F20"/>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DD1"/>
    <w:rsid w:val="005C00A0"/>
    <w:rsid w:val="005C00E7"/>
    <w:rsid w:val="005C0A1E"/>
    <w:rsid w:val="005C1AE6"/>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C0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52CD"/>
    <w:rsid w:val="007B588F"/>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462"/>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CC7"/>
    <w:rsid w:val="00880D53"/>
    <w:rsid w:val="00880F30"/>
    <w:rsid w:val="00882238"/>
    <w:rsid w:val="00882E8B"/>
    <w:rsid w:val="008833E8"/>
    <w:rsid w:val="0088351E"/>
    <w:rsid w:val="00883EEF"/>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52E"/>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157"/>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63D4"/>
    <w:rsid w:val="00CC70D9"/>
    <w:rsid w:val="00CC737C"/>
    <w:rsid w:val="00CC737E"/>
    <w:rsid w:val="00CD05FA"/>
    <w:rsid w:val="00CD087D"/>
    <w:rsid w:val="00CD0F5D"/>
    <w:rsid w:val="00CD1C0B"/>
    <w:rsid w:val="00CD239A"/>
    <w:rsid w:val="00CD4197"/>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9B2"/>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47"/>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240A7-1B11-4051-B86F-6E7FF2A4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1686</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Futurewei</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3</cp:revision>
  <cp:lastPrinted>2007-06-18T22:08:00Z</cp:lastPrinted>
  <dcterms:created xsi:type="dcterms:W3CDTF">2020-02-13T20:59:00Z</dcterms:created>
  <dcterms:modified xsi:type="dcterms:W3CDTF">2020-02-14T16:16:00Z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(3)LI7AUcg5GLwILsTqio3FDE/gBmhm80k0pdoj/MtlpOTLBqdGUuX+09tC6szzHHwZX1/bVEyT
aWWwpaXh/E2GlqaL316PzWNIsZ4oaJfavD8rPexf8pqpZIW7XOcHdvWk1ATUdeDmgMw4gP7a
FkFNtBpHoDKBkf0Wn+HeXI54ow4wbU0z/ErHWHavCnHaor/qaj5yN5cK8KWMQRTZMKfou4yK
gMRoWT07XTMWfyqEb4</vt:lpwstr>
  </property>
  <property fmtid="{D5CDD505-2E9C-101B-9397-08002B2CF9AE}" pid="13" name="_2015_ms_pID_725343_00">
    <vt:lpwstr>_2015_ms_pID_725343</vt:lpwstr>
  </property>
  <property fmtid="{D5CDD505-2E9C-101B-9397-08002B2CF9AE}" pid="14" name="_2015_ms_pID_7253431">
    <vt:lpwstr>3F5yjK4gyQRr+ziAkjkfMDyFaEjBqZpZJQPxtu8qyK7Cd5h3+wwr4S
w5KDaIt85yglHSwu3DS7wMgdjCHTmv7ia57WYIrFWV+tZZTAdKlO4pyPe5wXZEX0BPwUTIo5
SRl5+SZzi/Sp1ntbn1JeLlntlWTE9WR3WCdJIQzm4dzpAr9PZWzF5poxoZDbZvd383ik8Hd8
FYjS4wswjEJu+lty26PR4sIUjCTJ0oZAoRFO</vt:lpwstr>
  </property>
  <property fmtid="{D5CDD505-2E9C-101B-9397-08002B2CF9AE}" pid="15" name="_2015_ms_pID_7253431_00">
    <vt:lpwstr>_2015_ms_pID_7253431</vt:lpwstr>
  </property>
  <property fmtid="{D5CDD505-2E9C-101B-9397-08002B2CF9AE}" pid="16" name="_2015_ms_pID_7253432">
    <vt:lpwstr>q0SuRxRs5I/SZDLv51KTGg58pE5nlogL7vAq
VB2Kfc2BOxuFwVgNzMFdA5cQ5XOmaW0B9BHgjJUjpyVh4IMGeSI=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