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b/>
          <w:sz w:val="24"/>
        </w:rPr>
      </w:pPr>
      <w:r>
        <w:rPr>
          <w:b/>
          <w:sz w:val="24"/>
        </w:rPr>
        <w:t>3GPP TSG RAN Rel-18 workshop</w:t>
      </w:r>
      <w:r>
        <w:rPr>
          <w:b/>
          <w:sz w:val="24"/>
        </w:rPr>
        <w:tab/>
      </w:r>
      <w:r>
        <w:rPr>
          <w:b/>
          <w:sz w:val="24"/>
        </w:rPr>
        <w:t>RWS-210385</w:t>
      </w:r>
    </w:p>
    <w:p>
      <w:pPr>
        <w:pStyle w:val="57"/>
        <w:tabs>
          <w:tab w:val="right" w:pos="9639"/>
        </w:tabs>
        <w:spacing w:after="0"/>
        <w:rPr>
          <w:b/>
          <w:sz w:val="24"/>
        </w:rPr>
      </w:pPr>
      <w:r>
        <w:rPr>
          <w:b/>
          <w:sz w:val="24"/>
        </w:rPr>
        <w:t>Electronic Meeting, June 28 - July 2, 2021</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ascii="Arial" w:hAnsi="Arial" w:eastAsia="Batang"/>
          <w:b/>
          <w:lang w:val="en-US" w:eastAsia="zh-CN"/>
        </w:rPr>
        <w:t>China Unicom</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New WID on Mobility Enhancement in for FR1 and FR2 in R18</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w:t>
      </w:r>
      <w:bookmarkStart w:id="2" w:name="_GoBack"/>
      <w:bookmarkEnd w:id="2"/>
      <w:r>
        <w:rPr>
          <w:rFonts w:hint="eastAsia" w:ascii="Arial" w:hAnsi="Arial" w:eastAsia="Batang"/>
          <w:b/>
          <w:lang w:val="en-US" w:eastAsia="zh-CN"/>
        </w:rPr>
        <w:t>tion</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4.1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t xml:space="preserve">Mobility Enhancement in for FR1 and FR2 in R18 </w:t>
      </w:r>
    </w:p>
    <w:p>
      <w:pPr>
        <w:pStyle w:val="3"/>
        <w:tabs>
          <w:tab w:val="left" w:pos="2552"/>
        </w:tabs>
      </w:pPr>
      <w:r>
        <w:t>Acronym: NR_Mob_enh_FR1_FR2</w:t>
      </w:r>
    </w:p>
    <w:p>
      <w:pPr>
        <w:pStyle w:val="3"/>
        <w:tabs>
          <w:tab w:val="left" w:pos="2552"/>
        </w:tabs>
      </w:pPr>
      <w:r>
        <w:t xml:space="preserve">Unique identifier: </w:t>
      </w:r>
      <w:r>
        <w:tab/>
      </w:r>
      <w:r>
        <w:rPr>
          <w:rFonts w:ascii="Times New Roman" w:hAnsi="Times New Roman"/>
          <w:i/>
          <w:sz w:val="20"/>
        </w:rPr>
        <w:t>{A number to be provided by MCC at the plenary}</w:t>
      </w:r>
      <w:r>
        <w:t xml:space="preserve">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b/>
                <w:bCs/>
              </w:rPr>
            </w:pPr>
            <w:r>
              <w:rPr>
                <w:b/>
                <w:bCs/>
              </w:rPr>
              <w:t>X</w:t>
            </w:r>
          </w:p>
        </w:tc>
      </w:tr>
    </w:tbl>
    <w:p>
      <w:pPr>
        <w:pStyle w:val="63"/>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{Rel-18}.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In case of contradiction with the target dates of clause 5, clause 5 determines the target release.</w:t>
      </w:r>
      <w:bookmarkEnd w:id="1"/>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lang w:eastAsia="ja-JP"/>
              </w:rPr>
            </w:pPr>
            <w:r>
              <w:rPr>
                <w:rFonts w:hint="eastAsia"/>
                <w:lang w:eastAsia="ja-JP"/>
              </w:rPr>
              <w:t>X</w:t>
            </w:r>
          </w:p>
        </w:tc>
        <w:tc>
          <w:tcPr>
            <w:tcW w:w="0" w:type="auto"/>
            <w:tcBorders>
              <w:top w:val="nil"/>
            </w:tcBorders>
          </w:tcPr>
          <w:p>
            <w:pPr>
              <w:pStyle w:val="55"/>
              <w:rPr>
                <w:lang w:eastAsia="ja-JP"/>
              </w:rPr>
            </w:pPr>
            <w:r>
              <w:rPr>
                <w:rFonts w:hint="eastAsia"/>
                <w:lang w:eastAsia="ja-JP"/>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lang w:eastAsia="ja-JP"/>
              </w:rPr>
            </w:pPr>
            <w:r>
              <w:rPr>
                <w:rFonts w:hint="eastAsia"/>
                <w:lang w:eastAsia="ja-JP"/>
              </w:rPr>
              <w:t>X</w:t>
            </w:r>
          </w:p>
        </w:tc>
        <w:tc>
          <w:tcPr>
            <w:tcW w:w="0" w:type="auto"/>
          </w:tcPr>
          <w:p>
            <w:pPr>
              <w:pStyle w:val="55"/>
              <w:rPr>
                <w:lang w:eastAsia="ja-JP"/>
              </w:rPr>
            </w:pPr>
          </w:p>
        </w:tc>
        <w:tc>
          <w:tcPr>
            <w:tcW w:w="0" w:type="auto"/>
          </w:tcPr>
          <w:p>
            <w:pPr>
              <w:pStyle w:val="55"/>
            </w:pPr>
          </w:p>
        </w:tc>
        <w:tc>
          <w:tcPr>
            <w:tcW w:w="0" w:type="auto"/>
          </w:tcPr>
          <w:p>
            <w:pPr>
              <w:pStyle w:val="55"/>
              <w:rPr>
                <w:lang w:eastAsia="ja-JP"/>
              </w:rPr>
            </w:pPr>
          </w:p>
        </w:tc>
        <w:tc>
          <w:tcPr>
            <w:tcW w:w="0" w:type="auto"/>
          </w:tcPr>
          <w:p>
            <w:pPr>
              <w:pStyle w:val="55"/>
              <w:rPr>
                <w:lang w:eastAsia="ja-JP"/>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r>
              <w:t>X</w:t>
            </w: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49"/>
          <w:i/>
          <w:sz w:val="20"/>
        </w:rPr>
        <w:t>ftp://ftp.3gpp.org/Information/WORK_PLAN</w:t>
      </w:r>
      <w:r>
        <w:rPr>
          <w:rStyle w:val="49"/>
          <w:i/>
          <w:sz w:val="20"/>
        </w:rPr>
        <w:fldChar w:fldCharType="end"/>
      </w:r>
      <w:r>
        <w:rPr>
          <w:i/>
          <w:color w:val="1F497D"/>
        </w:rPr>
        <w:t xml:space="preserve"> </w:t>
      </w:r>
      <w:r>
        <w:rPr>
          <w:i/>
        </w:rPr>
        <w:t>}</w:t>
      </w:r>
      <w:r>
        <w:t xml:space="preserve">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t>X</w:t>
            </w: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rPr>
                <w:lang w:eastAsia="ja-JP"/>
              </w:rPr>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1101" w:type="dxa"/>
          </w:tcPr>
          <w:p>
            <w:pPr>
              <w:pStyle w:val="52"/>
            </w:pPr>
          </w:p>
        </w:tc>
        <w:tc>
          <w:tcPr>
            <w:tcW w:w="1101" w:type="dxa"/>
          </w:tcPr>
          <w:p>
            <w:pPr>
              <w:pStyle w:val="52"/>
            </w:pPr>
          </w:p>
        </w:tc>
        <w:tc>
          <w:tcPr>
            <w:tcW w:w="7011" w:type="dxa"/>
          </w:tcPr>
          <w:p>
            <w:pPr>
              <w:pStyle w:val="88"/>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preceding SI or a preceding WI (e.g. if further enhancing a feature).}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887"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3326" w:type="dxa"/>
          </w:tcPr>
          <w:p>
            <w:pPr>
              <w:pStyle w:val="52"/>
            </w:pPr>
          </w:p>
        </w:tc>
        <w:tc>
          <w:tcPr>
            <w:tcW w:w="5887" w:type="dxa"/>
          </w:tcPr>
          <w:p>
            <w:pPr>
              <w:pStyle w:val="88"/>
            </w:pPr>
            <w:r>
              <w:rPr>
                <w:i/>
                <w:sz w:val="20"/>
              </w:rPr>
              <w:t xml:space="preserve">{optional free text} </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3"/>
      </w:pPr>
      <w:r>
        <w:t>3</w:t>
      </w:r>
      <w:r>
        <w:tab/>
      </w:r>
      <w:r>
        <w:t>Justification</w:t>
      </w:r>
    </w:p>
    <w:p>
      <w:pPr>
        <w:rPr>
          <w:bCs/>
        </w:rPr>
      </w:pPr>
      <w:r>
        <w:rPr>
          <w:bCs/>
        </w:rPr>
        <w:t>Since FR1 and FR2 frequencies has been deployed in many countries and regions, NR mobility enhancement completed in Release 16 specification shall be enhanced to support more mobility scenarios. The work item on NR mobility enhancements in R16 mainly focus on specifies solutions to reduce interruption time during HO (by Dual Active Protocol Stack (DAPS) handover in standalone network), and to improve HO/SCG change reliability and robustness (by Conditional Handover (CHO), Conditional PSCell Change (CPC) and T312 based fast failure recovery).</w:t>
      </w:r>
    </w:p>
    <w:p>
      <w:pPr>
        <w:rPr>
          <w:bCs/>
        </w:rPr>
      </w:pPr>
      <w:r>
        <w:rPr>
          <w:bCs/>
        </w:rPr>
        <w:t xml:space="preserve">According to existing specifications, DAPS HO is only supported in standalone network to guarantee the continuity and quality of 5G services. However, 0ms interruption is also the demand to provide seamless handover UE experience in MR-DC/NR-CA network, and then network can provide low delay and high throughput service simultaneously (e.g. 4K/8K live broadcasts/VR/AR/XR) in mobility scenarios. In addition, frequently handover in mobility scenarios would lead to frequently signalling interaction due to small coverage of high frequency (e.g. millimeter waves). Thus it’s vital to reduce the signalling overhead and HO delay in FR2 ultra-dense network. As mentioned above, handover becomes extremely challenging in R18 high and low frequencies deployed network. </w:t>
      </w:r>
    </w:p>
    <w:p>
      <w:pPr>
        <w:rPr>
          <w:rFonts w:eastAsia="等线"/>
          <w:bCs/>
          <w:lang w:eastAsia="zh-CN"/>
        </w:rPr>
      </w:pPr>
      <w:r>
        <w:rPr>
          <w:rFonts w:hint="eastAsia" w:eastAsia="等线"/>
          <w:bCs/>
          <w:lang w:eastAsia="zh-CN"/>
        </w:rPr>
        <w:t>F</w:t>
      </w:r>
      <w:r>
        <w:rPr>
          <w:rFonts w:eastAsia="等线"/>
          <w:bCs/>
          <w:lang w:eastAsia="zh-CN"/>
        </w:rPr>
        <w:t>urthermore, NR mobility enhancement in Rel-16 not include 5G sharing network issues, such as solution(s) for RAN sharing UE to quickly re-select to the non-sharing network with same PLMN in MR-DC/NR-CA sharing network can be studied and specified in R18. Moreover, due to CHO is only supported with Xn interface between gNB, thus UE cannot perform conditional handover from gNBs without Xn interface or inter RAT, which is also desirable in Rel-18. In addition, DAPS + CHO/CPAC, CPAC+CHO are also needed to consider in Rel-18 to enhance the mobility in ToB scenarios.</w:t>
      </w:r>
    </w:p>
    <w:p>
      <w:pPr>
        <w:rPr>
          <w:bCs/>
        </w:rPr>
      </w:pPr>
      <w:r>
        <w:rPr>
          <w:bCs/>
        </w:rPr>
        <w:t>Therefore, to provide seamless handover UE experience in MR-DC/NR-CA network and to optimize signalling interaction in FR2 dense network should be the use cases and requirements in Release 18. The mobility enhancements should be applied to inter and intra frequency handover/SCG change/SCell change. In addition, it’s required to resolve some mobility issues occurred in the RAN sharing network and enhance the CHO feature in Rel-18.</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pStyle w:val="82"/>
        <w:ind w:left="0" w:firstLine="0"/>
        <w:rPr>
          <w:lang w:eastAsia="ja-JP"/>
        </w:rPr>
      </w:pPr>
      <w:r>
        <w:rPr>
          <w:lang w:eastAsia="ja-JP"/>
        </w:rPr>
        <w:t>The following objective are considered in this WI:</w:t>
      </w:r>
    </w:p>
    <w:p>
      <w:pPr>
        <w:pStyle w:val="82"/>
        <w:numPr>
          <w:ilvl w:val="0"/>
          <w:numId w:val="1"/>
        </w:numPr>
        <w:textAlignment w:val="auto"/>
        <w:rPr>
          <w:lang w:val="en-US" w:eastAsia="ja-JP"/>
        </w:rPr>
      </w:pPr>
      <w:r>
        <w:rPr>
          <w:lang w:val="en-US" w:eastAsia="ja-JP"/>
        </w:rPr>
        <w:t>To study and specify solution(s) to support “0ms” handover interruption in FR1&amp;FR2 MR-DC/NR-CA network focusing on the following identified solutions but not limited.</w:t>
      </w:r>
    </w:p>
    <w:p>
      <w:pPr>
        <w:pStyle w:val="82"/>
        <w:numPr>
          <w:ilvl w:val="1"/>
          <w:numId w:val="1"/>
        </w:numPr>
        <w:textAlignment w:val="auto"/>
        <w:rPr>
          <w:lang w:eastAsia="ja-JP"/>
        </w:rPr>
      </w:pPr>
      <w:r>
        <w:rPr>
          <w:rFonts w:hint="eastAsia" w:eastAsia="等线"/>
          <w:lang w:eastAsia="zh-CN"/>
        </w:rPr>
        <w:t>F</w:t>
      </w:r>
      <w:r>
        <w:rPr>
          <w:rFonts w:eastAsia="等线"/>
          <w:lang w:eastAsia="zh-CN"/>
        </w:rPr>
        <w:t>or NR-CA, keeping Scell unchanged during DAPS handover.</w:t>
      </w:r>
    </w:p>
    <w:p>
      <w:pPr>
        <w:pStyle w:val="82"/>
        <w:numPr>
          <w:ilvl w:val="1"/>
          <w:numId w:val="1"/>
        </w:numPr>
        <w:textAlignment w:val="auto"/>
        <w:rPr>
          <w:lang w:eastAsia="ja-JP"/>
        </w:rPr>
      </w:pPr>
      <w:r>
        <w:rPr>
          <w:rFonts w:eastAsia="等线"/>
          <w:lang w:eastAsia="zh-CN"/>
        </w:rPr>
        <w:t>For MR-DC, keeping MN</w:t>
      </w:r>
      <w:r>
        <w:rPr>
          <w:rFonts w:hint="eastAsia" w:eastAsia="等线"/>
          <w:lang w:eastAsia="zh-CN"/>
        </w:rPr>
        <w:t>/</w:t>
      </w:r>
      <w:r>
        <w:rPr>
          <w:rFonts w:eastAsia="等线"/>
          <w:lang w:eastAsia="zh-CN"/>
        </w:rPr>
        <w:t>SN unchanged during DAPS handover.</w:t>
      </w:r>
    </w:p>
    <w:p>
      <w:pPr>
        <w:pStyle w:val="82"/>
        <w:numPr>
          <w:ilvl w:val="1"/>
          <w:numId w:val="1"/>
        </w:numPr>
        <w:textAlignment w:val="auto"/>
        <w:rPr>
          <w:lang w:eastAsia="ja-JP"/>
        </w:rPr>
      </w:pPr>
      <w:r>
        <w:rPr>
          <w:rFonts w:eastAsia="等线"/>
          <w:lang w:eastAsia="zh-CN"/>
        </w:rPr>
        <w:t>For MR-DC, supporting inter-SN change before/simultaneously with inter-MN change.</w:t>
      </w:r>
    </w:p>
    <w:p>
      <w:pPr>
        <w:pStyle w:val="82"/>
        <w:rPr>
          <w:rFonts w:eastAsia="等线" w:cs="Calibri"/>
          <w:highlight w:val="yellow"/>
          <w:lang w:eastAsia="zh-CN"/>
        </w:rPr>
      </w:pPr>
      <w:r>
        <w:rPr>
          <w:rFonts w:cs="Calibri"/>
          <w:lang w:eastAsia="zh-CN"/>
        </w:rPr>
        <w:t xml:space="preserve">Note: NR mobility enhancements in Rel-16 should be used for baseline for fast handover failure recovery. </w:t>
      </w:r>
    </w:p>
    <w:p>
      <w:pPr>
        <w:pStyle w:val="82"/>
        <w:numPr>
          <w:ilvl w:val="0"/>
          <w:numId w:val="1"/>
        </w:numPr>
        <w:textAlignment w:val="auto"/>
        <w:rPr>
          <w:lang w:val="en-US" w:eastAsia="ja-JP"/>
        </w:rPr>
      </w:pPr>
      <w:r>
        <w:rPr>
          <w:lang w:val="en-US" w:eastAsia="ja-JP"/>
        </w:rPr>
        <w:t>To study and specify solution(s) to reduce network signaling overhead and improve HO/SCG change robustness especially considering challenges in 5G FR2 dense network focusing on the following identified solutions but not limited.</w:t>
      </w:r>
    </w:p>
    <w:p>
      <w:pPr>
        <w:pStyle w:val="82"/>
        <w:numPr>
          <w:ilvl w:val="1"/>
          <w:numId w:val="1"/>
        </w:numPr>
        <w:textAlignment w:val="auto"/>
        <w:rPr>
          <w:lang w:eastAsia="ja-JP"/>
        </w:rPr>
      </w:pPr>
      <w:r>
        <w:rPr>
          <w:lang w:eastAsia="ja-JP"/>
        </w:rPr>
        <w:t>RACH-less handover.</w:t>
      </w:r>
    </w:p>
    <w:p>
      <w:pPr>
        <w:pStyle w:val="82"/>
        <w:numPr>
          <w:ilvl w:val="1"/>
          <w:numId w:val="1"/>
        </w:numPr>
        <w:textAlignment w:val="auto"/>
        <w:rPr>
          <w:rFonts w:eastAsia="等线"/>
          <w:lang w:eastAsia="zh-CN"/>
        </w:rPr>
      </w:pPr>
      <w:r>
        <w:rPr>
          <w:rFonts w:eastAsia="等线"/>
          <w:lang w:eastAsia="zh-CN"/>
        </w:rPr>
        <w:t>CHO-like (e.g. preconfigure a target cell list) continuous handover and fast handover failure recovery.</w:t>
      </w:r>
    </w:p>
    <w:p>
      <w:pPr>
        <w:pStyle w:val="82"/>
        <w:numPr>
          <w:ilvl w:val="0"/>
          <w:numId w:val="1"/>
        </w:numPr>
        <w:textAlignment w:val="auto"/>
        <w:rPr>
          <w:lang w:val="en-US" w:eastAsia="ja-JP"/>
        </w:rPr>
      </w:pPr>
      <w:r>
        <w:rPr>
          <w:lang w:val="en-US" w:eastAsia="ja-JP"/>
        </w:rPr>
        <w:t>To study and specify solution(s) for UE in RAN sharing network to quickly re-select to the same PLMN non-sharing network in edge of MR-DC/NR-CA network on the following identified solutions but not limited.</w:t>
      </w:r>
    </w:p>
    <w:p>
      <w:pPr>
        <w:pStyle w:val="82"/>
        <w:numPr>
          <w:ilvl w:val="1"/>
          <w:numId w:val="1"/>
        </w:numPr>
        <w:textAlignment w:val="auto"/>
        <w:rPr>
          <w:lang w:val="en-US" w:eastAsia="ja-JP"/>
        </w:rPr>
      </w:pPr>
      <w:r>
        <w:rPr>
          <w:lang w:eastAsia="ja-JP"/>
        </w:rPr>
        <w:t xml:space="preserve">Support network sharing specific information in UE reselection or handover procedure. </w:t>
      </w:r>
    </w:p>
    <w:p>
      <w:pPr>
        <w:pStyle w:val="82"/>
        <w:numPr>
          <w:ilvl w:val="0"/>
          <w:numId w:val="1"/>
        </w:numPr>
        <w:textAlignment w:val="auto"/>
        <w:rPr>
          <w:lang w:val="en-US" w:eastAsia="ja-JP"/>
        </w:rPr>
      </w:pPr>
      <w:r>
        <w:rPr>
          <w:lang w:val="en-US" w:eastAsia="ja-JP"/>
        </w:rPr>
        <w:t>To study and specify solution(s) to enhance CHO with the gNBs without Xn interface or inter RAT focusing on the following identified solutions but not limited.</w:t>
      </w:r>
    </w:p>
    <w:p>
      <w:pPr>
        <w:pStyle w:val="82"/>
        <w:numPr>
          <w:ilvl w:val="1"/>
          <w:numId w:val="1"/>
        </w:numPr>
        <w:textAlignment w:val="auto"/>
        <w:rPr>
          <w:lang w:val="en-US" w:eastAsia="ja-JP"/>
        </w:rPr>
      </w:pPr>
      <w:r>
        <w:rPr>
          <w:lang w:eastAsia="ja-JP"/>
        </w:rPr>
        <w:t>CHO with NG interface.</w:t>
      </w:r>
    </w:p>
    <w:p>
      <w:pPr>
        <w:pStyle w:val="82"/>
        <w:numPr>
          <w:ilvl w:val="1"/>
          <w:numId w:val="1"/>
        </w:numPr>
        <w:textAlignment w:val="auto"/>
        <w:rPr>
          <w:lang w:val="en-US" w:eastAsia="ja-JP"/>
        </w:rPr>
      </w:pPr>
      <w:r>
        <w:rPr>
          <w:lang w:val="en-US" w:eastAsia="ja-JP"/>
        </w:rPr>
        <w:t>Inter-RAT (4G/5G) CHO.</w:t>
      </w:r>
    </w:p>
    <w:p>
      <w:pPr>
        <w:pStyle w:val="82"/>
        <w:numPr>
          <w:ilvl w:val="1"/>
          <w:numId w:val="1"/>
        </w:numPr>
        <w:textAlignment w:val="auto"/>
        <w:rPr>
          <w:lang w:val="en-US" w:eastAsia="ja-JP"/>
        </w:rPr>
      </w:pPr>
      <w:r>
        <w:rPr>
          <w:lang w:val="en-US" w:eastAsia="ja-JP"/>
        </w:rPr>
        <w:t>CHO/CPAC aligned with DAPS</w:t>
      </w:r>
    </w:p>
    <w:p>
      <w:pPr>
        <w:pStyle w:val="82"/>
        <w:numPr>
          <w:ilvl w:val="1"/>
          <w:numId w:val="1"/>
        </w:numPr>
        <w:textAlignment w:val="auto"/>
        <w:rPr>
          <w:lang w:val="en-US" w:eastAsia="ja-JP"/>
        </w:rPr>
      </w:pPr>
      <w:r>
        <w:rPr>
          <w:lang w:val="en-US" w:eastAsia="ja-JP"/>
        </w:rPr>
        <w:t>CHO aligned with CPAC.</w:t>
      </w:r>
    </w:p>
    <w:p>
      <w:pPr>
        <w:pStyle w:val="82"/>
        <w:numPr>
          <w:ilvl w:val="0"/>
          <w:numId w:val="1"/>
        </w:numPr>
        <w:textAlignment w:val="auto"/>
        <w:rPr>
          <w:lang w:val="en-US" w:eastAsia="ja-JP"/>
        </w:rPr>
      </w:pPr>
      <w:r>
        <w:rPr>
          <w:lang w:val="en-US" w:eastAsia="ja-JP"/>
        </w:rPr>
        <w:t>To study and specify the solutions and agreements agreed during the above study phase. [RAN2/RAN1/RAN3/RAN4]</w:t>
      </w:r>
    </w:p>
    <w:p>
      <w:pPr>
        <w:ind w:left="400" w:leftChars="200"/>
        <w:rPr>
          <w:lang w:val="en-US" w:eastAsia="zh-CN"/>
        </w:rPr>
      </w:pPr>
    </w:p>
    <w:p>
      <w:pPr>
        <w:ind w:left="400" w:leftChars="200"/>
        <w:rPr>
          <w:lang w:val="en-US" w:eastAsia="zh-CN"/>
        </w:rPr>
      </w:pPr>
      <w:r>
        <w:rPr>
          <w:lang w:eastAsia="zh-CN"/>
        </w:rPr>
        <w:t>Note: The following aspects should be considered in above objectives.</w:t>
      </w:r>
    </w:p>
    <w:p>
      <w:pPr>
        <w:ind w:left="400" w:leftChars="200" w:firstLine="720"/>
        <w:rPr>
          <w:rFonts w:ascii="Gulim" w:hAnsi="Gulim" w:eastAsia="Gulim"/>
          <w:sz w:val="24"/>
          <w:szCs w:val="24"/>
          <w:lang w:eastAsia="zh-CN"/>
        </w:rPr>
      </w:pPr>
      <w:r>
        <w:rPr>
          <w:lang w:eastAsia="zh-CN"/>
        </w:rPr>
        <w:t>- Inter and intra frequency handover/SCG change/SCell change</w:t>
      </w:r>
    </w:p>
    <w:p>
      <w:pPr>
        <w:ind w:left="400" w:leftChars="200" w:firstLine="720"/>
        <w:rPr>
          <w:rFonts w:eastAsia="MS Mincho"/>
          <w:lang w:val="en-US" w:eastAsia="zh-CN"/>
        </w:rPr>
      </w:pPr>
      <w:r>
        <w:rPr>
          <w:lang w:eastAsia="zh-CN"/>
        </w:rPr>
        <w:t>- Inter-CU, intra-CU/inter-DU and intra-DU handover/SCG change/SCell change</w:t>
      </w:r>
    </w:p>
    <w:p>
      <w:pPr>
        <w:ind w:left="400" w:leftChars="200" w:firstLine="720"/>
        <w:rPr>
          <w:lang w:eastAsia="zh-CN"/>
        </w:rPr>
      </w:pPr>
      <w:r>
        <w:rPr>
          <w:lang w:eastAsia="zh-CN"/>
        </w:rPr>
        <w:t>- UE capability on the number of Tx/Rx chains</w:t>
      </w:r>
    </w:p>
    <w:p>
      <w:pPr>
        <w:ind w:left="400" w:leftChars="200" w:firstLine="720"/>
        <w:rPr>
          <w:lang w:eastAsia="zh-CN"/>
        </w:rPr>
      </w:pPr>
      <w:r>
        <w:rPr>
          <w:lang w:eastAsia="zh-CN"/>
        </w:rPr>
        <w:t xml:space="preserve">- Dense and non-dense networks </w:t>
      </w:r>
    </w:p>
    <w:p>
      <w:pPr>
        <w:ind w:left="400" w:leftChars="200" w:firstLine="720"/>
        <w:rPr>
          <w:lang w:eastAsia="zh-CN"/>
        </w:rPr>
      </w:pPr>
      <w:r>
        <w:rPr>
          <w:lang w:eastAsia="zh-CN"/>
        </w:rPr>
        <w:t>- FR1 and FR2 frequencies</w:t>
      </w: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napToGrid w:val="0"/>
        <w:spacing w:after="120"/>
        <w:rPr>
          <w:color w:val="000000"/>
          <w:lang w:eastAsia="ko-KR"/>
        </w:rPr>
      </w:pPr>
      <w:r>
        <w:rPr>
          <w:lang w:eastAsia="ko-KR"/>
        </w:rPr>
        <w:t>Specify the necessary UE performance requirements for the specified enhancements.</w:t>
      </w:r>
    </w:p>
    <w:p>
      <w:pPr>
        <w:spacing w:after="0"/>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lang w:eastAsia="en-US"/>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pPr>
            <w:r>
              <w:rPr>
                <w:i/>
              </w:rPr>
              <w:t>"22.XXX"}</w:t>
            </w:r>
          </w:p>
        </w:tc>
        <w:tc>
          <w:tcPr>
            <w:tcW w:w="2409" w:type="dxa"/>
          </w:tcPr>
          <w:p>
            <w:pPr>
              <w:spacing w:after="0"/>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lang w:eastAsia="ja-JP"/>
              </w:rPr>
            </w:pPr>
            <w:r>
              <w:rPr>
                <w:i/>
              </w:rPr>
              <w:t>"TSG#87"}</w:t>
            </w:r>
          </w:p>
        </w:tc>
        <w:tc>
          <w:tcPr>
            <w:tcW w:w="1074" w:type="dxa"/>
          </w:tcPr>
          <w:p>
            <w:pPr>
              <w:spacing w:after="0"/>
              <w:rPr>
                <w:i/>
              </w:rPr>
            </w:pPr>
            <w:r>
              <w:rPr>
                <w:i/>
              </w:rPr>
              <w:t xml:space="preserve">{E.g. </w:t>
            </w:r>
          </w:p>
          <w:p>
            <w:pPr>
              <w:spacing w:after="0"/>
              <w:rPr>
                <w:lang w:eastAsia="ja-JP"/>
              </w:rPr>
            </w:pPr>
            <w:r>
              <w:rPr>
                <w:i/>
              </w:rPr>
              <w:t>"TSG#89"}</w:t>
            </w:r>
          </w:p>
        </w:tc>
        <w:tc>
          <w:tcPr>
            <w:tcW w:w="2186" w:type="dxa"/>
          </w:tcPr>
          <w:p>
            <w:pPr>
              <w:spacing w:after="0"/>
              <w:rPr>
                <w:i/>
              </w:rPr>
            </w:pPr>
            <w:r>
              <w:rPr>
                <w:i/>
              </w:rPr>
              <w:t>{e.g.: rapporteur:</w:t>
            </w:r>
          </w:p>
          <w:p>
            <w:pPr>
              <w:spacing w:after="0"/>
            </w:pPr>
            <w:r>
              <w:rPr>
                <w:i/>
              </w:rPr>
              <w:t>&lt;FamilyName&gt;, &lt;GivenName&gt;, &lt;Company&gt;, &lt;email address&gt;. See Note 2}</w:t>
            </w: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r>
              <w:rPr>
                <w:i/>
              </w:rPr>
              <w:t>{E.g. "22.281"}</w:t>
            </w:r>
          </w:p>
        </w:tc>
        <w:tc>
          <w:tcPr>
            <w:tcW w:w="4344" w:type="dxa"/>
            <w:tcBorders>
              <w:top w:val="single" w:color="auto" w:sz="4" w:space="0"/>
              <w:left w:val="single" w:color="auto" w:sz="4" w:space="0"/>
              <w:bottom w:val="single" w:color="auto" w:sz="4" w:space="0"/>
              <w:right w:val="single" w:color="auto" w:sz="4" w:space="0"/>
            </w:tcBorders>
          </w:tcPr>
          <w:p>
            <w:pPr>
              <w:spacing w:after="0"/>
              <w:rPr>
                <w:i/>
              </w:rPr>
            </w:pPr>
            <w:r>
              <w:rPr>
                <w:i/>
              </w:rPr>
              <w:t xml:space="preserve">{Possible values: </w:t>
            </w:r>
          </w:p>
          <w:p>
            <w:pPr>
              <w:spacing w:after="0"/>
              <w:rPr>
                <w:i/>
              </w:rPr>
            </w:pPr>
            <w:r>
              <w:rPr>
                <w:i/>
              </w:rPr>
              <w:t xml:space="preserve">- either free text (e.g. “CS aspects to be removed") </w:t>
            </w:r>
            <w:r>
              <w:rPr>
                <w:i/>
              </w:rPr>
              <w:br w:type="textWrapping"/>
            </w:r>
            <w:r>
              <w:rPr>
                <w:i/>
              </w:rP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spacing w:after="0"/>
              <w:rPr>
                <w:i/>
              </w:rPr>
            </w:pPr>
            <w:r>
              <w:rPr>
                <w:i/>
              </w:rPr>
              <w:t>{E.g. "TSG#89"}</w:t>
            </w:r>
          </w:p>
        </w:tc>
        <w:tc>
          <w:tcPr>
            <w:tcW w:w="2101" w:type="dxa"/>
            <w:tcBorders>
              <w:top w:val="single" w:color="auto" w:sz="4" w:space="0"/>
              <w:left w:val="single" w:color="auto" w:sz="4" w:space="0"/>
              <w:bottom w:val="single" w:color="auto" w:sz="4" w:space="0"/>
              <w:right w:val="single" w:color="auto" w:sz="4" w:space="0"/>
            </w:tcBorders>
          </w:tcPr>
          <w:p>
            <w:pPr>
              <w:spacing w:after="0"/>
              <w:rPr>
                <w:i/>
              </w:rPr>
            </w:pPr>
            <w:r>
              <w:rPr>
                <w:i/>
              </w:rPr>
              <w:t>{Free text}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rPr>
            </w:pPr>
          </w:p>
        </w:tc>
        <w:tc>
          <w:tcPr>
            <w:tcW w:w="1417" w:type="dxa"/>
            <w:tcBorders>
              <w:top w:val="single" w:color="auto" w:sz="4" w:space="0"/>
              <w:left w:val="single" w:color="auto" w:sz="4" w:space="0"/>
              <w:bottom w:val="single" w:color="auto" w:sz="4" w:space="0"/>
              <w:right w:val="single" w:color="auto" w:sz="4" w:space="0"/>
            </w:tcBorders>
          </w:tcPr>
          <w:p>
            <w:pPr>
              <w:spacing w:after="0"/>
              <w:rPr>
                <w:i/>
              </w:rPr>
            </w:pPr>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eastAsia="等线"/>
                <w:b/>
                <w:lang w:eastAsia="zh-CN"/>
              </w:rPr>
            </w:pPr>
          </w:p>
        </w:tc>
        <w:tc>
          <w:tcPr>
            <w:tcW w:w="4344" w:type="dxa"/>
            <w:tcBorders>
              <w:top w:val="single" w:color="auto" w:sz="4" w:space="0"/>
              <w:left w:val="single" w:color="auto" w:sz="4" w:space="0"/>
              <w:bottom w:val="single" w:color="auto" w:sz="4" w:space="0"/>
              <w:right w:val="single" w:color="auto" w:sz="4" w:space="0"/>
            </w:tcBorders>
          </w:tcPr>
          <w:p>
            <w:pPr>
              <w:spacing w:after="0"/>
              <w:rPr>
                <w:b/>
                <w:lang w:eastAsia="zh-CN"/>
              </w:rPr>
            </w:pPr>
          </w:p>
        </w:tc>
        <w:tc>
          <w:tcPr>
            <w:tcW w:w="1417" w:type="dxa"/>
            <w:tcBorders>
              <w:top w:val="single" w:color="auto" w:sz="4" w:space="0"/>
              <w:left w:val="single" w:color="auto" w:sz="4" w:space="0"/>
              <w:bottom w:val="single" w:color="auto" w:sz="4" w:space="0"/>
              <w:right w:val="single" w:color="auto" w:sz="4" w:space="0"/>
            </w:tcBorders>
          </w:tcPr>
          <w:p>
            <w:pPr>
              <w:spacing w:after="0"/>
              <w:rPr>
                <w:b/>
              </w:rPr>
            </w:pPr>
          </w:p>
        </w:tc>
        <w:tc>
          <w:tcPr>
            <w:tcW w:w="2101" w:type="dxa"/>
            <w:tcBorders>
              <w:top w:val="single" w:color="auto" w:sz="4" w:space="0"/>
              <w:left w:val="single" w:color="auto" w:sz="4" w:space="0"/>
              <w:bottom w:val="single" w:color="auto" w:sz="4" w:space="0"/>
              <w:right w:val="single" w:color="auto" w:sz="4" w:space="0"/>
            </w:tcBorders>
          </w:tcPr>
          <w:p>
            <w:pPr>
              <w:spacing w:after="0"/>
              <w:rPr>
                <w:b/>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pPr>
          </w:p>
        </w:tc>
        <w:tc>
          <w:tcPr>
            <w:tcW w:w="4344" w:type="dxa"/>
            <w:tcBorders>
              <w:top w:val="single" w:color="auto" w:sz="4" w:space="0"/>
              <w:left w:val="single" w:color="auto" w:sz="4" w:space="0"/>
              <w:bottom w:val="single" w:color="auto" w:sz="4" w:space="0"/>
              <w:right w:val="single" w:color="auto" w:sz="4" w:space="0"/>
            </w:tcBorders>
          </w:tcPr>
          <w:p>
            <w:pPr>
              <w:spacing w:after="0"/>
              <w:rPr>
                <w:lang w:eastAsia="zh-CN"/>
              </w:rPr>
            </w:pPr>
          </w:p>
        </w:tc>
        <w:tc>
          <w:tcPr>
            <w:tcW w:w="1417" w:type="dxa"/>
            <w:tcBorders>
              <w:top w:val="single" w:color="auto" w:sz="4" w:space="0"/>
              <w:left w:val="single" w:color="auto" w:sz="4" w:space="0"/>
              <w:bottom w:val="single" w:color="auto" w:sz="4" w:space="0"/>
              <w:right w:val="single" w:color="auto" w:sz="4" w:space="0"/>
            </w:tcBorders>
          </w:tcPr>
          <w:p>
            <w:pPr>
              <w:spacing w:after="0"/>
            </w:pPr>
          </w:p>
        </w:tc>
        <w:tc>
          <w:tcPr>
            <w:tcW w:w="2101" w:type="dxa"/>
            <w:tcBorders>
              <w:top w:val="single" w:color="auto" w:sz="4" w:space="0"/>
              <w:left w:val="single" w:color="auto" w:sz="4" w:space="0"/>
              <w:bottom w:val="single" w:color="auto" w:sz="4" w:space="0"/>
              <w:right w:val="single" w:color="auto" w:sz="4" w:space="0"/>
            </w:tcBorders>
          </w:tcPr>
          <w:p>
            <w:pPr>
              <w:spacing w:after="0"/>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pPr>
          </w:p>
        </w:tc>
        <w:tc>
          <w:tcPr>
            <w:tcW w:w="4344" w:type="dxa"/>
            <w:tcBorders>
              <w:top w:val="single" w:color="auto" w:sz="4" w:space="0"/>
              <w:left w:val="single" w:color="auto" w:sz="4" w:space="0"/>
              <w:bottom w:val="single" w:color="auto" w:sz="4" w:space="0"/>
              <w:right w:val="single" w:color="auto" w:sz="4" w:space="0"/>
            </w:tcBorders>
          </w:tcPr>
          <w:p>
            <w:pPr>
              <w:spacing w:after="0"/>
              <w:rPr>
                <w:lang w:eastAsia="zh-CN"/>
              </w:rPr>
            </w:pPr>
          </w:p>
        </w:tc>
        <w:tc>
          <w:tcPr>
            <w:tcW w:w="1417" w:type="dxa"/>
            <w:tcBorders>
              <w:top w:val="single" w:color="auto" w:sz="4" w:space="0"/>
              <w:left w:val="single" w:color="auto" w:sz="4" w:space="0"/>
              <w:bottom w:val="single" w:color="auto" w:sz="4" w:space="0"/>
              <w:right w:val="single" w:color="auto" w:sz="4" w:space="0"/>
            </w:tcBorders>
          </w:tcPr>
          <w:p>
            <w:pPr>
              <w:spacing w:after="0"/>
            </w:pPr>
          </w:p>
        </w:tc>
        <w:tc>
          <w:tcPr>
            <w:tcW w:w="2101" w:type="dxa"/>
            <w:tcBorders>
              <w:top w:val="single" w:color="auto" w:sz="4" w:space="0"/>
              <w:left w:val="single" w:color="auto" w:sz="4" w:space="0"/>
              <w:bottom w:val="single" w:color="auto" w:sz="4" w:space="0"/>
              <w:right w:val="single" w:color="auto" w:sz="4" w:space="0"/>
            </w:tcBorders>
          </w:tcPr>
          <w:p>
            <w:pPr>
              <w:spacing w:after="0"/>
            </w:pPr>
          </w:p>
        </w:tc>
      </w:tr>
    </w:tbl>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pPr>
      <w:r>
        <w:t>6</w:t>
      </w:r>
      <w:r>
        <w:tab/>
      </w:r>
      <w:r>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pPr>
      <w:r>
        <w:rPr>
          <w:i/>
        </w:rPr>
        <w:t xml:space="preserve">{The first listed Rapporteur is the work item primary Rapporteur. The role of a Rapporteur is further described in </w:t>
      </w:r>
      <w:r>
        <w:fldChar w:fldCharType="begin"/>
      </w:r>
      <w:r>
        <w:instrText xml:space="preserve"> HYPERLINK "http://www.3gpp.org/specifications-groups/delegates-corner/writing-a-new-spec" </w:instrText>
      </w:r>
      <w:r>
        <w:fldChar w:fldCharType="separate"/>
      </w:r>
      <w:r>
        <w:rPr>
          <w:rStyle w:val="49"/>
          <w:i/>
        </w:rPr>
        <w:t>www.3gpp.org/specifications-groups/delegates-corner/writing-a-new-spec</w:t>
      </w:r>
      <w:r>
        <w:rPr>
          <w:rStyle w:val="49"/>
          <w:i/>
        </w:rPr>
        <w:fldChar w:fldCharType="end"/>
      </w:r>
      <w:r>
        <w:rPr>
          <w:i/>
        </w:rPr>
        <w:t>. Secondary Rapporteur(s) are possible for specific secondary task(s)}</w:t>
      </w:r>
      <w:r>
        <w:t>.</w:t>
      </w:r>
    </w:p>
    <w:p>
      <w:pPr>
        <w:ind w:right="-99"/>
        <w:rPr>
          <w:i/>
        </w:rPr>
      </w:pPr>
    </w:p>
    <w:p>
      <w:pPr>
        <w:pStyle w:val="3"/>
        <w:spacing w:before="0"/>
      </w:pPr>
      <w:r>
        <w:t>7</w:t>
      </w:r>
      <w:r>
        <w:tab/>
      </w:r>
      <w:r>
        <w:t>Work item leadership</w:t>
      </w:r>
    </w:p>
    <w:p>
      <w:pPr>
        <w:ind w:right="-99"/>
        <w:rPr>
          <w:rFonts w:hint="eastAsia" w:eastAsia="MS Gothic"/>
          <w:lang w:eastAsia="ja-JP"/>
        </w:rPr>
      </w:pPr>
    </w:p>
    <w:p>
      <w:pPr>
        <w:spacing w:after="0"/>
        <w:ind w:left="1134" w:right="-96"/>
      </w:pPr>
      <w:r>
        <w:t xml:space="preserve"> </w:t>
      </w:r>
    </w:p>
    <w:p>
      <w:pPr>
        <w:pStyle w:val="3"/>
        <w:spacing w:before="0"/>
      </w:pPr>
      <w:r>
        <w:t>8</w:t>
      </w:r>
      <w:r>
        <w:tab/>
      </w:r>
      <w:r>
        <w:t>Aspects that involve other WGs</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r>
              <w:rPr>
                <w:rFonts w:hint="eastAsia"/>
                <w:lang w:eastAsia="ja-JP"/>
              </w:rPr>
              <w:t>China</w:t>
            </w:r>
            <w:r>
              <w:rPr>
                <w:lang w:eastAsia="ja-JP"/>
              </w:rPr>
              <w:t xml:space="preserve">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jc w:val="center"/>
              <w:rPr>
                <w:lang w:eastAsia="ja-JP"/>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游明朝">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游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Gulim">
    <w:panose1 w:val="020B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217971"/>
    <w:multiLevelType w:val="multilevel"/>
    <w:tmpl w:val="172179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0C"/>
    <w:rsid w:val="00003B9A"/>
    <w:rsid w:val="0000636F"/>
    <w:rsid w:val="00006EF7"/>
    <w:rsid w:val="00011074"/>
    <w:rsid w:val="0001220A"/>
    <w:rsid w:val="000132D1"/>
    <w:rsid w:val="000170AA"/>
    <w:rsid w:val="000205C5"/>
    <w:rsid w:val="000233B6"/>
    <w:rsid w:val="00025316"/>
    <w:rsid w:val="00037C06"/>
    <w:rsid w:val="00044DAE"/>
    <w:rsid w:val="00045352"/>
    <w:rsid w:val="00052BF8"/>
    <w:rsid w:val="00057116"/>
    <w:rsid w:val="00063D5F"/>
    <w:rsid w:val="00064CB2"/>
    <w:rsid w:val="00066954"/>
    <w:rsid w:val="00067741"/>
    <w:rsid w:val="00072A56"/>
    <w:rsid w:val="0007656C"/>
    <w:rsid w:val="000811CD"/>
    <w:rsid w:val="00082CCB"/>
    <w:rsid w:val="00083F8C"/>
    <w:rsid w:val="00090D08"/>
    <w:rsid w:val="0009251B"/>
    <w:rsid w:val="00093D1B"/>
    <w:rsid w:val="000A3125"/>
    <w:rsid w:val="000B0519"/>
    <w:rsid w:val="000B1ABD"/>
    <w:rsid w:val="000B61FD"/>
    <w:rsid w:val="000B7429"/>
    <w:rsid w:val="000C0BF7"/>
    <w:rsid w:val="000C5FE3"/>
    <w:rsid w:val="000D122A"/>
    <w:rsid w:val="000E55AD"/>
    <w:rsid w:val="000E630D"/>
    <w:rsid w:val="000F3E69"/>
    <w:rsid w:val="000F4D26"/>
    <w:rsid w:val="001001BD"/>
    <w:rsid w:val="00102222"/>
    <w:rsid w:val="00102F07"/>
    <w:rsid w:val="00103DF9"/>
    <w:rsid w:val="00104EAB"/>
    <w:rsid w:val="00110851"/>
    <w:rsid w:val="00116D39"/>
    <w:rsid w:val="00120541"/>
    <w:rsid w:val="001211F3"/>
    <w:rsid w:val="00127B5D"/>
    <w:rsid w:val="00136D07"/>
    <w:rsid w:val="00143F34"/>
    <w:rsid w:val="00155BD3"/>
    <w:rsid w:val="00166CCC"/>
    <w:rsid w:val="00171925"/>
    <w:rsid w:val="00173998"/>
    <w:rsid w:val="00174617"/>
    <w:rsid w:val="001759A7"/>
    <w:rsid w:val="001808F9"/>
    <w:rsid w:val="001879A9"/>
    <w:rsid w:val="001A4192"/>
    <w:rsid w:val="001B702B"/>
    <w:rsid w:val="001C5C86"/>
    <w:rsid w:val="001C718D"/>
    <w:rsid w:val="001D618B"/>
    <w:rsid w:val="001E14C4"/>
    <w:rsid w:val="001F1806"/>
    <w:rsid w:val="001F3C08"/>
    <w:rsid w:val="001F7EB4"/>
    <w:rsid w:val="002000C2"/>
    <w:rsid w:val="00205F25"/>
    <w:rsid w:val="00221B1E"/>
    <w:rsid w:val="00225F66"/>
    <w:rsid w:val="00240DCD"/>
    <w:rsid w:val="0024786B"/>
    <w:rsid w:val="00251D80"/>
    <w:rsid w:val="0025415E"/>
    <w:rsid w:val="00254FB5"/>
    <w:rsid w:val="0026195B"/>
    <w:rsid w:val="0026214F"/>
    <w:rsid w:val="00263143"/>
    <w:rsid w:val="002640E5"/>
    <w:rsid w:val="0026436F"/>
    <w:rsid w:val="0026606E"/>
    <w:rsid w:val="00276403"/>
    <w:rsid w:val="00276D04"/>
    <w:rsid w:val="0027734E"/>
    <w:rsid w:val="00277CAA"/>
    <w:rsid w:val="00282954"/>
    <w:rsid w:val="002A18AC"/>
    <w:rsid w:val="002A3FB5"/>
    <w:rsid w:val="002C1C50"/>
    <w:rsid w:val="002C52E6"/>
    <w:rsid w:val="002C65BF"/>
    <w:rsid w:val="002E6A7D"/>
    <w:rsid w:val="002E7A9E"/>
    <w:rsid w:val="002F077B"/>
    <w:rsid w:val="002F0E85"/>
    <w:rsid w:val="002F2C06"/>
    <w:rsid w:val="002F3C41"/>
    <w:rsid w:val="002F6C5C"/>
    <w:rsid w:val="0030045C"/>
    <w:rsid w:val="003059ED"/>
    <w:rsid w:val="00317806"/>
    <w:rsid w:val="003205AD"/>
    <w:rsid w:val="0033027D"/>
    <w:rsid w:val="003334A2"/>
    <w:rsid w:val="00335FB2"/>
    <w:rsid w:val="003368CB"/>
    <w:rsid w:val="00344158"/>
    <w:rsid w:val="00347B74"/>
    <w:rsid w:val="00355CB6"/>
    <w:rsid w:val="00366257"/>
    <w:rsid w:val="003664D6"/>
    <w:rsid w:val="003702C5"/>
    <w:rsid w:val="00372FD6"/>
    <w:rsid w:val="0038055F"/>
    <w:rsid w:val="00382596"/>
    <w:rsid w:val="0038516D"/>
    <w:rsid w:val="003869D7"/>
    <w:rsid w:val="003A08AA"/>
    <w:rsid w:val="003A1EB0"/>
    <w:rsid w:val="003B3A93"/>
    <w:rsid w:val="003B4502"/>
    <w:rsid w:val="003C0F14"/>
    <w:rsid w:val="003C2DA6"/>
    <w:rsid w:val="003C5A2B"/>
    <w:rsid w:val="003C6DA6"/>
    <w:rsid w:val="003D2781"/>
    <w:rsid w:val="003D62A9"/>
    <w:rsid w:val="003F04C7"/>
    <w:rsid w:val="003F0BEF"/>
    <w:rsid w:val="003F268E"/>
    <w:rsid w:val="003F7142"/>
    <w:rsid w:val="003F7B3D"/>
    <w:rsid w:val="0040206E"/>
    <w:rsid w:val="0040240E"/>
    <w:rsid w:val="00411698"/>
    <w:rsid w:val="00414164"/>
    <w:rsid w:val="0041789B"/>
    <w:rsid w:val="004212CA"/>
    <w:rsid w:val="004260A5"/>
    <w:rsid w:val="00432283"/>
    <w:rsid w:val="00433DF9"/>
    <w:rsid w:val="00437423"/>
    <w:rsid w:val="0043745F"/>
    <w:rsid w:val="00437F58"/>
    <w:rsid w:val="0044029F"/>
    <w:rsid w:val="00440BC9"/>
    <w:rsid w:val="00454609"/>
    <w:rsid w:val="00455DE4"/>
    <w:rsid w:val="00462A9F"/>
    <w:rsid w:val="00473326"/>
    <w:rsid w:val="0048267C"/>
    <w:rsid w:val="004876B9"/>
    <w:rsid w:val="004905F8"/>
    <w:rsid w:val="00493A79"/>
    <w:rsid w:val="00495840"/>
    <w:rsid w:val="004A40BE"/>
    <w:rsid w:val="004A6A60"/>
    <w:rsid w:val="004B077A"/>
    <w:rsid w:val="004C0726"/>
    <w:rsid w:val="004C1DCC"/>
    <w:rsid w:val="004C634D"/>
    <w:rsid w:val="004D24B9"/>
    <w:rsid w:val="004E0B68"/>
    <w:rsid w:val="004E2CE2"/>
    <w:rsid w:val="004E5172"/>
    <w:rsid w:val="004E6F8A"/>
    <w:rsid w:val="004E70AB"/>
    <w:rsid w:val="0050027E"/>
    <w:rsid w:val="00501091"/>
    <w:rsid w:val="00502CD2"/>
    <w:rsid w:val="00504E33"/>
    <w:rsid w:val="00505D7A"/>
    <w:rsid w:val="00507D3C"/>
    <w:rsid w:val="0054534B"/>
    <w:rsid w:val="0055216E"/>
    <w:rsid w:val="00552C2C"/>
    <w:rsid w:val="005555B7"/>
    <w:rsid w:val="005562A8"/>
    <w:rsid w:val="005573BB"/>
    <w:rsid w:val="00557B2E"/>
    <w:rsid w:val="00561267"/>
    <w:rsid w:val="0056506D"/>
    <w:rsid w:val="00571E3F"/>
    <w:rsid w:val="00574059"/>
    <w:rsid w:val="00582658"/>
    <w:rsid w:val="00586951"/>
    <w:rsid w:val="00590087"/>
    <w:rsid w:val="005A032D"/>
    <w:rsid w:val="005A48F6"/>
    <w:rsid w:val="005A6C48"/>
    <w:rsid w:val="005B22BC"/>
    <w:rsid w:val="005B5675"/>
    <w:rsid w:val="005B7B9B"/>
    <w:rsid w:val="005C29F7"/>
    <w:rsid w:val="005C4F58"/>
    <w:rsid w:val="005C5E8D"/>
    <w:rsid w:val="005C5FF7"/>
    <w:rsid w:val="005C78F2"/>
    <w:rsid w:val="005D057C"/>
    <w:rsid w:val="005D3FEC"/>
    <w:rsid w:val="005D44BE"/>
    <w:rsid w:val="005D701E"/>
    <w:rsid w:val="005D7689"/>
    <w:rsid w:val="005E088B"/>
    <w:rsid w:val="005E1BCB"/>
    <w:rsid w:val="005E734C"/>
    <w:rsid w:val="00602FAC"/>
    <w:rsid w:val="00611EC4"/>
    <w:rsid w:val="00612542"/>
    <w:rsid w:val="006146D2"/>
    <w:rsid w:val="00617A53"/>
    <w:rsid w:val="00620B3F"/>
    <w:rsid w:val="006239E7"/>
    <w:rsid w:val="006254C4"/>
    <w:rsid w:val="006323BE"/>
    <w:rsid w:val="006418C6"/>
    <w:rsid w:val="00641ADF"/>
    <w:rsid w:val="00641CB1"/>
    <w:rsid w:val="00641ED8"/>
    <w:rsid w:val="006422F1"/>
    <w:rsid w:val="006503BE"/>
    <w:rsid w:val="00650516"/>
    <w:rsid w:val="00654893"/>
    <w:rsid w:val="006633A4"/>
    <w:rsid w:val="006634A8"/>
    <w:rsid w:val="00664D70"/>
    <w:rsid w:val="00667DD2"/>
    <w:rsid w:val="00671BBB"/>
    <w:rsid w:val="00677C03"/>
    <w:rsid w:val="00682237"/>
    <w:rsid w:val="006A0EF8"/>
    <w:rsid w:val="006A45BA"/>
    <w:rsid w:val="006A5DF9"/>
    <w:rsid w:val="006A7A09"/>
    <w:rsid w:val="006B17DC"/>
    <w:rsid w:val="006B4280"/>
    <w:rsid w:val="006B4B1C"/>
    <w:rsid w:val="006B67BC"/>
    <w:rsid w:val="006C1330"/>
    <w:rsid w:val="006C1F27"/>
    <w:rsid w:val="006C4991"/>
    <w:rsid w:val="006D1F47"/>
    <w:rsid w:val="006E0F19"/>
    <w:rsid w:val="006E1FDA"/>
    <w:rsid w:val="006E215A"/>
    <w:rsid w:val="006E5E87"/>
    <w:rsid w:val="00706A1A"/>
    <w:rsid w:val="00707673"/>
    <w:rsid w:val="007162BE"/>
    <w:rsid w:val="00717337"/>
    <w:rsid w:val="00722267"/>
    <w:rsid w:val="00731754"/>
    <w:rsid w:val="00733FE0"/>
    <w:rsid w:val="00746F46"/>
    <w:rsid w:val="0075252A"/>
    <w:rsid w:val="0076388B"/>
    <w:rsid w:val="00764B84"/>
    <w:rsid w:val="00765028"/>
    <w:rsid w:val="007752E5"/>
    <w:rsid w:val="0078034D"/>
    <w:rsid w:val="007841B6"/>
    <w:rsid w:val="00790BCC"/>
    <w:rsid w:val="00795CEE"/>
    <w:rsid w:val="00796F94"/>
    <w:rsid w:val="007974F5"/>
    <w:rsid w:val="007A2B6F"/>
    <w:rsid w:val="007A5AA5"/>
    <w:rsid w:val="007A6136"/>
    <w:rsid w:val="007B0F49"/>
    <w:rsid w:val="007B18CE"/>
    <w:rsid w:val="007C7E14"/>
    <w:rsid w:val="007D03D2"/>
    <w:rsid w:val="007D0EE7"/>
    <w:rsid w:val="007D1AB2"/>
    <w:rsid w:val="007D36CF"/>
    <w:rsid w:val="007F522E"/>
    <w:rsid w:val="007F7421"/>
    <w:rsid w:val="00801F7F"/>
    <w:rsid w:val="00813C1F"/>
    <w:rsid w:val="00825F78"/>
    <w:rsid w:val="00834A60"/>
    <w:rsid w:val="00863E89"/>
    <w:rsid w:val="00865228"/>
    <w:rsid w:val="00866DA6"/>
    <w:rsid w:val="00872B3B"/>
    <w:rsid w:val="0088222A"/>
    <w:rsid w:val="008835FC"/>
    <w:rsid w:val="008901F6"/>
    <w:rsid w:val="00896C03"/>
    <w:rsid w:val="008A495D"/>
    <w:rsid w:val="008A76FD"/>
    <w:rsid w:val="008B114B"/>
    <w:rsid w:val="008B2D09"/>
    <w:rsid w:val="008B3722"/>
    <w:rsid w:val="008B519F"/>
    <w:rsid w:val="008B5850"/>
    <w:rsid w:val="008B5CB0"/>
    <w:rsid w:val="008B711F"/>
    <w:rsid w:val="008C0E78"/>
    <w:rsid w:val="008C1DBD"/>
    <w:rsid w:val="008C537F"/>
    <w:rsid w:val="008C6178"/>
    <w:rsid w:val="008D658B"/>
    <w:rsid w:val="008E045F"/>
    <w:rsid w:val="008E0479"/>
    <w:rsid w:val="008E5DF5"/>
    <w:rsid w:val="009002C6"/>
    <w:rsid w:val="00922FCB"/>
    <w:rsid w:val="00926915"/>
    <w:rsid w:val="00935CB0"/>
    <w:rsid w:val="009379B3"/>
    <w:rsid w:val="009427D3"/>
    <w:rsid w:val="009428A9"/>
    <w:rsid w:val="00943426"/>
    <w:rsid w:val="009437A2"/>
    <w:rsid w:val="00944B28"/>
    <w:rsid w:val="00945558"/>
    <w:rsid w:val="00953E83"/>
    <w:rsid w:val="00955E50"/>
    <w:rsid w:val="00956533"/>
    <w:rsid w:val="00965D92"/>
    <w:rsid w:val="00967838"/>
    <w:rsid w:val="009804C3"/>
    <w:rsid w:val="00982BB8"/>
    <w:rsid w:val="00982CD6"/>
    <w:rsid w:val="00984731"/>
    <w:rsid w:val="00985B73"/>
    <w:rsid w:val="009870A7"/>
    <w:rsid w:val="00992266"/>
    <w:rsid w:val="00994A54"/>
    <w:rsid w:val="00997A71"/>
    <w:rsid w:val="009A0B51"/>
    <w:rsid w:val="009A3BC4"/>
    <w:rsid w:val="009A43CE"/>
    <w:rsid w:val="009A527F"/>
    <w:rsid w:val="009A5FDD"/>
    <w:rsid w:val="009A6092"/>
    <w:rsid w:val="009B1936"/>
    <w:rsid w:val="009B314C"/>
    <w:rsid w:val="009B493F"/>
    <w:rsid w:val="009B6A99"/>
    <w:rsid w:val="009C0B38"/>
    <w:rsid w:val="009C2977"/>
    <w:rsid w:val="009C2DCC"/>
    <w:rsid w:val="009C51EA"/>
    <w:rsid w:val="009D20FC"/>
    <w:rsid w:val="009D3DDE"/>
    <w:rsid w:val="009E6C21"/>
    <w:rsid w:val="009F7959"/>
    <w:rsid w:val="00A01CFF"/>
    <w:rsid w:val="00A10539"/>
    <w:rsid w:val="00A15763"/>
    <w:rsid w:val="00A226C6"/>
    <w:rsid w:val="00A27912"/>
    <w:rsid w:val="00A338A3"/>
    <w:rsid w:val="00A339CF"/>
    <w:rsid w:val="00A35110"/>
    <w:rsid w:val="00A36378"/>
    <w:rsid w:val="00A40015"/>
    <w:rsid w:val="00A47445"/>
    <w:rsid w:val="00A5376F"/>
    <w:rsid w:val="00A6656B"/>
    <w:rsid w:val="00A66602"/>
    <w:rsid w:val="00A70E1E"/>
    <w:rsid w:val="00A73257"/>
    <w:rsid w:val="00A73E32"/>
    <w:rsid w:val="00A9081F"/>
    <w:rsid w:val="00A9188C"/>
    <w:rsid w:val="00A9505C"/>
    <w:rsid w:val="00A97002"/>
    <w:rsid w:val="00A97A52"/>
    <w:rsid w:val="00AA0B48"/>
    <w:rsid w:val="00AA0D6A"/>
    <w:rsid w:val="00AB58BF"/>
    <w:rsid w:val="00AB5A5B"/>
    <w:rsid w:val="00AC3EB2"/>
    <w:rsid w:val="00AD0751"/>
    <w:rsid w:val="00AD77C4"/>
    <w:rsid w:val="00AE25BF"/>
    <w:rsid w:val="00AF0C13"/>
    <w:rsid w:val="00AF1E7D"/>
    <w:rsid w:val="00B01ACB"/>
    <w:rsid w:val="00B03AF5"/>
    <w:rsid w:val="00B03C01"/>
    <w:rsid w:val="00B068BB"/>
    <w:rsid w:val="00B078D6"/>
    <w:rsid w:val="00B1248D"/>
    <w:rsid w:val="00B14709"/>
    <w:rsid w:val="00B2743D"/>
    <w:rsid w:val="00B27FD2"/>
    <w:rsid w:val="00B3015C"/>
    <w:rsid w:val="00B32E77"/>
    <w:rsid w:val="00B344D8"/>
    <w:rsid w:val="00B34E14"/>
    <w:rsid w:val="00B567D1"/>
    <w:rsid w:val="00B56D34"/>
    <w:rsid w:val="00B7380A"/>
    <w:rsid w:val="00B73B4C"/>
    <w:rsid w:val="00B73F75"/>
    <w:rsid w:val="00B8483E"/>
    <w:rsid w:val="00B85ED9"/>
    <w:rsid w:val="00B946CD"/>
    <w:rsid w:val="00B96481"/>
    <w:rsid w:val="00BA3A53"/>
    <w:rsid w:val="00BA3C54"/>
    <w:rsid w:val="00BA4095"/>
    <w:rsid w:val="00BA5B43"/>
    <w:rsid w:val="00BA6E5C"/>
    <w:rsid w:val="00BA73C1"/>
    <w:rsid w:val="00BB5EBF"/>
    <w:rsid w:val="00BC642A"/>
    <w:rsid w:val="00BE70D5"/>
    <w:rsid w:val="00BF3266"/>
    <w:rsid w:val="00BF429B"/>
    <w:rsid w:val="00BF7C9D"/>
    <w:rsid w:val="00C01130"/>
    <w:rsid w:val="00C01E8C"/>
    <w:rsid w:val="00C02DF6"/>
    <w:rsid w:val="00C03E01"/>
    <w:rsid w:val="00C0666E"/>
    <w:rsid w:val="00C11746"/>
    <w:rsid w:val="00C211FB"/>
    <w:rsid w:val="00C23582"/>
    <w:rsid w:val="00C24508"/>
    <w:rsid w:val="00C2724D"/>
    <w:rsid w:val="00C27CA9"/>
    <w:rsid w:val="00C317E7"/>
    <w:rsid w:val="00C36C0A"/>
    <w:rsid w:val="00C3799C"/>
    <w:rsid w:val="00C4080A"/>
    <w:rsid w:val="00C4305E"/>
    <w:rsid w:val="00C43D1E"/>
    <w:rsid w:val="00C44336"/>
    <w:rsid w:val="00C50F7C"/>
    <w:rsid w:val="00C51704"/>
    <w:rsid w:val="00C52E2E"/>
    <w:rsid w:val="00C5591F"/>
    <w:rsid w:val="00C568DA"/>
    <w:rsid w:val="00C57C50"/>
    <w:rsid w:val="00C715CA"/>
    <w:rsid w:val="00C7495D"/>
    <w:rsid w:val="00C7708E"/>
    <w:rsid w:val="00C77CE9"/>
    <w:rsid w:val="00C94C78"/>
    <w:rsid w:val="00C96B92"/>
    <w:rsid w:val="00CA0968"/>
    <w:rsid w:val="00CA168E"/>
    <w:rsid w:val="00CA6C93"/>
    <w:rsid w:val="00CB0647"/>
    <w:rsid w:val="00CB4236"/>
    <w:rsid w:val="00CB6AF4"/>
    <w:rsid w:val="00CC5517"/>
    <w:rsid w:val="00CC72A4"/>
    <w:rsid w:val="00CD3153"/>
    <w:rsid w:val="00CD39E3"/>
    <w:rsid w:val="00CF6810"/>
    <w:rsid w:val="00D06117"/>
    <w:rsid w:val="00D11CAA"/>
    <w:rsid w:val="00D14BC9"/>
    <w:rsid w:val="00D24760"/>
    <w:rsid w:val="00D31CC8"/>
    <w:rsid w:val="00D32678"/>
    <w:rsid w:val="00D360FD"/>
    <w:rsid w:val="00D521C1"/>
    <w:rsid w:val="00D575B0"/>
    <w:rsid w:val="00D71F40"/>
    <w:rsid w:val="00D77416"/>
    <w:rsid w:val="00D80FC6"/>
    <w:rsid w:val="00D8707A"/>
    <w:rsid w:val="00D94917"/>
    <w:rsid w:val="00D96F24"/>
    <w:rsid w:val="00DA74F3"/>
    <w:rsid w:val="00DB28AF"/>
    <w:rsid w:val="00DB69F3"/>
    <w:rsid w:val="00DC4907"/>
    <w:rsid w:val="00DC7372"/>
    <w:rsid w:val="00DD017C"/>
    <w:rsid w:val="00DD1E6E"/>
    <w:rsid w:val="00DD397A"/>
    <w:rsid w:val="00DD58B7"/>
    <w:rsid w:val="00DD6699"/>
    <w:rsid w:val="00DD69BD"/>
    <w:rsid w:val="00DF6154"/>
    <w:rsid w:val="00E007C5"/>
    <w:rsid w:val="00E00DBF"/>
    <w:rsid w:val="00E0213F"/>
    <w:rsid w:val="00E033E0"/>
    <w:rsid w:val="00E04FF5"/>
    <w:rsid w:val="00E1026B"/>
    <w:rsid w:val="00E13CB2"/>
    <w:rsid w:val="00E14F3E"/>
    <w:rsid w:val="00E17D76"/>
    <w:rsid w:val="00E20C37"/>
    <w:rsid w:val="00E22EC3"/>
    <w:rsid w:val="00E3018E"/>
    <w:rsid w:val="00E35FF9"/>
    <w:rsid w:val="00E50F59"/>
    <w:rsid w:val="00E52C57"/>
    <w:rsid w:val="00E535AA"/>
    <w:rsid w:val="00E57E7D"/>
    <w:rsid w:val="00E70355"/>
    <w:rsid w:val="00E76248"/>
    <w:rsid w:val="00E84CD8"/>
    <w:rsid w:val="00E90B85"/>
    <w:rsid w:val="00E91679"/>
    <w:rsid w:val="00E92452"/>
    <w:rsid w:val="00E94CC1"/>
    <w:rsid w:val="00E96431"/>
    <w:rsid w:val="00E9736C"/>
    <w:rsid w:val="00EA4417"/>
    <w:rsid w:val="00EB75BC"/>
    <w:rsid w:val="00EC3039"/>
    <w:rsid w:val="00EC5235"/>
    <w:rsid w:val="00EC69DE"/>
    <w:rsid w:val="00ED6B03"/>
    <w:rsid w:val="00ED7A5B"/>
    <w:rsid w:val="00EF374A"/>
    <w:rsid w:val="00EF6C75"/>
    <w:rsid w:val="00F02F51"/>
    <w:rsid w:val="00F07C92"/>
    <w:rsid w:val="00F113BC"/>
    <w:rsid w:val="00F138AB"/>
    <w:rsid w:val="00F14B43"/>
    <w:rsid w:val="00F160B2"/>
    <w:rsid w:val="00F203C7"/>
    <w:rsid w:val="00F215E2"/>
    <w:rsid w:val="00F21E3F"/>
    <w:rsid w:val="00F300F3"/>
    <w:rsid w:val="00F41A27"/>
    <w:rsid w:val="00F41D74"/>
    <w:rsid w:val="00F4338D"/>
    <w:rsid w:val="00F440D3"/>
    <w:rsid w:val="00F446AC"/>
    <w:rsid w:val="00F46EAF"/>
    <w:rsid w:val="00F5261A"/>
    <w:rsid w:val="00F5488C"/>
    <w:rsid w:val="00F5774F"/>
    <w:rsid w:val="00F62688"/>
    <w:rsid w:val="00F76BE5"/>
    <w:rsid w:val="00F83D11"/>
    <w:rsid w:val="00F921F1"/>
    <w:rsid w:val="00F9491C"/>
    <w:rsid w:val="00FB127E"/>
    <w:rsid w:val="00FC0248"/>
    <w:rsid w:val="00FC0804"/>
    <w:rsid w:val="00FC32E0"/>
    <w:rsid w:val="00FC3B6D"/>
    <w:rsid w:val="00FD259D"/>
    <w:rsid w:val="00FD3A4E"/>
    <w:rsid w:val="00FD73FD"/>
    <w:rsid w:val="00FF3F0C"/>
    <w:rsid w:val="297F7D4C"/>
    <w:rsid w:val="3D560068"/>
    <w:rsid w:val="46F559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annotation text"/>
    <w:basedOn w:val="1"/>
    <w:link w:val="91"/>
    <w:semiHidden/>
    <w:uiPriority w:val="0"/>
  </w:style>
  <w:style w:type="paragraph" w:styleId="29">
    <w:name w:val="Body Text"/>
    <w:basedOn w:val="1"/>
    <w:uiPriority w:val="0"/>
    <w:pPr>
      <w:widowControl w:val="0"/>
    </w:pPr>
    <w:rPr>
      <w:i/>
      <w:lang w:val="en-US"/>
    </w:rPr>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ody Text Indent 2"/>
    <w:basedOn w:val="1"/>
    <w:uiPriority w:val="0"/>
    <w:pPr>
      <w:ind w:left="284"/>
      <w:jc w:val="both"/>
    </w:pPr>
    <w:rPr>
      <w:rFonts w:ascii="Arial" w:hAnsi="Arial"/>
      <w:sz w:val="22"/>
    </w:rPr>
  </w:style>
  <w:style w:type="paragraph" w:styleId="33">
    <w:name w:val="endnote text"/>
    <w:basedOn w:val="1"/>
    <w:semiHidden/>
    <w:uiPriority w:val="0"/>
  </w:style>
  <w:style w:type="paragraph" w:styleId="34">
    <w:name w:val="Balloon Text"/>
    <w:basedOn w:val="1"/>
    <w:semiHidden/>
    <w:uiPriority w:val="0"/>
    <w:rPr>
      <w:rFonts w:ascii="Tahoma" w:hAnsi="Tahoma" w:cs="Tahoma"/>
      <w:sz w:val="16"/>
      <w:szCs w:val="16"/>
    </w:rPr>
  </w:style>
  <w:style w:type="paragraph" w:styleId="35">
    <w:name w:val="footer"/>
    <w:basedOn w:val="36"/>
    <w:uiPriority w:val="0"/>
    <w:pPr>
      <w:jc w:val="center"/>
    </w:pPr>
    <w:rPr>
      <w:i/>
    </w:rPr>
  </w:style>
  <w:style w:type="paragraph" w:styleId="36">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7">
    <w:name w:val="footnote text"/>
    <w:basedOn w:val="1"/>
    <w:semiHidden/>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uiPriority w:val="0"/>
    <w:pPr>
      <w:ind w:left="1418"/>
    </w:pPr>
  </w:style>
  <w:style w:type="paragraph" w:styleId="40">
    <w:name w:val="toc 9"/>
    <w:basedOn w:val="31"/>
    <w:next w:val="1"/>
    <w:semiHidden/>
    <w:uiPriority w:val="0"/>
    <w:pPr>
      <w:ind w:left="1418" w:hanging="1418"/>
    </w:pPr>
  </w:style>
  <w:style w:type="paragraph" w:styleId="41">
    <w:name w:val="index 1"/>
    <w:basedOn w:val="1"/>
    <w:next w:val="1"/>
    <w:semiHidden/>
    <w:uiPriority w:val="0"/>
    <w:pPr>
      <w:keepLines/>
      <w:spacing w:after="0"/>
    </w:pPr>
  </w:style>
  <w:style w:type="paragraph" w:styleId="42">
    <w:name w:val="index 2"/>
    <w:basedOn w:val="41"/>
    <w:next w:val="1"/>
    <w:semiHidden/>
    <w:uiPriority w:val="0"/>
    <w:pPr>
      <w:ind w:left="284"/>
    </w:pPr>
  </w:style>
  <w:style w:type="paragraph" w:styleId="43">
    <w:name w:val="annotation subject"/>
    <w:basedOn w:val="28"/>
    <w:next w:val="28"/>
    <w:semiHidden/>
    <w:uiPriority w:val="0"/>
    <w:rPr>
      <w:b/>
      <w:bCs/>
    </w:rPr>
  </w:style>
  <w:style w:type="table" w:styleId="45">
    <w:name w:val="Table Grid"/>
    <w:basedOn w:val="4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uiPriority w:val="0"/>
    <w:rPr>
      <w:color w:val="0000FF"/>
      <w:u w:val="single"/>
    </w:rPr>
  </w:style>
  <w:style w:type="character" w:styleId="50">
    <w:name w:val="annotation reference"/>
    <w:semiHidden/>
    <w:uiPriority w:val="0"/>
    <w:rPr>
      <w:sz w:val="16"/>
      <w:szCs w:val="16"/>
    </w:rPr>
  </w:style>
  <w:style w:type="character" w:styleId="51">
    <w:name w:val="footnote reference"/>
    <w:semiHidden/>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uiPriority w:val="0"/>
    <w:pPr>
      <w:widowControl w:val="0"/>
      <w:spacing w:after="120" w:line="240" w:lineRule="atLeast"/>
      <w:ind w:left="1260" w:hanging="551"/>
    </w:pPr>
    <w:rPr>
      <w:rFonts w:ascii="Arial" w:hAnsi="Arial"/>
      <w:b/>
      <w:sz w:val="22"/>
    </w:rPr>
  </w:style>
  <w:style w:type="paragraph" w:customStyle="1" w:styleId="54">
    <w:name w:val="TAH"/>
    <w:basedOn w:val="55"/>
    <w:uiPriority w:val="0"/>
    <w:rPr>
      <w:b/>
    </w:rPr>
  </w:style>
  <w:style w:type="paragraph" w:customStyle="1" w:styleId="55">
    <w:name w:val="TAC"/>
    <w:basedOn w:val="52"/>
    <w:uiPriority w:val="0"/>
    <w:pPr>
      <w:jc w:val="center"/>
    </w:pPr>
  </w:style>
  <w:style w:type="paragraph" w:customStyle="1" w:styleId="56">
    <w:name w:val="HE"/>
    <w:basedOn w:val="1"/>
    <w:uiPriority w:val="0"/>
    <w:rPr>
      <w:rFonts w:ascii="Arial" w:hAnsi="Arial"/>
      <w:b/>
    </w:rPr>
  </w:style>
  <w:style w:type="paragraph" w:customStyle="1" w:styleId="57">
    <w:name w:val="CR Cover Page"/>
    <w:uiPriority w:val="0"/>
    <w:pPr>
      <w:spacing w:after="120"/>
    </w:pPr>
    <w:rPr>
      <w:rFonts w:ascii="Arial" w:hAnsi="Arial" w:cs="Times New Roman" w:eastAsiaTheme="minorEastAsia"/>
      <w:lang w:val="en-GB" w:eastAsia="en-US" w:bidi="ar-SA"/>
    </w:rPr>
  </w:style>
  <w:style w:type="paragraph" w:customStyle="1" w:styleId="5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9">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0">
    <w:name w:val="TT"/>
    <w:basedOn w:val="2"/>
    <w:next w:val="1"/>
    <w:uiPriority w:val="0"/>
    <w:pPr>
      <w:outlineLvl w:val="9"/>
    </w:pPr>
  </w:style>
  <w:style w:type="paragraph" w:customStyle="1" w:styleId="61">
    <w:name w:val="TF"/>
    <w:basedOn w:val="62"/>
    <w:uiPriority w:val="0"/>
    <w:pPr>
      <w:keepNext w:val="0"/>
      <w:spacing w:before="0" w:after="240"/>
    </w:pPr>
  </w:style>
  <w:style w:type="paragraph" w:customStyle="1" w:styleId="62">
    <w:name w:val="TH"/>
    <w:basedOn w:val="1"/>
    <w:uiPriority w:val="0"/>
    <w:pPr>
      <w:keepNext/>
      <w:keepLines/>
      <w:spacing w:before="60"/>
      <w:jc w:val="center"/>
    </w:pPr>
    <w:rPr>
      <w:rFonts w:ascii="Arial" w:hAnsi="Arial"/>
      <w:b/>
    </w:rPr>
  </w:style>
  <w:style w:type="paragraph" w:customStyle="1" w:styleId="63">
    <w:name w:val="NO"/>
    <w:basedOn w:val="1"/>
    <w:uiPriority w:val="0"/>
    <w:pPr>
      <w:keepLines/>
      <w:ind w:left="1135" w:hanging="851"/>
    </w:pPr>
  </w:style>
  <w:style w:type="paragraph" w:customStyle="1" w:styleId="64">
    <w:name w:val="EX"/>
    <w:basedOn w:val="1"/>
    <w:uiPriority w:val="0"/>
    <w:pPr>
      <w:keepLines/>
      <w:ind w:left="1702" w:hanging="1418"/>
    </w:pPr>
  </w:style>
  <w:style w:type="paragraph" w:customStyle="1" w:styleId="65">
    <w:name w:val="FP"/>
    <w:basedOn w:val="1"/>
    <w:uiPriority w:val="0"/>
    <w:pPr>
      <w:spacing w:after="0"/>
    </w:pPr>
  </w:style>
  <w:style w:type="paragraph" w:customStyle="1" w:styleId="66">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7">
    <w:name w:val="NW"/>
    <w:basedOn w:val="63"/>
    <w:uiPriority w:val="0"/>
    <w:pPr>
      <w:spacing w:after="0"/>
    </w:pPr>
  </w:style>
  <w:style w:type="paragraph" w:customStyle="1" w:styleId="68">
    <w:name w:val="EW"/>
    <w:basedOn w:val="64"/>
    <w:uiPriority w:val="0"/>
    <w:pPr>
      <w:spacing w:after="0"/>
    </w:pPr>
  </w:style>
  <w:style w:type="paragraph" w:customStyle="1" w:styleId="69">
    <w:name w:val="EQ"/>
    <w:basedOn w:val="1"/>
    <w:next w:val="1"/>
    <w:uiPriority w:val="0"/>
    <w:pPr>
      <w:keepLines/>
      <w:tabs>
        <w:tab w:val="center" w:pos="4536"/>
        <w:tab w:val="right" w:pos="9072"/>
      </w:tabs>
    </w:pPr>
  </w:style>
  <w:style w:type="paragraph" w:customStyle="1" w:styleId="70">
    <w:name w:val="NF"/>
    <w:basedOn w:val="63"/>
    <w:uiPriority w:val="0"/>
    <w:pPr>
      <w:keepNext/>
      <w:spacing w:after="0"/>
    </w:pPr>
    <w:rPr>
      <w:rFonts w:ascii="Arial" w:hAnsi="Arial"/>
      <w:sz w:val="18"/>
    </w:rPr>
  </w:style>
  <w:style w:type="paragraph" w:customStyle="1" w:styleId="7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2">
    <w:name w:val="TAR"/>
    <w:basedOn w:val="52"/>
    <w:uiPriority w:val="0"/>
    <w:pPr>
      <w:jc w:val="right"/>
    </w:pPr>
  </w:style>
  <w:style w:type="paragraph" w:customStyle="1" w:styleId="73">
    <w:name w:val="TAN"/>
    <w:basedOn w:val="52"/>
    <w:uiPriority w:val="0"/>
    <w:pPr>
      <w:ind w:left="851" w:hanging="851"/>
    </w:pPr>
  </w:style>
  <w:style w:type="paragraph" w:customStyle="1" w:styleId="7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5">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6">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8">
    <w:name w:val="ZV"/>
    <w:basedOn w:val="77"/>
    <w:uiPriority w:val="0"/>
    <w:pPr>
      <w:framePr w:y="16161"/>
    </w:pPr>
  </w:style>
  <w:style w:type="character" w:customStyle="1" w:styleId="79">
    <w:name w:val="ZGSM"/>
    <w:uiPriority w:val="0"/>
  </w:style>
  <w:style w:type="paragraph" w:customStyle="1" w:styleId="80">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1">
    <w:name w:val="Editor's Note"/>
    <w:basedOn w:val="63"/>
    <w:uiPriority w:val="0"/>
    <w:rPr>
      <w:color w:val="FF0000"/>
    </w:rPr>
  </w:style>
  <w:style w:type="paragraph" w:customStyle="1" w:styleId="82">
    <w:name w:val="B1"/>
    <w:basedOn w:val="14"/>
    <w:uiPriority w:val="0"/>
  </w:style>
  <w:style w:type="paragraph" w:customStyle="1" w:styleId="83">
    <w:name w:val="B2"/>
    <w:basedOn w:val="13"/>
    <w:uiPriority w:val="0"/>
  </w:style>
  <w:style w:type="paragraph" w:customStyle="1" w:styleId="84">
    <w:name w:val="B3"/>
    <w:basedOn w:val="12"/>
    <w:uiPriority w:val="0"/>
  </w:style>
  <w:style w:type="paragraph" w:customStyle="1" w:styleId="85">
    <w:name w:val="B4"/>
    <w:basedOn w:val="39"/>
    <w:uiPriority w:val="0"/>
  </w:style>
  <w:style w:type="paragraph" w:customStyle="1" w:styleId="86">
    <w:name w:val="B5"/>
    <w:basedOn w:val="38"/>
    <w:uiPriority w:val="0"/>
  </w:style>
  <w:style w:type="paragraph" w:customStyle="1" w:styleId="87">
    <w:name w:val="ZTD"/>
    <w:basedOn w:val="75"/>
    <w:uiPriority w:val="0"/>
    <w:pPr>
      <w:framePr w:hRule="auto" w:y="852"/>
    </w:pPr>
    <w:rPr>
      <w:i w:val="0"/>
      <w:sz w:val="40"/>
    </w:rPr>
  </w:style>
  <w:style w:type="paragraph" w:customStyle="1" w:styleId="88">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90">
    <w:name w:val="List Paragraph"/>
    <w:basedOn w:val="1"/>
    <w:qFormat/>
    <w:uiPriority w:val="34"/>
    <w:pPr>
      <w:overflowPunct/>
      <w:autoSpaceDE/>
      <w:autoSpaceDN/>
      <w:adjustRightInd/>
      <w:spacing w:after="0"/>
      <w:ind w:left="720"/>
      <w:contextualSpacing/>
      <w:textAlignment w:val="auto"/>
    </w:pPr>
    <w:rPr>
      <w:rFonts w:eastAsia="宋体" w:asciiTheme="minorHAnsi" w:hAnsiTheme="minorHAnsi" w:cstheme="minorBidi"/>
      <w:sz w:val="22"/>
      <w:szCs w:val="22"/>
      <w:lang w:val="en-US" w:eastAsia="en-US"/>
    </w:rPr>
  </w:style>
  <w:style w:type="character" w:customStyle="1" w:styleId="91">
    <w:name w:val="批注文字 Char"/>
    <w:basedOn w:val="46"/>
    <w:link w:val="28"/>
    <w:semiHidden/>
    <w:uiPriority w:val="0"/>
    <w:rPr>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9680CE-291E-4BCC-804A-4C62E0458DF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1821</Words>
  <Characters>10383</Characters>
  <Lines>86</Lines>
  <Paragraphs>24</Paragraphs>
  <TotalTime>175</TotalTime>
  <ScaleCrop>false</ScaleCrop>
  <LinksUpToDate>false</LinksUpToDate>
  <CharactersWithSpaces>12180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2021-06-04T06:48:00Z</dcterms:created>
  <dc:creator>MCC/Alain Sultan</dc:creator>
  <cp:keywords>WID template</cp:keywords>
  <cp:lastModifiedBy>Gen CAO</cp:lastModifiedBy>
  <cp:lastPrinted>2000-02-29T02:31:00Z</cp:lastPrinted>
  <dcterms:modified xsi:type="dcterms:W3CDTF">2021-06-07T14:48:15Z</dcterms:modified>
  <dc:title>WID Template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2052-11.1.0.10495</vt:lpwstr>
  </property>
  <property fmtid="{D5CDD505-2E9C-101B-9397-08002B2CF9AE}" pid="9" name="ICV">
    <vt:lpwstr>DF558F37849B4E78AF32DA5CD410CF96</vt:lpwstr>
  </property>
</Properties>
</file>