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6AA0DE3" w:rsidR="00A209D6" w:rsidRPr="00E32003" w:rsidRDefault="00A209D6" w:rsidP="00A209D6">
      <w:pPr>
        <w:pStyle w:val="Header"/>
        <w:tabs>
          <w:tab w:val="right" w:pos="9639"/>
        </w:tabs>
        <w:rPr>
          <w:bCs/>
          <w:i/>
          <w:noProof w:val="0"/>
          <w:sz w:val="24"/>
          <w:szCs w:val="24"/>
        </w:rPr>
      </w:pPr>
      <w:r w:rsidRPr="00E32003">
        <w:rPr>
          <w:bCs/>
          <w:noProof w:val="0"/>
          <w:sz w:val="24"/>
          <w:szCs w:val="24"/>
        </w:rPr>
        <w:t>3GPP TSG-RAN WG Meeting #</w:t>
      </w:r>
      <w:r w:rsidR="002537F0" w:rsidRPr="00E32003">
        <w:rPr>
          <w:bCs/>
          <w:noProof w:val="0"/>
          <w:sz w:val="24"/>
          <w:szCs w:val="24"/>
        </w:rPr>
        <w:t>99</w:t>
      </w:r>
      <w:r w:rsidRPr="00E32003">
        <w:rPr>
          <w:bCs/>
          <w:noProof w:val="0"/>
          <w:sz w:val="24"/>
          <w:szCs w:val="24"/>
        </w:rPr>
        <w:tab/>
      </w:r>
      <w:r w:rsidR="00F03B2C" w:rsidRPr="00E32003">
        <w:rPr>
          <w:bCs/>
          <w:noProof w:val="0"/>
          <w:sz w:val="24"/>
          <w:szCs w:val="24"/>
        </w:rPr>
        <w:t>RP-230420</w:t>
      </w:r>
    </w:p>
    <w:p w14:paraId="11776FA6" w14:textId="657DC294" w:rsidR="00A209D6" w:rsidRPr="00E32003" w:rsidRDefault="002537F0" w:rsidP="00A209D6">
      <w:pPr>
        <w:pStyle w:val="Header"/>
        <w:tabs>
          <w:tab w:val="right" w:pos="9639"/>
        </w:tabs>
        <w:rPr>
          <w:rFonts w:eastAsia="SimSun"/>
          <w:bCs/>
          <w:sz w:val="24"/>
          <w:szCs w:val="24"/>
          <w:lang w:eastAsia="zh-CN"/>
        </w:rPr>
      </w:pPr>
      <w:r w:rsidRPr="00E32003">
        <w:rPr>
          <w:rFonts w:eastAsia="SimSun"/>
          <w:bCs/>
          <w:sz w:val="24"/>
          <w:szCs w:val="24"/>
          <w:lang w:eastAsia="zh-CN"/>
        </w:rPr>
        <w:t>Rotterdam, Netherlands</w:t>
      </w:r>
      <w:r w:rsidR="00A36F5F" w:rsidRPr="00E32003">
        <w:rPr>
          <w:rFonts w:eastAsia="SimSun"/>
          <w:bCs/>
          <w:sz w:val="24"/>
          <w:szCs w:val="24"/>
          <w:lang w:eastAsia="zh-CN"/>
        </w:rPr>
        <w:t xml:space="preserve">, </w:t>
      </w:r>
      <w:r w:rsidR="00D54820" w:rsidRPr="00E32003">
        <w:rPr>
          <w:rFonts w:eastAsia="SimSun"/>
          <w:bCs/>
          <w:sz w:val="24"/>
          <w:szCs w:val="24"/>
          <w:lang w:eastAsia="zh-CN"/>
        </w:rPr>
        <w:t>2</w:t>
      </w:r>
      <w:r w:rsidRPr="00E32003">
        <w:rPr>
          <w:rFonts w:eastAsia="SimSun"/>
          <w:bCs/>
          <w:sz w:val="24"/>
          <w:szCs w:val="24"/>
          <w:lang w:eastAsia="zh-CN"/>
        </w:rPr>
        <w:t>0</w:t>
      </w:r>
      <w:r w:rsidR="005C7CD5" w:rsidRPr="00E32003">
        <w:rPr>
          <w:rFonts w:eastAsia="SimSun"/>
          <w:bCs/>
          <w:sz w:val="24"/>
          <w:szCs w:val="24"/>
          <w:lang w:eastAsia="zh-CN"/>
        </w:rPr>
        <w:t xml:space="preserve">– </w:t>
      </w:r>
      <w:r w:rsidRPr="00E32003">
        <w:rPr>
          <w:rFonts w:eastAsia="SimSun"/>
          <w:bCs/>
          <w:sz w:val="24"/>
          <w:szCs w:val="24"/>
          <w:lang w:eastAsia="zh-CN"/>
        </w:rPr>
        <w:t>2</w:t>
      </w:r>
      <w:r w:rsidR="00D54820" w:rsidRPr="00E32003">
        <w:rPr>
          <w:rFonts w:eastAsia="SimSun"/>
          <w:bCs/>
          <w:sz w:val="24"/>
          <w:szCs w:val="24"/>
          <w:lang w:eastAsia="zh-CN"/>
        </w:rPr>
        <w:t>3</w:t>
      </w:r>
      <w:r w:rsidR="005C7CD5" w:rsidRPr="00E32003">
        <w:rPr>
          <w:rFonts w:eastAsia="SimSun"/>
          <w:bCs/>
          <w:sz w:val="24"/>
          <w:szCs w:val="24"/>
          <w:lang w:eastAsia="zh-CN"/>
        </w:rPr>
        <w:t xml:space="preserve"> </w:t>
      </w:r>
      <w:r w:rsidR="00D54820" w:rsidRPr="00E32003">
        <w:rPr>
          <w:rFonts w:eastAsia="SimSun"/>
          <w:bCs/>
          <w:sz w:val="24"/>
          <w:szCs w:val="24"/>
          <w:lang w:eastAsia="zh-CN"/>
        </w:rPr>
        <w:t>March</w:t>
      </w:r>
      <w:r w:rsidR="005C7CD5" w:rsidRPr="00E32003">
        <w:rPr>
          <w:rFonts w:eastAsia="SimSun"/>
          <w:bCs/>
          <w:sz w:val="24"/>
          <w:szCs w:val="24"/>
          <w:lang w:eastAsia="zh-CN"/>
        </w:rPr>
        <w:t xml:space="preserve"> 202</w:t>
      </w:r>
      <w:r w:rsidR="00E038FB" w:rsidRPr="00E32003">
        <w:rPr>
          <w:rFonts w:eastAsia="SimSun"/>
          <w:bCs/>
          <w:sz w:val="24"/>
          <w:szCs w:val="24"/>
          <w:lang w:eastAsia="zh-CN"/>
        </w:rPr>
        <w:t>3</w:t>
      </w:r>
      <w:r w:rsidR="00A209D6" w:rsidRPr="00E32003">
        <w:rPr>
          <w:rFonts w:eastAsia="SimSun"/>
          <w:noProof w:val="0"/>
          <w:sz w:val="24"/>
          <w:szCs w:val="24"/>
          <w:lang w:eastAsia="zh-CN"/>
        </w:rPr>
        <w:tab/>
      </w:r>
    </w:p>
    <w:p w14:paraId="2E02E5F5" w14:textId="77777777" w:rsidR="00A209D6" w:rsidRPr="00E32003" w:rsidRDefault="00A209D6" w:rsidP="00A209D6">
      <w:pPr>
        <w:pStyle w:val="Header"/>
        <w:rPr>
          <w:bCs/>
          <w:noProof w:val="0"/>
          <w:sz w:val="24"/>
        </w:rPr>
      </w:pPr>
    </w:p>
    <w:p w14:paraId="403CB9C0" w14:textId="77777777" w:rsidR="00A209D6" w:rsidRPr="00E32003" w:rsidRDefault="00A209D6" w:rsidP="00A209D6">
      <w:pPr>
        <w:pStyle w:val="Header"/>
        <w:rPr>
          <w:bCs/>
          <w:noProof w:val="0"/>
          <w:sz w:val="24"/>
        </w:rPr>
      </w:pPr>
    </w:p>
    <w:p w14:paraId="310B92C9" w14:textId="73DCD6DC" w:rsidR="00446C3A" w:rsidRPr="00E32003" w:rsidRDefault="00446C3A" w:rsidP="00446C3A">
      <w:pPr>
        <w:pStyle w:val="CRCoverPage"/>
        <w:tabs>
          <w:tab w:val="left" w:pos="1985"/>
        </w:tabs>
        <w:rPr>
          <w:rFonts w:cs="Arial"/>
          <w:b/>
          <w:bCs/>
          <w:sz w:val="24"/>
          <w:lang w:eastAsia="ja-JP"/>
        </w:rPr>
      </w:pPr>
      <w:r w:rsidRPr="00E32003">
        <w:rPr>
          <w:rFonts w:cs="Arial"/>
          <w:b/>
          <w:bCs/>
          <w:sz w:val="24"/>
        </w:rPr>
        <w:t>Agenda item:</w:t>
      </w:r>
      <w:r w:rsidRPr="00E32003">
        <w:rPr>
          <w:rFonts w:cs="Arial"/>
          <w:b/>
          <w:bCs/>
          <w:sz w:val="24"/>
        </w:rPr>
        <w:tab/>
      </w:r>
      <w:r w:rsidR="0062125E" w:rsidRPr="00E32003">
        <w:rPr>
          <w:rFonts w:cs="Arial"/>
          <w:b/>
          <w:bCs/>
          <w:sz w:val="24"/>
        </w:rPr>
        <w:t>9.2.2</w:t>
      </w:r>
    </w:p>
    <w:p w14:paraId="73188B46" w14:textId="77777777" w:rsidR="00446C3A" w:rsidRPr="00E32003" w:rsidRDefault="00446C3A" w:rsidP="00446C3A">
      <w:pPr>
        <w:tabs>
          <w:tab w:val="left" w:pos="1985"/>
        </w:tabs>
        <w:ind w:left="1985" w:hanging="1985"/>
        <w:rPr>
          <w:rFonts w:ascii="Arial" w:hAnsi="Arial" w:cs="Arial"/>
          <w:b/>
          <w:bCs/>
          <w:sz w:val="24"/>
        </w:rPr>
      </w:pPr>
      <w:r w:rsidRPr="00E32003">
        <w:rPr>
          <w:rFonts w:ascii="Arial" w:hAnsi="Arial" w:cs="Arial"/>
          <w:b/>
          <w:bCs/>
          <w:sz w:val="24"/>
        </w:rPr>
        <w:t>Source:</w:t>
      </w:r>
      <w:r w:rsidRPr="00E32003">
        <w:rPr>
          <w:rFonts w:ascii="Arial" w:hAnsi="Arial" w:cs="Arial"/>
          <w:b/>
          <w:bCs/>
          <w:sz w:val="24"/>
        </w:rPr>
        <w:tab/>
        <w:t>Nokia, Nokia Shanghai Bell</w:t>
      </w:r>
    </w:p>
    <w:p w14:paraId="553D264F" w14:textId="042759DF" w:rsidR="00446C3A" w:rsidRPr="00E32003" w:rsidRDefault="00446C3A" w:rsidP="00446C3A">
      <w:pPr>
        <w:ind w:left="1985" w:hanging="1985"/>
        <w:rPr>
          <w:rFonts w:ascii="Arial" w:hAnsi="Arial" w:cs="Arial"/>
          <w:b/>
          <w:bCs/>
          <w:sz w:val="24"/>
        </w:rPr>
      </w:pPr>
      <w:r w:rsidRPr="00E32003">
        <w:rPr>
          <w:rFonts w:ascii="Arial" w:hAnsi="Arial" w:cs="Arial"/>
          <w:b/>
          <w:bCs/>
          <w:sz w:val="24"/>
        </w:rPr>
        <w:t>Title:</w:t>
      </w:r>
      <w:r w:rsidRPr="00E32003">
        <w:rPr>
          <w:rFonts w:ascii="Arial" w:hAnsi="Arial" w:cs="Arial"/>
          <w:b/>
          <w:bCs/>
          <w:sz w:val="24"/>
        </w:rPr>
        <w:tab/>
      </w:r>
      <w:r w:rsidR="0062125E" w:rsidRPr="00E32003">
        <w:rPr>
          <w:rFonts w:ascii="Arial" w:hAnsi="Arial" w:cs="Arial"/>
          <w:b/>
          <w:bCs/>
          <w:sz w:val="24"/>
        </w:rPr>
        <w:t>Solutions for regionally defined subsets of NR bands</w:t>
      </w:r>
    </w:p>
    <w:p w14:paraId="25F387E8" w14:textId="5C433B50" w:rsidR="00446C3A" w:rsidRPr="00E32003" w:rsidRDefault="00446C3A" w:rsidP="0062125E">
      <w:pPr>
        <w:ind w:left="1985" w:hanging="1985"/>
        <w:rPr>
          <w:rFonts w:ascii="Arial" w:hAnsi="Arial" w:cs="Arial"/>
          <w:b/>
          <w:bCs/>
          <w:sz w:val="24"/>
        </w:rPr>
      </w:pPr>
      <w:r w:rsidRPr="00E32003">
        <w:rPr>
          <w:rFonts w:ascii="Arial" w:hAnsi="Arial" w:cs="Arial"/>
          <w:b/>
          <w:bCs/>
          <w:sz w:val="24"/>
        </w:rPr>
        <w:t>WID/SID:</w:t>
      </w:r>
      <w:r w:rsidRPr="00E32003">
        <w:rPr>
          <w:rFonts w:ascii="Arial" w:hAnsi="Arial" w:cs="Arial"/>
          <w:b/>
          <w:bCs/>
          <w:sz w:val="24"/>
        </w:rPr>
        <w:tab/>
      </w:r>
      <w:r w:rsidR="0062125E" w:rsidRPr="00E32003">
        <w:rPr>
          <w:rFonts w:ascii="Arial" w:hAnsi="Arial" w:cs="Arial"/>
          <w:b/>
          <w:bCs/>
          <w:sz w:val="24"/>
        </w:rPr>
        <w:t>FS_NR_subset_band_support</w:t>
      </w:r>
      <w:r w:rsidRPr="00E32003">
        <w:rPr>
          <w:rFonts w:ascii="Arial" w:hAnsi="Arial" w:cs="Arial"/>
          <w:b/>
          <w:bCs/>
          <w:sz w:val="24"/>
        </w:rPr>
        <w:t xml:space="preserve"> - Release </w:t>
      </w:r>
      <w:r w:rsidR="0062125E" w:rsidRPr="00E32003">
        <w:rPr>
          <w:rFonts w:ascii="Arial" w:hAnsi="Arial" w:cs="Arial"/>
          <w:b/>
          <w:bCs/>
          <w:sz w:val="24"/>
        </w:rPr>
        <w:t>18</w:t>
      </w:r>
    </w:p>
    <w:p w14:paraId="6FEB19D6" w14:textId="77777777" w:rsidR="00446C3A" w:rsidRPr="00E32003" w:rsidRDefault="00446C3A" w:rsidP="00446C3A">
      <w:pPr>
        <w:tabs>
          <w:tab w:val="left" w:pos="1985"/>
        </w:tabs>
        <w:rPr>
          <w:rFonts w:ascii="Arial" w:hAnsi="Arial" w:cs="Arial"/>
          <w:b/>
          <w:bCs/>
          <w:sz w:val="24"/>
        </w:rPr>
      </w:pPr>
      <w:r w:rsidRPr="00E32003">
        <w:rPr>
          <w:rFonts w:ascii="Arial" w:hAnsi="Arial" w:cs="Arial"/>
          <w:b/>
          <w:bCs/>
          <w:sz w:val="24"/>
        </w:rPr>
        <w:t>Document for:</w:t>
      </w:r>
      <w:r w:rsidRPr="00E32003">
        <w:rPr>
          <w:rFonts w:ascii="Arial" w:hAnsi="Arial" w:cs="Arial"/>
          <w:b/>
          <w:bCs/>
          <w:sz w:val="24"/>
        </w:rPr>
        <w:tab/>
        <w:t>Discussion and Decision</w:t>
      </w:r>
    </w:p>
    <w:p w14:paraId="294B1FC1" w14:textId="77777777" w:rsidR="00A209D6" w:rsidRPr="00E32003" w:rsidRDefault="00A209D6" w:rsidP="00A209D6">
      <w:pPr>
        <w:pStyle w:val="Heading1"/>
      </w:pPr>
      <w:r w:rsidRPr="00E32003">
        <w:t>1</w:t>
      </w:r>
      <w:r w:rsidRPr="00E32003">
        <w:tab/>
        <w:t>Introduction</w:t>
      </w:r>
    </w:p>
    <w:p w14:paraId="54D4659B" w14:textId="3C758AE8" w:rsidR="00607832" w:rsidRPr="00E32003" w:rsidRDefault="00607832" w:rsidP="00607832">
      <w:r w:rsidRPr="00E32003">
        <w:t xml:space="preserve">The Rel-18 RAN study item RP-221872 was approved in RAN#96 based on conclusions from RAN#95e and the earlier discussion on band n77 usage in USA and Canada. In RAN#97e, the TR38.893 was updated with the background and root cause analysis, but the text on solutions was still left out for further studies, with two main solution directions being discussed: 1) Using new frequency bands or band numbers, and 2) using additional UE capabilities and/or NS-values to identify the UE support for extended parts of a band. In RAN#98e, the solutions were discussed and TPs in RP-223547 and RP-223377 were eventually not pursued due to last-minute disagreements on the direction. </w:t>
      </w:r>
    </w:p>
    <w:p w14:paraId="734AD961" w14:textId="12CCDAEA" w:rsidR="00607832" w:rsidRPr="00E32003" w:rsidRDefault="00607832" w:rsidP="00607832">
      <w:r w:rsidRPr="00E32003">
        <w:t xml:space="preserve">In this contribution, we discuss how </w:t>
      </w:r>
      <w:r w:rsidR="00ED35B1">
        <w:t>utilize</w:t>
      </w:r>
      <w:r w:rsidRPr="00E32003">
        <w:t xml:space="preserve"> the new band number</w:t>
      </w:r>
      <w:r w:rsidR="00ED35B1">
        <w:t>ing</w:t>
      </w:r>
      <w:r w:rsidRPr="00E32003">
        <w:t xml:space="preserve"> approach</w:t>
      </w:r>
      <w:r w:rsidR="00ED35B1">
        <w:t>, which has been one of the main options in the SI</w:t>
      </w:r>
      <w:r w:rsidRPr="00E32003">
        <w:t>.</w:t>
      </w:r>
    </w:p>
    <w:p w14:paraId="7D484B6E" w14:textId="2EB5AFB3" w:rsidR="009339CB" w:rsidRPr="00E32003" w:rsidRDefault="009339CB" w:rsidP="009339CB">
      <w:pPr>
        <w:pStyle w:val="Heading1"/>
      </w:pPr>
      <w:r w:rsidRPr="00E32003">
        <w:t>2</w:t>
      </w:r>
      <w:r w:rsidRPr="00E32003">
        <w:tab/>
      </w:r>
      <w:r w:rsidR="00607832" w:rsidRPr="00E32003">
        <w:t>Solutions for regionally defined subsets of NR bands</w:t>
      </w:r>
    </w:p>
    <w:p w14:paraId="5982B445" w14:textId="3CAE570D" w:rsidR="009339CB" w:rsidRPr="00E32003" w:rsidRDefault="009339CB" w:rsidP="009339CB">
      <w:pPr>
        <w:pStyle w:val="Heading2"/>
      </w:pPr>
      <w:r w:rsidRPr="00E32003">
        <w:t>2.1</w:t>
      </w:r>
      <w:r w:rsidRPr="00E32003">
        <w:tab/>
      </w:r>
      <w:r w:rsidR="005D32B5" w:rsidRPr="00E32003">
        <w:t>Existing solution for band n77</w:t>
      </w:r>
    </w:p>
    <w:p w14:paraId="0DD2EE34" w14:textId="1A74A282" w:rsidR="00EB2FB5" w:rsidRPr="00E32003" w:rsidRDefault="00607832" w:rsidP="00607832">
      <w:r w:rsidRPr="00E32003">
        <w:t xml:space="preserve">The original issue arose with band </w:t>
      </w:r>
      <w:r w:rsidR="00EB2FB5" w:rsidRPr="00E32003">
        <w:t>n77 (3300 - 4200 MHz)</w:t>
      </w:r>
      <w:r w:rsidRPr="00E32003">
        <w:t>, which</w:t>
      </w:r>
      <w:r w:rsidR="00EB2FB5" w:rsidRPr="00E32003">
        <w:t xml:space="preserve"> was defined as globally available band </w:t>
      </w:r>
      <w:r w:rsidRPr="00E32003">
        <w:t xml:space="preserve">but </w:t>
      </w:r>
      <w:r w:rsidR="00EB2FB5" w:rsidRPr="00E32003">
        <w:t xml:space="preserve">the usage of n77 in USA was </w:t>
      </w:r>
      <w:r w:rsidRPr="00E32003">
        <w:t>restricted to</w:t>
      </w:r>
      <w:r w:rsidR="00EB2FB5" w:rsidRPr="00E32003">
        <w:t xml:space="preserve"> </w:t>
      </w:r>
      <w:r w:rsidRPr="00E32003">
        <w:t xml:space="preserve">a </w:t>
      </w:r>
      <w:r w:rsidR="00EB2FB5" w:rsidRPr="00E32003">
        <w:t>sub-band of 3700-3980MHz</w:t>
      </w:r>
      <w:r w:rsidRPr="00E32003">
        <w:t>.</w:t>
      </w:r>
      <w:r w:rsidR="00EB2FB5" w:rsidRPr="00E32003">
        <w:t xml:space="preserve"> </w:t>
      </w:r>
      <w:r w:rsidRPr="00E32003">
        <w:t xml:space="preserve">This was denoted in the specification via the following </w:t>
      </w:r>
      <w:r w:rsidR="00EB2FB5" w:rsidRPr="00E32003">
        <w:t>NOTE 12</w:t>
      </w:r>
      <w:r w:rsidRPr="00E32003">
        <w:t xml:space="preserve"> in </w:t>
      </w:r>
      <w:r w:rsidR="00C53B90" w:rsidRPr="00E32003">
        <w:t>TS</w:t>
      </w:r>
      <w:r w:rsidRPr="00E32003">
        <w:t>38.101-1</w:t>
      </w:r>
      <w:r w:rsidR="00C53B90" w:rsidRPr="00E32003">
        <w:t>:</w:t>
      </w:r>
      <w:r w:rsidR="00EB2FB5" w:rsidRPr="00E32003">
        <w:t xml:space="preserve"> </w:t>
      </w:r>
    </w:p>
    <w:p w14:paraId="7008FA5C" w14:textId="721B8528" w:rsidR="00EB2FB5" w:rsidRPr="00E32003" w:rsidRDefault="00EB2FB5" w:rsidP="00C53B90">
      <w:pPr>
        <w:pStyle w:val="NO"/>
        <w:rPr>
          <w:i/>
          <w:iCs/>
        </w:rPr>
      </w:pPr>
      <w:r w:rsidRPr="00E32003">
        <w:rPr>
          <w:i/>
          <w:iCs/>
        </w:rPr>
        <w:t>NOTE 12: In the USA this band is restricted to 3700 – 3980 MHz</w:t>
      </w:r>
    </w:p>
    <w:p w14:paraId="660A3388" w14:textId="77777777" w:rsidR="00C53B90" w:rsidRPr="00E32003" w:rsidRDefault="00C53B90" w:rsidP="00607832">
      <w:r w:rsidRPr="00E32003">
        <w:t xml:space="preserve">This means that </w:t>
      </w:r>
      <w:r w:rsidR="00EB2FB5" w:rsidRPr="00E32003">
        <w:t xml:space="preserve">UEs </w:t>
      </w:r>
      <w:r w:rsidRPr="00E32003">
        <w:t xml:space="preserve">in USA were </w:t>
      </w:r>
      <w:r w:rsidR="00EB2FB5" w:rsidRPr="00E32003">
        <w:t>restricted to camp on a cell of 3700 – 3980 MHz</w:t>
      </w:r>
      <w:r w:rsidRPr="00E32003">
        <w:t xml:space="preserve"> (let’s call that sub-band A for now). </w:t>
      </w:r>
      <w:r w:rsidR="00EB2FB5" w:rsidRPr="00E32003">
        <w:t>Later, an additional sub-block of 3450 – 3550 MHz (</w:t>
      </w:r>
      <w:r w:rsidRPr="00E32003">
        <w:t xml:space="preserve">which we will call </w:t>
      </w:r>
      <w:r w:rsidR="00EB2FB5" w:rsidRPr="00E32003">
        <w:t xml:space="preserve">as sub-band B) was </w:t>
      </w:r>
      <w:r w:rsidRPr="00E32003">
        <w:t xml:space="preserve">allowed for n77 </w:t>
      </w:r>
      <w:r w:rsidR="00EB2FB5" w:rsidRPr="00E32003">
        <w:t>in USA</w:t>
      </w:r>
      <w:r w:rsidRPr="00E32003">
        <w:t>, and the problem was raised in 3GPP on how to control that only those UEs supporting the new allocation could camp on the cells (i.e. avoid legacy UEs from camping on the cells on the new sub-band). This was eventually resolved in 3GPP by introducing a combination of two aspects:</w:t>
      </w:r>
    </w:p>
    <w:p w14:paraId="2883D4D4" w14:textId="10DEF959" w:rsidR="00C53B90" w:rsidRPr="00E32003" w:rsidRDefault="00C53B90" w:rsidP="00C53B90">
      <w:pPr>
        <w:pStyle w:val="ListParagraph"/>
        <w:numPr>
          <w:ilvl w:val="0"/>
          <w:numId w:val="9"/>
        </w:numPr>
        <w:rPr>
          <w:rFonts w:ascii="Times New Roman" w:hAnsi="Times New Roman"/>
          <w:sz w:val="20"/>
          <w:lang w:val="en-GB"/>
        </w:rPr>
      </w:pPr>
      <w:r w:rsidRPr="00E32003">
        <w:rPr>
          <w:rFonts w:ascii="Times New Roman" w:hAnsi="Times New Roman"/>
          <w:sz w:val="20"/>
          <w:lang w:val="en-GB"/>
        </w:rPr>
        <w:t xml:space="preserve">For UEs in RRC_IDLE, introducing </w:t>
      </w:r>
      <w:r w:rsidR="00EB2FB5" w:rsidRPr="00E32003">
        <w:rPr>
          <w:rFonts w:ascii="Times New Roman" w:hAnsi="Times New Roman"/>
          <w:sz w:val="20"/>
          <w:lang w:val="en-GB"/>
        </w:rPr>
        <w:t>NS_55</w:t>
      </w:r>
      <w:r w:rsidRPr="00E32003">
        <w:rPr>
          <w:rFonts w:ascii="Times New Roman" w:hAnsi="Times New Roman"/>
          <w:sz w:val="20"/>
          <w:lang w:val="en-GB"/>
        </w:rPr>
        <w:t xml:space="preserve"> (for single</w:t>
      </w:r>
      <w:r w:rsidR="00282278">
        <w:rPr>
          <w:rFonts w:ascii="Times New Roman" w:hAnsi="Times New Roman"/>
          <w:sz w:val="20"/>
          <w:lang w:val="en-GB"/>
        </w:rPr>
        <w:t xml:space="preserve"> </w:t>
      </w:r>
      <w:r w:rsidRPr="00E32003">
        <w:rPr>
          <w:rFonts w:ascii="Times New Roman" w:hAnsi="Times New Roman"/>
          <w:sz w:val="20"/>
          <w:lang w:val="en-GB"/>
        </w:rPr>
        <w:t xml:space="preserve">carrier) and </w:t>
      </w:r>
      <w:r w:rsidR="00EB2FB5" w:rsidRPr="00E32003">
        <w:rPr>
          <w:rFonts w:ascii="Times New Roman" w:hAnsi="Times New Roman"/>
          <w:sz w:val="20"/>
          <w:lang w:val="en-GB"/>
        </w:rPr>
        <w:t>CA_NC_NS_55/CA_NS_55</w:t>
      </w:r>
      <w:r w:rsidRPr="00E32003">
        <w:rPr>
          <w:rFonts w:ascii="Times New Roman" w:hAnsi="Times New Roman"/>
          <w:sz w:val="20"/>
          <w:lang w:val="en-GB"/>
        </w:rPr>
        <w:t xml:space="preserve"> (for CA)</w:t>
      </w:r>
      <w:r w:rsidR="00EB2FB5" w:rsidRPr="00E32003">
        <w:rPr>
          <w:rFonts w:ascii="Times New Roman" w:hAnsi="Times New Roman"/>
          <w:sz w:val="20"/>
          <w:lang w:val="en-GB"/>
        </w:rPr>
        <w:t xml:space="preserve"> </w:t>
      </w:r>
    </w:p>
    <w:p w14:paraId="0768E816" w14:textId="616C3B05" w:rsidR="00EB2FB5" w:rsidRPr="00E32003" w:rsidRDefault="00C53B90" w:rsidP="00C53B90">
      <w:pPr>
        <w:pStyle w:val="ListParagraph"/>
        <w:numPr>
          <w:ilvl w:val="0"/>
          <w:numId w:val="9"/>
        </w:numPr>
        <w:rPr>
          <w:rFonts w:ascii="Times New Roman" w:hAnsi="Times New Roman"/>
          <w:sz w:val="20"/>
          <w:lang w:val="en-GB"/>
        </w:rPr>
      </w:pPr>
      <w:r w:rsidRPr="00E32003">
        <w:rPr>
          <w:rFonts w:ascii="Times New Roman" w:hAnsi="Times New Roman"/>
          <w:sz w:val="20"/>
          <w:lang w:val="en-GB"/>
        </w:rPr>
        <w:t xml:space="preserve">For UEs in RRC_CONNECTED, introducing </w:t>
      </w:r>
      <w:r w:rsidR="00EB2FB5" w:rsidRPr="00E32003">
        <w:rPr>
          <w:rFonts w:ascii="Times New Roman" w:hAnsi="Times New Roman"/>
          <w:sz w:val="20"/>
          <w:lang w:val="en-GB"/>
        </w:rPr>
        <w:t>a new UE capability of extendedBand-n77-r16 to indicate that a new UE supports both sub-band A and sub-band B in USA.</w:t>
      </w:r>
    </w:p>
    <w:p w14:paraId="5E9C4166" w14:textId="41C9AB5E" w:rsidR="00EB2FB5" w:rsidRPr="00E32003" w:rsidRDefault="00C53B90" w:rsidP="00C53B90">
      <w:pPr>
        <w:spacing w:before="120"/>
      </w:pPr>
      <w:r w:rsidRPr="00E32003">
        <w:t xml:space="preserve">Figure 1 below shows the new NS-value usage in single carrier and CA cases. </w:t>
      </w:r>
    </w:p>
    <w:p w14:paraId="57D26C54" w14:textId="54EB1988" w:rsidR="00C53B90" w:rsidRPr="00E32003" w:rsidRDefault="00C53B90" w:rsidP="00EB2FB5">
      <w:pPr>
        <w:spacing w:before="120"/>
        <w:ind w:left="357"/>
        <w:rPr>
          <w:rFonts w:cs="Arial"/>
          <w:color w:val="595959" w:themeColor="text1" w:themeTint="A6"/>
        </w:rPr>
      </w:pPr>
      <w:r w:rsidRPr="00E32003">
        <w:rPr>
          <w:noProof/>
        </w:rPr>
        <w:lastRenderedPageBreak/>
        <w:drawing>
          <wp:inline distT="0" distB="0" distL="0" distR="0" wp14:anchorId="16B47C17" wp14:editId="51FBBC4E">
            <wp:extent cx="6122035" cy="2014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014855"/>
                    </a:xfrm>
                    <a:prstGeom prst="rect">
                      <a:avLst/>
                    </a:prstGeom>
                    <a:noFill/>
                    <a:ln>
                      <a:noFill/>
                    </a:ln>
                  </pic:spPr>
                </pic:pic>
              </a:graphicData>
            </a:graphic>
          </wp:inline>
        </w:drawing>
      </w:r>
    </w:p>
    <w:p w14:paraId="53AAEEB1" w14:textId="049D9922" w:rsidR="000463D6" w:rsidRPr="00E32003" w:rsidRDefault="000463D6" w:rsidP="000463D6">
      <w:pPr>
        <w:pStyle w:val="Caption"/>
        <w:jc w:val="center"/>
        <w:rPr>
          <w:b/>
          <w:bCs/>
          <w:i w:val="0"/>
          <w:iCs w:val="0"/>
        </w:rPr>
      </w:pPr>
      <w:r w:rsidRPr="00E32003">
        <w:rPr>
          <w:b/>
          <w:bCs/>
          <w:i w:val="0"/>
          <w:iCs w:val="0"/>
        </w:rPr>
        <w:t xml:space="preserve">Figure </w:t>
      </w:r>
      <w:r w:rsidRPr="00E32003">
        <w:rPr>
          <w:b/>
          <w:bCs/>
          <w:i w:val="0"/>
          <w:iCs w:val="0"/>
        </w:rPr>
        <w:fldChar w:fldCharType="begin"/>
      </w:r>
      <w:r w:rsidRPr="00E32003">
        <w:rPr>
          <w:b/>
          <w:bCs/>
          <w:i w:val="0"/>
          <w:iCs w:val="0"/>
        </w:rPr>
        <w:instrText xml:space="preserve"> SEQ Figure \* ARABIC </w:instrText>
      </w:r>
      <w:r w:rsidRPr="00E32003">
        <w:rPr>
          <w:b/>
          <w:bCs/>
          <w:i w:val="0"/>
          <w:iCs w:val="0"/>
        </w:rPr>
        <w:fldChar w:fldCharType="separate"/>
      </w:r>
      <w:r w:rsidR="00E32003">
        <w:rPr>
          <w:b/>
          <w:bCs/>
          <w:i w:val="0"/>
          <w:iCs w:val="0"/>
          <w:noProof/>
        </w:rPr>
        <w:t>1</w:t>
      </w:r>
      <w:r w:rsidRPr="00E32003">
        <w:rPr>
          <w:b/>
          <w:bCs/>
          <w:i w:val="0"/>
          <w:iCs w:val="0"/>
        </w:rPr>
        <w:fldChar w:fldCharType="end"/>
      </w:r>
      <w:r w:rsidRPr="00E32003">
        <w:rPr>
          <w:b/>
          <w:bCs/>
          <w:i w:val="0"/>
          <w:iCs w:val="0"/>
        </w:rPr>
        <w:t>. Illustration of usage of NS-55 and CA_NS-55</w:t>
      </w:r>
    </w:p>
    <w:p w14:paraId="78FB16E9" w14:textId="77777777" w:rsidR="000463D6" w:rsidRPr="00E32003" w:rsidRDefault="000463D6" w:rsidP="00EB2FB5">
      <w:pPr>
        <w:spacing w:before="120"/>
        <w:ind w:left="357"/>
        <w:jc w:val="center"/>
        <w:rPr>
          <w:rFonts w:cs="Arial"/>
          <w:color w:val="595959" w:themeColor="text1" w:themeTint="A6"/>
        </w:rPr>
      </w:pPr>
    </w:p>
    <w:p w14:paraId="75F44144" w14:textId="060959FD" w:rsidR="00EB2FB5" w:rsidRPr="00E32003" w:rsidRDefault="00C53B90" w:rsidP="00C53B90">
      <w:r w:rsidRPr="00E32003">
        <w:t xml:space="preserve">For UEs in RRC_CONNECTED, the UE capability </w:t>
      </w:r>
      <w:r w:rsidR="00EB2FB5" w:rsidRPr="00E32003">
        <w:rPr>
          <w:i/>
          <w:iCs/>
        </w:rPr>
        <w:t>extendedBand-n77-r16</w:t>
      </w:r>
      <w:r w:rsidR="00EB2FB5" w:rsidRPr="00E32003">
        <w:t xml:space="preserve"> </w:t>
      </w:r>
      <w:r w:rsidRPr="00E32003">
        <w:t>can be used to determine whether UE can do handover to the sub/band B or not, but additional complications arose due to RAN2 requirements to use same NS-value for all cells involved in UL CA. These were eventually resolved by allowing exception to the general rule for this case, but cause some extra complications, especially as the same process was repeated for band n77 in Canada but with different sub-bands</w:t>
      </w:r>
      <w:r w:rsidR="0058777F" w:rsidRPr="00E32003">
        <w:t>.</w:t>
      </w:r>
    </w:p>
    <w:p w14:paraId="2FCDE2E1" w14:textId="4BC393FE" w:rsidR="0058777F" w:rsidRPr="00E32003" w:rsidRDefault="0058777F" w:rsidP="00C53B90">
      <w:r w:rsidRPr="00E32003">
        <w:rPr>
          <w:b/>
          <w:bCs/>
        </w:rPr>
        <w:t>Observation 1:</w:t>
      </w:r>
      <w:r w:rsidRPr="00E32003">
        <w:t xml:space="preserve"> The solution for the band n77 required lot of additional time to specify capability signalling, including substantial amount of work in RAN2/RAN4.</w:t>
      </w:r>
    </w:p>
    <w:p w14:paraId="3678C7C3" w14:textId="737275C9" w:rsidR="00EB2FB5" w:rsidRPr="00E32003" w:rsidRDefault="0058777F" w:rsidP="00C53B90">
      <w:r w:rsidRPr="00E32003">
        <w:t>For the regional band subset SI, the solution of</w:t>
      </w:r>
      <w:r w:rsidR="00EB2FB5" w:rsidRPr="00E32003">
        <w:t xml:space="preserve"> introducing a new band “numbering” was proposed together with a premise that if a new band numbering within an existing band, e.g., n77, is supported by a UE, it can be considered that the UE can support all the band combinations including n77 in order not to increase the number of band combinations due to a new band, that is why, it is called a new band numbering.</w:t>
      </w:r>
    </w:p>
    <w:p w14:paraId="33CFC210" w14:textId="417900D0" w:rsidR="005D32B5" w:rsidRPr="00E32003" w:rsidRDefault="005D32B5" w:rsidP="005D32B5">
      <w:pPr>
        <w:pStyle w:val="Heading2"/>
      </w:pPr>
      <w:r w:rsidRPr="00E32003">
        <w:t>2.</w:t>
      </w:r>
      <w:r w:rsidR="00E32003">
        <w:t>2</w:t>
      </w:r>
      <w:r w:rsidRPr="00E32003">
        <w:tab/>
      </w:r>
      <w:r w:rsidR="00E32003">
        <w:t>Explaining n</w:t>
      </w:r>
      <w:r w:rsidRPr="00E32003">
        <w:t>ew band number</w:t>
      </w:r>
      <w:r w:rsidR="00E32003">
        <w:t xml:space="preserve">ing scheme </w:t>
      </w:r>
      <w:r w:rsidRPr="00E32003">
        <w:t>using band n77</w:t>
      </w:r>
    </w:p>
    <w:p w14:paraId="529459A2" w14:textId="6FCA20D0" w:rsidR="00EB2FB5" w:rsidRPr="00E32003" w:rsidRDefault="005D32B5" w:rsidP="0058777F">
      <w:r w:rsidRPr="00E32003">
        <w:t xml:space="preserve">We use the band n77 to illustrate the introduction of the new band numbers of the sub-bands as shown </w:t>
      </w:r>
      <w:r w:rsidR="00EB2FB5" w:rsidRPr="00E32003">
        <w:t xml:space="preserve">in Figure </w:t>
      </w:r>
      <w:r w:rsidR="000463D6" w:rsidRPr="00E32003">
        <w:t>2</w:t>
      </w:r>
      <w:r w:rsidR="00EB2FB5" w:rsidRPr="00E32003">
        <w:t xml:space="preserve">. Here the “nX” part </w:t>
      </w:r>
      <w:r w:rsidRPr="00E32003">
        <w:t xml:space="preserve">is </w:t>
      </w:r>
      <w:r w:rsidR="00EB2FB5" w:rsidRPr="00E32003">
        <w:t>the original “n77” in the USA</w:t>
      </w:r>
      <w:r w:rsidRPr="00E32003">
        <w:t xml:space="preserve"> (i.e. 3700-3890 MHz)</w:t>
      </w:r>
      <w:r w:rsidR="00EB2FB5" w:rsidRPr="00E32003">
        <w:t xml:space="preserve">, while the “nY” </w:t>
      </w:r>
      <w:r w:rsidRPr="00E32003">
        <w:t xml:space="preserve">is </w:t>
      </w:r>
      <w:r w:rsidR="00EB2FB5" w:rsidRPr="00E32003">
        <w:t>the newly allocated block for the US</w:t>
      </w:r>
      <w:r w:rsidRPr="00E32003">
        <w:t xml:space="preserve"> (i.e. 3450-3550 MHz)</w:t>
      </w:r>
      <w:r w:rsidR="00EB2FB5" w:rsidRPr="00E32003">
        <w:t xml:space="preserve">. </w:t>
      </w:r>
      <w:r w:rsidRPr="00E32003">
        <w:t xml:space="preserve">If </w:t>
      </w:r>
      <w:r w:rsidR="00EB2FB5" w:rsidRPr="00E32003">
        <w:t xml:space="preserve">the new band numbering </w:t>
      </w:r>
      <w:r w:rsidRPr="00E32003">
        <w:t>would be used for this case</w:t>
      </w:r>
      <w:r w:rsidR="00EB2FB5" w:rsidRPr="00E32003">
        <w:t xml:space="preserve">, “nX” would </w:t>
      </w:r>
      <w:r w:rsidRPr="00E32003">
        <w:t xml:space="preserve">have been the original USA allocation </w:t>
      </w:r>
      <w:r w:rsidR="00EB2FB5" w:rsidRPr="00E32003">
        <w:t xml:space="preserve">and “nY” would have been </w:t>
      </w:r>
      <w:r w:rsidRPr="00E32003">
        <w:t xml:space="preserve">the extended band n77. For the purpose of this discussion, we assign nX = n159 </w:t>
      </w:r>
      <w:r w:rsidR="00EB2FB5" w:rsidRPr="00E32003">
        <w:t xml:space="preserve"> </w:t>
      </w:r>
      <w:r w:rsidRPr="00E32003">
        <w:t xml:space="preserve"> and </w:t>
      </w:r>
      <w:r w:rsidR="00EB2FB5" w:rsidRPr="00E32003">
        <w:t>nY = n160”</w:t>
      </w:r>
      <w:r w:rsidRPr="00E32003">
        <w:t xml:space="preserve"> for convenience (i.e. these are just example numbers).</w:t>
      </w:r>
    </w:p>
    <w:p w14:paraId="018FE840" w14:textId="4783D300" w:rsidR="005D32B5" w:rsidRPr="00E32003" w:rsidRDefault="005D32B5" w:rsidP="00EB2FB5">
      <w:pPr>
        <w:spacing w:before="120"/>
        <w:ind w:left="357"/>
        <w:rPr>
          <w:rFonts w:cs="Arial"/>
          <w:color w:val="595959" w:themeColor="text1" w:themeTint="A6"/>
        </w:rPr>
      </w:pPr>
      <w:r w:rsidRPr="00E32003">
        <w:rPr>
          <w:rFonts w:cs="Arial"/>
          <w:noProof/>
          <w:color w:val="595959" w:themeColor="text1" w:themeTint="A6"/>
        </w:rPr>
        <w:drawing>
          <wp:inline distT="0" distB="0" distL="0" distR="0" wp14:anchorId="35CB8D9B" wp14:editId="5338EFD6">
            <wp:extent cx="6124871" cy="89486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02117" cy="906152"/>
                    </a:xfrm>
                    <a:prstGeom prst="rect">
                      <a:avLst/>
                    </a:prstGeom>
                    <a:noFill/>
                  </pic:spPr>
                </pic:pic>
              </a:graphicData>
            </a:graphic>
          </wp:inline>
        </w:drawing>
      </w:r>
    </w:p>
    <w:p w14:paraId="22183757" w14:textId="2A2FB782" w:rsidR="000463D6" w:rsidRPr="00E32003" w:rsidRDefault="000463D6" w:rsidP="000463D6">
      <w:pPr>
        <w:pStyle w:val="Caption"/>
        <w:jc w:val="center"/>
        <w:rPr>
          <w:b/>
          <w:bCs/>
          <w:i w:val="0"/>
          <w:iCs w:val="0"/>
        </w:rPr>
      </w:pPr>
      <w:r w:rsidRPr="00E32003">
        <w:rPr>
          <w:b/>
          <w:bCs/>
          <w:i w:val="0"/>
          <w:iCs w:val="0"/>
        </w:rPr>
        <w:t xml:space="preserve">Figure </w:t>
      </w:r>
      <w:r w:rsidRPr="00E32003">
        <w:rPr>
          <w:b/>
          <w:bCs/>
          <w:i w:val="0"/>
          <w:iCs w:val="0"/>
        </w:rPr>
        <w:fldChar w:fldCharType="begin"/>
      </w:r>
      <w:r w:rsidRPr="00E32003">
        <w:rPr>
          <w:b/>
          <w:bCs/>
          <w:i w:val="0"/>
          <w:iCs w:val="0"/>
        </w:rPr>
        <w:instrText xml:space="preserve"> SEQ Figure \* ARABIC </w:instrText>
      </w:r>
      <w:r w:rsidRPr="00E32003">
        <w:rPr>
          <w:b/>
          <w:bCs/>
          <w:i w:val="0"/>
          <w:iCs w:val="0"/>
        </w:rPr>
        <w:fldChar w:fldCharType="separate"/>
      </w:r>
      <w:r w:rsidR="00E32003">
        <w:rPr>
          <w:b/>
          <w:bCs/>
          <w:i w:val="0"/>
          <w:iCs w:val="0"/>
          <w:noProof/>
        </w:rPr>
        <w:t>2</w:t>
      </w:r>
      <w:r w:rsidRPr="00E32003">
        <w:rPr>
          <w:b/>
          <w:bCs/>
          <w:i w:val="0"/>
          <w:iCs w:val="0"/>
        </w:rPr>
        <w:fldChar w:fldCharType="end"/>
      </w:r>
      <w:r w:rsidRPr="00E32003">
        <w:rPr>
          <w:b/>
          <w:bCs/>
          <w:i w:val="0"/>
          <w:iCs w:val="0"/>
        </w:rPr>
        <w:t xml:space="preserve">. </w:t>
      </w:r>
      <w:r w:rsidR="00E32003">
        <w:rPr>
          <w:b/>
          <w:bCs/>
          <w:i w:val="0"/>
          <w:iCs w:val="0"/>
        </w:rPr>
        <w:t>N</w:t>
      </w:r>
      <w:r w:rsidRPr="00E32003">
        <w:rPr>
          <w:b/>
          <w:bCs/>
          <w:i w:val="0"/>
          <w:iCs w:val="0"/>
        </w:rPr>
        <w:t>ew band numbering</w:t>
      </w:r>
      <w:r w:rsidR="00E32003">
        <w:rPr>
          <w:b/>
          <w:bCs/>
          <w:i w:val="0"/>
          <w:iCs w:val="0"/>
        </w:rPr>
        <w:t>: Discrete sub-bands of band n77</w:t>
      </w:r>
    </w:p>
    <w:p w14:paraId="7123A9CF" w14:textId="6757EB9B" w:rsidR="005D32B5" w:rsidRPr="00E32003" w:rsidRDefault="005D32B5" w:rsidP="0058777F">
      <w:r w:rsidRPr="00E32003">
        <w:t xml:space="preserve">Thus, </w:t>
      </w:r>
      <w:r w:rsidR="00EB2FB5" w:rsidRPr="00E32003">
        <w:t xml:space="preserve">a legacy UE </w:t>
      </w:r>
      <w:r w:rsidRPr="00E32003">
        <w:t xml:space="preserve">would only </w:t>
      </w:r>
      <w:r w:rsidR="00EB2FB5" w:rsidRPr="00E32003">
        <w:t xml:space="preserve">indicate support </w:t>
      </w:r>
      <w:r w:rsidRPr="00E32003">
        <w:t xml:space="preserve">for band n159 </w:t>
      </w:r>
      <w:r w:rsidR="00EB2FB5" w:rsidRPr="00E32003">
        <w:t xml:space="preserve">and a new UE </w:t>
      </w:r>
      <w:r w:rsidRPr="00E32003">
        <w:t xml:space="preserve">would </w:t>
      </w:r>
      <w:r w:rsidR="00EB2FB5" w:rsidRPr="00E32003">
        <w:t>indicate</w:t>
      </w:r>
      <w:r w:rsidRPr="00E32003">
        <w:t xml:space="preserve"> support for </w:t>
      </w:r>
      <w:r w:rsidR="00EB2FB5" w:rsidRPr="00E32003">
        <w:t>both n</w:t>
      </w:r>
      <w:r w:rsidRPr="00E32003">
        <w:t>159</w:t>
      </w:r>
      <w:r w:rsidR="00EB2FB5" w:rsidRPr="00E32003">
        <w:t xml:space="preserve"> and </w:t>
      </w:r>
      <w:r w:rsidRPr="00E32003">
        <w:t>n160, allowing</w:t>
      </w:r>
      <w:r w:rsidR="00EB2FB5" w:rsidRPr="00E32003">
        <w:t xml:space="preserve"> network </w:t>
      </w:r>
      <w:r w:rsidRPr="00E32003">
        <w:t xml:space="preserve">to </w:t>
      </w:r>
      <w:r w:rsidR="00EB2FB5" w:rsidRPr="00E32003">
        <w:t xml:space="preserve">clearly know </w:t>
      </w:r>
      <w:r w:rsidRPr="00E32003">
        <w:t xml:space="preserve">the bands the UE supports, and </w:t>
      </w:r>
      <w:r w:rsidR="00EB2FB5" w:rsidRPr="00E32003">
        <w:t>resource management</w:t>
      </w:r>
      <w:r w:rsidRPr="00E32003">
        <w:t xml:space="preserve"> (</w:t>
      </w:r>
      <w:r w:rsidR="00EB2FB5" w:rsidRPr="00E32003">
        <w:t>e.g., HO</w:t>
      </w:r>
      <w:r w:rsidRPr="00E32003">
        <w:t>) could be based on just these capabilities without even considering any (new) NS-values.</w:t>
      </w:r>
      <w:r w:rsidR="00EB2FB5" w:rsidRPr="00E32003">
        <w:t xml:space="preserve"> </w:t>
      </w:r>
    </w:p>
    <w:p w14:paraId="0509C969" w14:textId="2710773F" w:rsidR="00D72D77" w:rsidRPr="00E32003" w:rsidRDefault="00D72D77" w:rsidP="0058777F">
      <w:r w:rsidRPr="00E32003">
        <w:rPr>
          <w:b/>
          <w:bCs/>
        </w:rPr>
        <w:t>Observation 2:</w:t>
      </w:r>
      <w:r w:rsidRPr="00E32003">
        <w:t xml:space="preserve"> New band numbering solution works without additional UE capabilities and the new band numbers automatically follow the existing “parent” band RF requirements.</w:t>
      </w:r>
    </w:p>
    <w:p w14:paraId="7DAA089E" w14:textId="21642DA6" w:rsidR="00D72D77" w:rsidRPr="00E32003" w:rsidRDefault="00D72D77" w:rsidP="00D72D77">
      <w:r w:rsidRPr="00E32003">
        <w:t>It is</w:t>
      </w:r>
      <w:r w:rsidR="00EB2FB5" w:rsidRPr="00E32003">
        <w:t xml:space="preserve">, however, </w:t>
      </w:r>
      <w:r w:rsidRPr="00E32003">
        <w:t xml:space="preserve">obvious that the matter of </w:t>
      </w:r>
      <w:r w:rsidR="00EB2FB5" w:rsidRPr="00E32003">
        <w:t>intra</w:t>
      </w:r>
      <w:r w:rsidRPr="00E32003">
        <w:t>-</w:t>
      </w:r>
      <w:r w:rsidR="00EB2FB5" w:rsidRPr="00E32003">
        <w:t xml:space="preserve">band non-contiguous CA </w:t>
      </w:r>
      <w:r w:rsidRPr="00E32003">
        <w:t>have to be considered: Would a UE supporting both</w:t>
      </w:r>
      <w:r w:rsidR="00EB2FB5" w:rsidRPr="00E32003">
        <w:t xml:space="preserve"> n</w:t>
      </w:r>
      <w:r w:rsidRPr="00E32003">
        <w:t>159</w:t>
      </w:r>
      <w:r w:rsidR="00EB2FB5" w:rsidRPr="00E32003">
        <w:t xml:space="preserve"> and n</w:t>
      </w:r>
      <w:r w:rsidRPr="00E32003">
        <w:t>160</w:t>
      </w:r>
      <w:r w:rsidR="00EB2FB5" w:rsidRPr="00E32003">
        <w:t xml:space="preserve"> support any combination of those </w:t>
      </w:r>
      <w:r w:rsidRPr="00E32003">
        <w:t xml:space="preserve">bands </w:t>
      </w:r>
      <w:r w:rsidR="00EB2FB5" w:rsidRPr="00E32003">
        <w:t>as well</w:t>
      </w:r>
      <w:r w:rsidRPr="00E32003">
        <w:t>, within the limits of the CA band combinations</w:t>
      </w:r>
      <w:r w:rsidR="00EB2FB5" w:rsidRPr="00E32003">
        <w:t>?</w:t>
      </w:r>
      <w:r w:rsidRPr="00E32003">
        <w:t xml:space="preserve"> And would the UE indicate all band combinations where the n159 and n160 are involved? This could increase signalling size and cause further ambiguities in how to interpret the UE capability support. In addition, CA_n159-n160 is </w:t>
      </w:r>
      <w:r w:rsidRPr="00E32003">
        <w:rPr>
          <w:b/>
          <w:bCs/>
        </w:rPr>
        <w:t>not</w:t>
      </w:r>
      <w:r w:rsidRPr="00E32003">
        <w:t xml:space="preserve"> intra-band non-contiguous UL CA but (in RAN4 terms) an inter-band CA, even if the n159 and n160 the performance requirements would follow CA_n77(2A), strictly speaking the network cannot handle CA_nX-nY exactly </w:t>
      </w:r>
      <w:r w:rsidRPr="00E32003">
        <w:lastRenderedPageBreak/>
        <w:t>as CA_n77(2A). Hence, the introduction of a new band numbering based on the existing band definition doesn’t fit to this solution.</w:t>
      </w:r>
    </w:p>
    <w:p w14:paraId="0894150E" w14:textId="7F198A35" w:rsidR="00EB2FB5" w:rsidRPr="00E32003" w:rsidRDefault="00EB2FB5" w:rsidP="0058777F"/>
    <w:p w14:paraId="6FFA8525" w14:textId="4D5DD0FD" w:rsidR="00D72D77" w:rsidRPr="00E32003" w:rsidRDefault="00D72D77" w:rsidP="00D72D77">
      <w:r w:rsidRPr="00E32003">
        <w:rPr>
          <w:b/>
          <w:bCs/>
        </w:rPr>
        <w:t>Observation 3:</w:t>
      </w:r>
      <w:r w:rsidRPr="00E32003">
        <w:t xml:space="preserve"> Using new band numbering solution so that each sub-band only contains its own allocation may have some issues.</w:t>
      </w:r>
    </w:p>
    <w:p w14:paraId="5537B665" w14:textId="0AFEB01B" w:rsidR="0058777F" w:rsidRPr="00E32003" w:rsidRDefault="00D72D77" w:rsidP="00D72D77">
      <w:r w:rsidRPr="00E32003">
        <w:t xml:space="preserve">However, if the new </w:t>
      </w:r>
      <w:r w:rsidR="0058777F" w:rsidRPr="00E32003">
        <w:t xml:space="preserve">“sub-band” allocation consists of the </w:t>
      </w:r>
      <w:r w:rsidR="0058777F" w:rsidRPr="00E32003">
        <w:rPr>
          <w:u w:val="single"/>
        </w:rPr>
        <w:t>entire</w:t>
      </w:r>
      <w:r w:rsidR="0058777F" w:rsidRPr="00E32003">
        <w:t xml:space="preserve"> frequency band allocation that is supported at the time the new sub-band is created</w:t>
      </w:r>
      <w:r w:rsidRPr="00E32003">
        <w:t>, this problem goes away. The sub-bands would then be defined as follows</w:t>
      </w:r>
      <w:r w:rsidR="0058777F" w:rsidRPr="00E32003">
        <w:t>:</w:t>
      </w:r>
    </w:p>
    <w:p w14:paraId="555D29AA" w14:textId="649BB2F9" w:rsidR="0058777F" w:rsidRPr="00E32003" w:rsidRDefault="00D72D77" w:rsidP="00D72D77">
      <w:pPr>
        <w:ind w:left="284" w:hanging="284"/>
      </w:pPr>
      <w:r w:rsidRPr="00E32003">
        <w:t>-</w:t>
      </w:r>
      <w:r w:rsidRPr="00E32003">
        <w:tab/>
      </w:r>
      <w:r w:rsidRPr="00E32003">
        <w:rPr>
          <w:b/>
          <w:bCs/>
        </w:rPr>
        <w:t>Backward-inclusivity:</w:t>
      </w:r>
      <w:r w:rsidRPr="00E32003">
        <w:t xml:space="preserve"> A sub-band always contains </w:t>
      </w:r>
      <w:r w:rsidR="0058777F" w:rsidRPr="00E32003">
        <w:rPr>
          <w:b/>
          <w:bCs/>
        </w:rPr>
        <w:t>all</w:t>
      </w:r>
      <w:r w:rsidR="0058777F" w:rsidRPr="00E32003">
        <w:t xml:space="preserve"> previously defined sub-band(s)</w:t>
      </w:r>
      <w:r w:rsidRPr="00E32003">
        <w:t xml:space="preserve"> in the same band, </w:t>
      </w:r>
      <w:r w:rsidR="00282278">
        <w:t>which means</w:t>
      </w:r>
      <w:r w:rsidRPr="00E32003">
        <w:t xml:space="preserve"> the previous sub-bands</w:t>
      </w:r>
      <w:r w:rsidR="0058777F" w:rsidRPr="00E32003">
        <w:t xml:space="preserve"> are confined within </w:t>
      </w:r>
      <w:r w:rsidRPr="00E32003">
        <w:t xml:space="preserve">the latest sub-band </w:t>
      </w:r>
      <w:r w:rsidR="0058777F" w:rsidRPr="00E32003">
        <w:t>even if the sub-bands are not contiguous</w:t>
      </w:r>
      <w:r w:rsidRPr="00E32003">
        <w:t>.</w:t>
      </w:r>
    </w:p>
    <w:p w14:paraId="72144AF4" w14:textId="7436E45E" w:rsidR="0058777F" w:rsidRPr="00E32003" w:rsidRDefault="00D72D77" w:rsidP="00D72D77">
      <w:pPr>
        <w:ind w:left="284" w:hanging="284"/>
      </w:pPr>
      <w:r w:rsidRPr="00E32003">
        <w:t>-</w:t>
      </w:r>
      <w:r w:rsidRPr="00E32003">
        <w:tab/>
      </w:r>
      <w:r w:rsidRPr="00E32003">
        <w:rPr>
          <w:b/>
          <w:bCs/>
        </w:rPr>
        <w:t>Ordering:</w:t>
      </w:r>
      <w:r w:rsidRPr="00E32003">
        <w:t xml:space="preserve"> Since UE camping on a cell always chooses the </w:t>
      </w:r>
      <w:r w:rsidRPr="00E32003">
        <w:rPr>
          <w:b/>
          <w:bCs/>
        </w:rPr>
        <w:t>first</w:t>
      </w:r>
      <w:r w:rsidRPr="00E32003">
        <w:t xml:space="preserve"> band it supports (among those </w:t>
      </w:r>
      <w:r w:rsidR="00282278">
        <w:t xml:space="preserve">that are </w:t>
      </w:r>
      <w:r w:rsidRPr="00E32003">
        <w:t xml:space="preserve">broadcast by the cell), network should </w:t>
      </w:r>
      <w:r w:rsidR="00282278" w:rsidRPr="00E32003">
        <w:t>set</w:t>
      </w:r>
      <w:r w:rsidR="0058777F" w:rsidRPr="00E32003">
        <w:t xml:space="preserve"> the order of the sub-bands listed in </w:t>
      </w:r>
      <w:r w:rsidRPr="00E32003">
        <w:t xml:space="preserve">SIB1 </w:t>
      </w:r>
      <w:r w:rsidR="0058777F" w:rsidRPr="00E32003">
        <w:rPr>
          <w:i/>
          <w:iCs/>
        </w:rPr>
        <w:t>frequencyBandList</w:t>
      </w:r>
      <w:r w:rsidR="0058777F" w:rsidRPr="00E32003">
        <w:t xml:space="preserve"> in reverse chronological order </w:t>
      </w:r>
      <w:r w:rsidRPr="00E32003">
        <w:t xml:space="preserve">to </w:t>
      </w:r>
      <w:r w:rsidR="0058777F" w:rsidRPr="00E32003">
        <w:t>allows UEs only supporting newer versions to always choose the largest sub-band first.</w:t>
      </w:r>
    </w:p>
    <w:p w14:paraId="47FC1A80" w14:textId="4383369D" w:rsidR="000463D6" w:rsidRPr="00E32003" w:rsidRDefault="0058777F" w:rsidP="00D72D77">
      <w:r w:rsidRPr="00E32003">
        <w:t>The above will resolve all the complexity due to the introduction of new band numbering:  UEs will always support the largest sub-band allocation available at the time of certification, and network signals which sub-bands are allowed for camping on a cell so that UEs only supporting older sub-bands only camp on the cell if it indicates the older sub-band numbers.</w:t>
      </w:r>
      <w:r w:rsidR="000463D6" w:rsidRPr="00E32003">
        <w:t xml:space="preserve"> This is also illustrated for the band n77 example by below Figure 3, </w:t>
      </w:r>
      <w:r w:rsidR="00E32003">
        <w:t>using the same band numbering as above for the existing sub-bands of n77</w:t>
      </w:r>
      <w:r w:rsidR="000463D6" w:rsidRPr="00E32003">
        <w:t>.</w:t>
      </w:r>
    </w:p>
    <w:p w14:paraId="3E93E9DC" w14:textId="2556F1FF" w:rsidR="000463D6" w:rsidRPr="00E32003" w:rsidRDefault="00E32003" w:rsidP="00D72D77">
      <w:r>
        <w:rPr>
          <w:noProof/>
        </w:rPr>
        <w:drawing>
          <wp:inline distT="0" distB="0" distL="0" distR="0" wp14:anchorId="3DCC13FD" wp14:editId="692BC596">
            <wp:extent cx="6114700" cy="769982"/>
            <wp:effectExtent l="0" t="0" r="63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55582" cy="787722"/>
                    </a:xfrm>
                    <a:prstGeom prst="rect">
                      <a:avLst/>
                    </a:prstGeom>
                    <a:noFill/>
                  </pic:spPr>
                </pic:pic>
              </a:graphicData>
            </a:graphic>
          </wp:inline>
        </w:drawing>
      </w:r>
    </w:p>
    <w:p w14:paraId="653C6E23" w14:textId="4F47F49E" w:rsidR="00E32003" w:rsidRPr="00E32003" w:rsidRDefault="00E32003" w:rsidP="00E32003">
      <w:pPr>
        <w:pStyle w:val="Caption"/>
        <w:jc w:val="center"/>
        <w:rPr>
          <w:b/>
          <w:bCs/>
          <w:i w:val="0"/>
          <w:iCs w:val="0"/>
        </w:rPr>
      </w:pPr>
      <w:r w:rsidRPr="00E32003">
        <w:rPr>
          <w:b/>
          <w:bCs/>
          <w:i w:val="0"/>
          <w:iCs w:val="0"/>
        </w:rPr>
        <w:t xml:space="preserve">Figure </w:t>
      </w:r>
      <w:r w:rsidRPr="00E32003">
        <w:rPr>
          <w:b/>
          <w:bCs/>
          <w:i w:val="0"/>
          <w:iCs w:val="0"/>
        </w:rPr>
        <w:fldChar w:fldCharType="begin"/>
      </w:r>
      <w:r w:rsidRPr="00E32003">
        <w:rPr>
          <w:b/>
          <w:bCs/>
          <w:i w:val="0"/>
          <w:iCs w:val="0"/>
        </w:rPr>
        <w:instrText xml:space="preserve"> SEQ Figure \* ARABIC </w:instrText>
      </w:r>
      <w:r w:rsidRPr="00E32003">
        <w:rPr>
          <w:b/>
          <w:bCs/>
          <w:i w:val="0"/>
          <w:iCs w:val="0"/>
        </w:rPr>
        <w:fldChar w:fldCharType="separate"/>
      </w:r>
      <w:r>
        <w:rPr>
          <w:b/>
          <w:bCs/>
          <w:i w:val="0"/>
          <w:iCs w:val="0"/>
          <w:noProof/>
        </w:rPr>
        <w:t>3</w:t>
      </w:r>
      <w:r w:rsidRPr="00E32003">
        <w:rPr>
          <w:b/>
          <w:bCs/>
          <w:i w:val="0"/>
          <w:iCs w:val="0"/>
        </w:rPr>
        <w:fldChar w:fldCharType="end"/>
      </w:r>
      <w:r w:rsidRPr="00E32003">
        <w:rPr>
          <w:b/>
          <w:bCs/>
          <w:i w:val="0"/>
          <w:iCs w:val="0"/>
        </w:rPr>
        <w:t xml:space="preserve">. </w:t>
      </w:r>
      <w:r>
        <w:rPr>
          <w:b/>
          <w:bCs/>
          <w:i w:val="0"/>
          <w:iCs w:val="0"/>
        </w:rPr>
        <w:t>N</w:t>
      </w:r>
      <w:r w:rsidRPr="00E32003">
        <w:rPr>
          <w:b/>
          <w:bCs/>
          <w:i w:val="0"/>
          <w:iCs w:val="0"/>
        </w:rPr>
        <w:t>ew band numbering</w:t>
      </w:r>
      <w:r>
        <w:rPr>
          <w:b/>
          <w:bCs/>
          <w:i w:val="0"/>
          <w:iCs w:val="0"/>
        </w:rPr>
        <w:t xml:space="preserve">: Inclusive sub-bands of band n77 </w:t>
      </w:r>
    </w:p>
    <w:p w14:paraId="1978EDF5" w14:textId="1DF413BA" w:rsidR="000463D6" w:rsidRPr="00E32003" w:rsidRDefault="000463D6" w:rsidP="00D72D77">
      <w:r w:rsidRPr="00E32003">
        <w:t xml:space="preserve">This resolves the CA issues since the </w:t>
      </w:r>
      <w:r w:rsidR="00E32003">
        <w:t xml:space="preserve">n160 </w:t>
      </w:r>
      <w:r w:rsidRPr="00E32003">
        <w:t xml:space="preserve">now contains </w:t>
      </w:r>
      <w:r w:rsidR="00E32003">
        <w:t>the entirety of n159</w:t>
      </w:r>
      <w:r w:rsidRPr="00E32003">
        <w:t>, so any combination of n159</w:t>
      </w:r>
      <w:r w:rsidR="00E32003">
        <w:t xml:space="preserve"> and </w:t>
      </w:r>
      <w:r w:rsidRPr="00E32003">
        <w:t>n160 automatically belongs to the n16</w:t>
      </w:r>
      <w:r w:rsidR="00E32003">
        <w:t>0</w:t>
      </w:r>
      <w:r w:rsidRPr="00E32003">
        <w:t>, and thus the requirements are according to intra-band (non-contiguous) CA, defaulting to corresponding band n77 intra-band (non-contiguous) CA requirements.</w:t>
      </w:r>
    </w:p>
    <w:p w14:paraId="2D49DCFB" w14:textId="60D80F30" w:rsidR="000463D6" w:rsidRPr="00E32003" w:rsidRDefault="000463D6" w:rsidP="00D72D77">
      <w:r w:rsidRPr="00E32003">
        <w:rPr>
          <w:b/>
          <w:bCs/>
        </w:rPr>
        <w:t xml:space="preserve">Observation </w:t>
      </w:r>
      <w:r w:rsidR="00F03B2C" w:rsidRPr="00E32003">
        <w:rPr>
          <w:b/>
          <w:bCs/>
        </w:rPr>
        <w:t>4</w:t>
      </w:r>
      <w:r w:rsidRPr="00E32003">
        <w:rPr>
          <w:b/>
          <w:bCs/>
        </w:rPr>
        <w:t>:</w:t>
      </w:r>
      <w:r w:rsidRPr="00E32003">
        <w:t xml:space="preserve"> Having the latest sub-band to always include all the previous sub-bands resolves RAN4 specification ambiguities for intra-band CA cases.</w:t>
      </w:r>
    </w:p>
    <w:p w14:paraId="637099E7" w14:textId="01B57EDC" w:rsidR="0058777F" w:rsidRPr="00E32003" w:rsidRDefault="000463D6" w:rsidP="0058777F">
      <w:r w:rsidRPr="00E32003">
        <w:t>The only new thing here is that a sub-band could now contain frequencies that are not necessarily contiguous.</w:t>
      </w:r>
      <w:r w:rsidR="0058777F" w:rsidRPr="00E32003">
        <w:t xml:space="preserve"> </w:t>
      </w:r>
      <w:r w:rsidRPr="00E32003">
        <w:t>T</w:t>
      </w:r>
      <w:r w:rsidR="0058777F" w:rsidRPr="00E32003">
        <w:t xml:space="preserve">here is no need to define in a way that FDD band is one UL block paired with one DL block or TDD band is one UL/DL block, but rather it must be allowed to define a band with multiple frequency blocks to reduce the complexity.  </w:t>
      </w:r>
    </w:p>
    <w:p w14:paraId="284E5F56" w14:textId="002760B4" w:rsidR="0058777F" w:rsidRPr="00E32003" w:rsidRDefault="000463D6" w:rsidP="000463D6">
      <w:r w:rsidRPr="00E32003">
        <w:t xml:space="preserve">From RAN2 viewpoint, we would note </w:t>
      </w:r>
      <w:r w:rsidR="0058777F" w:rsidRPr="00E32003">
        <w:t>that the network can handle each of the UEs as normal CA UE and no special care is required like the original solution</w:t>
      </w:r>
      <w:r w:rsidRPr="00E32003">
        <w:t xml:space="preserve"> since </w:t>
      </w:r>
      <w:r w:rsidR="0058777F" w:rsidRPr="00E32003">
        <w:t>the existing specification already indicates that UE shall select the first available frequency band in the list as shown below (from TS38.331 v.17.2.0, clause 5.2.2.4.2):</w:t>
      </w:r>
    </w:p>
    <w:p w14:paraId="61AC1E5D" w14:textId="77777777" w:rsidR="0058777F" w:rsidRPr="00E32003" w:rsidRDefault="0058777F" w:rsidP="0058777F">
      <w:pPr>
        <w:spacing w:after="0"/>
        <w:ind w:left="360"/>
        <w:jc w:val="both"/>
        <w:rPr>
          <w:rFonts w:ascii="Arial" w:hAnsi="Arial" w:cs="Arial"/>
          <w:color w:val="595959"/>
        </w:rPr>
      </w:pPr>
    </w:p>
    <w:tbl>
      <w:tblPr>
        <w:tblStyle w:val="TableGrid"/>
        <w:tblW w:w="0" w:type="auto"/>
        <w:tblInd w:w="360" w:type="dxa"/>
        <w:tblLook w:val="04A0" w:firstRow="1" w:lastRow="0" w:firstColumn="1" w:lastColumn="0" w:noHBand="0" w:noVBand="1"/>
      </w:tblPr>
      <w:tblGrid>
        <w:gridCol w:w="9271"/>
      </w:tblGrid>
      <w:tr w:rsidR="0058777F" w:rsidRPr="00E32003" w14:paraId="566BCFE0" w14:textId="77777777" w:rsidTr="007E28DB">
        <w:tc>
          <w:tcPr>
            <w:tcW w:w="9913" w:type="dxa"/>
          </w:tcPr>
          <w:p w14:paraId="2315B180" w14:textId="77777777" w:rsidR="0058777F" w:rsidRPr="00E32003" w:rsidRDefault="0058777F" w:rsidP="007E28DB">
            <w:pPr>
              <w:overflowPunct w:val="0"/>
              <w:autoSpaceDE w:val="0"/>
              <w:autoSpaceDN w:val="0"/>
              <w:adjustRightInd w:val="0"/>
              <w:ind w:hanging="284"/>
              <w:textAlignment w:val="baseline"/>
              <w:rPr>
                <w:lang w:val="en-GB" w:eastAsia="ja-JP"/>
              </w:rPr>
            </w:pPr>
            <w:r w:rsidRPr="00E32003">
              <w:rPr>
                <w:highlight w:val="green"/>
                <w:lang w:val="en-GB" w:eastAsia="ja-JP"/>
              </w:rPr>
              <w:t>2&gt;</w:t>
            </w:r>
            <w:r w:rsidRPr="00E32003">
              <w:rPr>
                <w:highlight w:val="green"/>
                <w:lang w:val="en-GB" w:eastAsia="ja-JP"/>
              </w:rPr>
              <w:tab/>
              <w:t xml:space="preserve">if the UE supports one or more of the frequency bands indicated in the </w:t>
            </w:r>
            <w:r w:rsidRPr="00E32003">
              <w:rPr>
                <w:i/>
                <w:highlight w:val="green"/>
                <w:lang w:val="en-GB" w:eastAsia="ja-JP"/>
              </w:rPr>
              <w:t xml:space="preserve">frequencyBandList </w:t>
            </w:r>
            <w:r w:rsidRPr="00E32003">
              <w:rPr>
                <w:highlight w:val="green"/>
                <w:lang w:val="en-GB" w:eastAsia="ja-JP"/>
              </w:rPr>
              <w:t xml:space="preserve">for downlink for TDD, or one or more of the frequency bands indicated in the </w:t>
            </w:r>
            <w:r w:rsidRPr="00E32003">
              <w:rPr>
                <w:i/>
                <w:highlight w:val="green"/>
                <w:lang w:val="en-GB" w:eastAsia="ja-JP"/>
              </w:rPr>
              <w:t>frequencyBandList</w:t>
            </w:r>
            <w:r w:rsidRPr="00E32003">
              <w:rPr>
                <w:highlight w:val="green"/>
                <w:lang w:val="en-GB" w:eastAsia="ja-JP"/>
              </w:rPr>
              <w:t xml:space="preserve"> for uplink for FDD, and they are not downlink only bands, and</w:t>
            </w:r>
          </w:p>
          <w:p w14:paraId="12473B91" w14:textId="77777777" w:rsidR="0058777F" w:rsidRPr="00E32003" w:rsidRDefault="0058777F" w:rsidP="007E28DB">
            <w:pPr>
              <w:overflowPunct w:val="0"/>
              <w:autoSpaceDE w:val="0"/>
              <w:autoSpaceDN w:val="0"/>
              <w:adjustRightInd w:val="0"/>
              <w:ind w:hanging="284"/>
              <w:textAlignment w:val="baseline"/>
              <w:rPr>
                <w:lang w:val="en-GB" w:eastAsia="ja-JP"/>
              </w:rPr>
            </w:pPr>
            <w:r w:rsidRPr="00E32003">
              <w:rPr>
                <w:lang w:val="en-GB" w:eastAsia="ja-JP"/>
              </w:rPr>
              <w:t>2&gt;</w:t>
            </w:r>
            <w:r w:rsidRPr="00E32003">
              <w:rPr>
                <w:lang w:val="en-GB" w:eastAsia="ja-JP"/>
              </w:rPr>
              <w:tab/>
              <w:t xml:space="preserve">if the UE is IAB-MT or supports at least one </w:t>
            </w:r>
            <w:r w:rsidRPr="00E32003">
              <w:rPr>
                <w:i/>
                <w:lang w:val="en-GB" w:eastAsia="ja-JP"/>
              </w:rPr>
              <w:t>additionalSpectrumEmission</w:t>
            </w:r>
            <w:r w:rsidRPr="00E32003">
              <w:rPr>
                <w:lang w:val="en-GB" w:eastAsia="ja-JP"/>
              </w:rPr>
              <w:t xml:space="preserve"> in the </w:t>
            </w:r>
            <w:r w:rsidRPr="00E32003">
              <w:rPr>
                <w:i/>
                <w:lang w:val="en-GB" w:eastAsia="ja-JP"/>
              </w:rPr>
              <w:t>NR-NS-PmaxList</w:t>
            </w:r>
            <w:r w:rsidRPr="00E32003">
              <w:rPr>
                <w:lang w:val="en-GB" w:eastAsia="ja-JP"/>
              </w:rPr>
              <w:t xml:space="preserve"> for a supported band in the downlink for TDD, or a supported band in uplink for FDD, and</w:t>
            </w:r>
          </w:p>
          <w:p w14:paraId="51C4E8C4" w14:textId="77777777" w:rsidR="0058777F" w:rsidRPr="00E32003" w:rsidRDefault="0058777F" w:rsidP="007E28DB">
            <w:pPr>
              <w:overflowPunct w:val="0"/>
              <w:autoSpaceDE w:val="0"/>
              <w:autoSpaceDN w:val="0"/>
              <w:adjustRightInd w:val="0"/>
              <w:spacing w:after="0"/>
              <w:ind w:hanging="284"/>
              <w:textAlignment w:val="baseline"/>
              <w:rPr>
                <w:lang w:val="en-GB" w:eastAsia="ja-JP"/>
              </w:rPr>
            </w:pPr>
            <w:r w:rsidRPr="00E32003">
              <w:rPr>
                <w:lang w:val="en-GB" w:eastAsia="ja-JP"/>
              </w:rPr>
              <w:t>2&gt;</w:t>
            </w:r>
            <w:r w:rsidRPr="00E32003">
              <w:rPr>
                <w:lang w:val="en-GB" w:eastAsia="ja-JP"/>
              </w:rPr>
              <w:tab/>
              <w:t>if the UE supports an uplink channel bandwidth with a maximum transmission bandwidth configuration (see TS 38.101-1 [15] and TS 38.101-2 [39]) which</w:t>
            </w:r>
          </w:p>
          <w:p w14:paraId="0A227ECC" w14:textId="77777777" w:rsidR="0058777F" w:rsidRPr="00E32003" w:rsidRDefault="0058777F" w:rsidP="007E28DB">
            <w:pPr>
              <w:overflowPunct w:val="0"/>
              <w:autoSpaceDE w:val="0"/>
              <w:autoSpaceDN w:val="0"/>
              <w:adjustRightInd w:val="0"/>
              <w:spacing w:after="0"/>
              <w:ind w:left="1135" w:hanging="284"/>
              <w:textAlignment w:val="baseline"/>
              <w:rPr>
                <w:lang w:val="en-GB" w:eastAsia="ja-JP"/>
              </w:rPr>
            </w:pPr>
            <w:r w:rsidRPr="00E32003">
              <w:rPr>
                <w:lang w:val="en-GB" w:eastAsia="ja-JP"/>
              </w:rPr>
              <w:t>-</w:t>
            </w:r>
            <w:r w:rsidRPr="00E32003">
              <w:rPr>
                <w:lang w:val="en-GB" w:eastAsia="ja-JP"/>
              </w:rPr>
              <w:tab/>
              <w:t xml:space="preserve">is smaller than or equal to the </w:t>
            </w:r>
            <w:r w:rsidRPr="00E32003">
              <w:rPr>
                <w:i/>
                <w:lang w:val="en-GB" w:eastAsia="ja-JP"/>
              </w:rPr>
              <w:t>carrierBandwidth</w:t>
            </w:r>
            <w:r w:rsidRPr="00E32003">
              <w:rPr>
                <w:lang w:val="en-GB" w:eastAsia="ja-JP"/>
              </w:rPr>
              <w:t xml:space="preserve"> (indicated in </w:t>
            </w:r>
            <w:r w:rsidRPr="00E32003">
              <w:rPr>
                <w:i/>
                <w:lang w:val="en-GB" w:eastAsia="ja-JP"/>
              </w:rPr>
              <w:t>uplinkConfigCommon</w:t>
            </w:r>
            <w:r w:rsidRPr="00E32003">
              <w:rPr>
                <w:lang w:val="en-GB" w:eastAsia="ja-JP"/>
              </w:rPr>
              <w:t xml:space="preserve"> for the SCS of the initial uplink BWP or, for RedCap UE, of the RedCap-specific initial uplink BWP if configured), and which</w:t>
            </w:r>
          </w:p>
          <w:p w14:paraId="6867188C" w14:textId="77777777" w:rsidR="0058777F" w:rsidRPr="00E32003" w:rsidRDefault="0058777F" w:rsidP="007E28DB">
            <w:pPr>
              <w:overflowPunct w:val="0"/>
              <w:autoSpaceDE w:val="0"/>
              <w:autoSpaceDN w:val="0"/>
              <w:adjustRightInd w:val="0"/>
              <w:ind w:left="1135" w:hanging="284"/>
              <w:textAlignment w:val="baseline"/>
              <w:rPr>
                <w:lang w:val="en-GB" w:eastAsia="ja-JP"/>
              </w:rPr>
            </w:pPr>
            <w:r w:rsidRPr="00E32003">
              <w:rPr>
                <w:lang w:val="en-GB" w:eastAsia="ja-JP"/>
              </w:rPr>
              <w:t>-</w:t>
            </w:r>
            <w:r w:rsidRPr="00E32003">
              <w:rPr>
                <w:lang w:val="en-GB" w:eastAsia="ja-JP"/>
              </w:rPr>
              <w:tab/>
              <w:t>is wider than or equal to the bandwidth of the initial uplink BWP or, for RedCap UE, of the RedCap-specific initial uplink BWP if configured, and</w:t>
            </w:r>
          </w:p>
          <w:p w14:paraId="562594CA" w14:textId="77777777" w:rsidR="0058777F" w:rsidRPr="00E32003" w:rsidRDefault="0058777F" w:rsidP="007E28DB">
            <w:pPr>
              <w:overflowPunct w:val="0"/>
              <w:autoSpaceDE w:val="0"/>
              <w:autoSpaceDN w:val="0"/>
              <w:adjustRightInd w:val="0"/>
              <w:spacing w:after="0"/>
              <w:ind w:hanging="284"/>
              <w:textAlignment w:val="baseline"/>
              <w:rPr>
                <w:lang w:val="en-GB" w:eastAsia="ja-JP"/>
              </w:rPr>
            </w:pPr>
            <w:r w:rsidRPr="00E32003">
              <w:rPr>
                <w:lang w:val="en-GB" w:eastAsia="ja-JP"/>
              </w:rPr>
              <w:t>2&gt;</w:t>
            </w:r>
            <w:r w:rsidRPr="00E32003">
              <w:rPr>
                <w:lang w:val="en-GB" w:eastAsia="ja-JP"/>
              </w:rPr>
              <w:tab/>
              <w:t>if the UE supports a downlink channel bandwidth with a maximum transmission bandwidth configuration (see TS 38.101-1 [15] and TS 38.101-2 [39]) which</w:t>
            </w:r>
          </w:p>
          <w:p w14:paraId="7AC9F2BB" w14:textId="77777777" w:rsidR="0058777F" w:rsidRPr="00E32003" w:rsidRDefault="0058777F" w:rsidP="007E28DB">
            <w:pPr>
              <w:overflowPunct w:val="0"/>
              <w:autoSpaceDE w:val="0"/>
              <w:autoSpaceDN w:val="0"/>
              <w:adjustRightInd w:val="0"/>
              <w:spacing w:after="0"/>
              <w:ind w:left="1135" w:hanging="284"/>
              <w:textAlignment w:val="baseline"/>
              <w:rPr>
                <w:lang w:val="en-GB" w:eastAsia="ja-JP"/>
              </w:rPr>
            </w:pPr>
            <w:r w:rsidRPr="00E32003">
              <w:rPr>
                <w:lang w:val="en-GB" w:eastAsia="ja-JP"/>
              </w:rPr>
              <w:lastRenderedPageBreak/>
              <w:t>-</w:t>
            </w:r>
            <w:r w:rsidRPr="00E32003">
              <w:rPr>
                <w:lang w:val="en-GB" w:eastAsia="ja-JP"/>
              </w:rPr>
              <w:tab/>
              <w:t xml:space="preserve">is smaller than or equal to the </w:t>
            </w:r>
            <w:r w:rsidRPr="00E32003">
              <w:rPr>
                <w:i/>
                <w:lang w:val="en-GB" w:eastAsia="ja-JP"/>
              </w:rPr>
              <w:t>carrierBandwidth</w:t>
            </w:r>
            <w:r w:rsidRPr="00E32003">
              <w:rPr>
                <w:lang w:val="en-GB" w:eastAsia="ja-JP"/>
              </w:rPr>
              <w:t xml:space="preserve"> (indicated in </w:t>
            </w:r>
            <w:r w:rsidRPr="00E32003">
              <w:rPr>
                <w:i/>
                <w:lang w:val="en-GB" w:eastAsia="ja-JP"/>
              </w:rPr>
              <w:t>downlinkConfigCommon</w:t>
            </w:r>
            <w:r w:rsidRPr="00E32003">
              <w:rPr>
                <w:lang w:val="en-GB" w:eastAsia="ja-JP"/>
              </w:rPr>
              <w:t xml:space="preserve"> for the SCS of the initial downlink BWP or, for RedCap UE, of the RedCap-specific initial downlink BWP if configured), and which</w:t>
            </w:r>
          </w:p>
          <w:p w14:paraId="3071D89C" w14:textId="77777777" w:rsidR="0058777F" w:rsidRPr="00E32003" w:rsidRDefault="0058777F" w:rsidP="007E28DB">
            <w:pPr>
              <w:overflowPunct w:val="0"/>
              <w:autoSpaceDE w:val="0"/>
              <w:autoSpaceDN w:val="0"/>
              <w:adjustRightInd w:val="0"/>
              <w:ind w:left="1135" w:hanging="284"/>
              <w:textAlignment w:val="baseline"/>
              <w:rPr>
                <w:lang w:val="en-GB" w:eastAsia="ja-JP"/>
              </w:rPr>
            </w:pPr>
            <w:r w:rsidRPr="00E32003">
              <w:rPr>
                <w:lang w:val="en-GB" w:eastAsia="ja-JP"/>
              </w:rPr>
              <w:t>-</w:t>
            </w:r>
            <w:r w:rsidRPr="00E32003">
              <w:rPr>
                <w:lang w:val="en-GB" w:eastAsia="ja-JP"/>
              </w:rPr>
              <w:tab/>
              <w:t>is wider than or equal to the bandwidth of the initial downlink BWP or, for RedCap UE, of the RedCap-specific initial downlink BWP if configured, and</w:t>
            </w:r>
          </w:p>
          <w:p w14:paraId="1A8FA913" w14:textId="77777777" w:rsidR="0058777F" w:rsidRPr="00E32003" w:rsidRDefault="0058777F" w:rsidP="007E28DB">
            <w:pPr>
              <w:overflowPunct w:val="0"/>
              <w:autoSpaceDE w:val="0"/>
              <w:autoSpaceDN w:val="0"/>
              <w:adjustRightInd w:val="0"/>
              <w:ind w:hanging="284"/>
              <w:textAlignment w:val="baseline"/>
              <w:rPr>
                <w:lang w:val="en-GB" w:eastAsia="ja-JP"/>
              </w:rPr>
            </w:pPr>
            <w:r w:rsidRPr="00E32003">
              <w:rPr>
                <w:lang w:val="en-GB" w:eastAsia="ja-JP"/>
              </w:rPr>
              <w:t>2&gt;</w:t>
            </w:r>
            <w:r w:rsidRPr="00E32003">
              <w:rPr>
                <w:lang w:val="en-GB" w:eastAsia="ja-JP"/>
              </w:rPr>
              <w:tab/>
              <w:t xml:space="preserve">if </w:t>
            </w:r>
            <w:r w:rsidRPr="00E32003">
              <w:rPr>
                <w:i/>
                <w:iCs/>
                <w:lang w:val="en-GB" w:eastAsia="ja-JP"/>
              </w:rPr>
              <w:t>frequencyShift7p5khz</w:t>
            </w:r>
            <w:r w:rsidRPr="00E32003">
              <w:rPr>
                <w:lang w:val="en-GB" w:eastAsia="ja-JP"/>
              </w:rPr>
              <w:t xml:space="preserve"> is present and the UE supports corresponding 7.5kHz frequency shift on this band; </w:t>
            </w:r>
            <w:bookmarkStart w:id="0" w:name="_Hlk55890539"/>
            <w:r w:rsidRPr="00E32003">
              <w:rPr>
                <w:lang w:val="en-GB" w:eastAsia="ja-JP"/>
              </w:rPr>
              <w:t xml:space="preserve">or </w:t>
            </w:r>
            <w:r w:rsidRPr="00E32003">
              <w:rPr>
                <w:i/>
                <w:iCs/>
                <w:lang w:val="en-GB" w:eastAsia="ja-JP"/>
              </w:rPr>
              <w:t>frequencyShift7p5khz</w:t>
            </w:r>
            <w:r w:rsidRPr="00E32003">
              <w:rPr>
                <w:lang w:val="en-GB" w:eastAsia="ja-JP"/>
              </w:rPr>
              <w:t xml:space="preserve"> </w:t>
            </w:r>
            <w:bookmarkEnd w:id="0"/>
            <w:r w:rsidRPr="00E32003">
              <w:rPr>
                <w:lang w:val="en-GB" w:eastAsia="ja-JP"/>
              </w:rPr>
              <w:t>is not present:</w:t>
            </w:r>
          </w:p>
          <w:p w14:paraId="1455ED8F" w14:textId="77777777" w:rsidR="0058777F" w:rsidRPr="00E32003" w:rsidRDefault="0058777F" w:rsidP="007E28DB">
            <w:pPr>
              <w:overflowPunct w:val="0"/>
              <w:autoSpaceDE w:val="0"/>
              <w:autoSpaceDN w:val="0"/>
              <w:adjustRightInd w:val="0"/>
              <w:ind w:left="1135" w:hanging="284"/>
              <w:textAlignment w:val="baseline"/>
              <w:rPr>
                <w:lang w:val="en-GB" w:eastAsia="ja-JP"/>
              </w:rPr>
            </w:pPr>
            <w:r w:rsidRPr="00E32003">
              <w:rPr>
                <w:lang w:val="en-GB" w:eastAsia="ja-JP"/>
              </w:rPr>
              <w:t>3&gt;</w:t>
            </w:r>
            <w:r w:rsidRPr="00E32003">
              <w:rPr>
                <w:lang w:val="en-GB" w:eastAsia="ja-JP"/>
              </w:rPr>
              <w:tab/>
              <w:t xml:space="preserve">if neither </w:t>
            </w:r>
            <w:r w:rsidRPr="00E32003">
              <w:rPr>
                <w:i/>
                <w:lang w:val="en-GB" w:eastAsia="ja-JP"/>
              </w:rPr>
              <w:t>trackingAreaCode</w:t>
            </w:r>
            <w:r w:rsidRPr="00E32003">
              <w:rPr>
                <w:lang w:val="en-GB" w:eastAsia="ja-JP"/>
              </w:rPr>
              <w:t xml:space="preserve"> n</w:t>
            </w:r>
            <w:r w:rsidRPr="00E32003">
              <w:rPr>
                <w:iCs/>
                <w:lang w:val="en-GB" w:eastAsia="ja-JP"/>
              </w:rPr>
              <w:t xml:space="preserve">or </w:t>
            </w:r>
            <w:r w:rsidRPr="00E32003">
              <w:rPr>
                <w:i/>
                <w:lang w:val="en-GB" w:eastAsia="ja-JP"/>
              </w:rPr>
              <w:t>trackingAreaList</w:t>
            </w:r>
            <w:r w:rsidRPr="00E32003">
              <w:rPr>
                <w:lang w:val="en-GB" w:eastAsia="ja-JP"/>
              </w:rPr>
              <w:t xml:space="preserve"> is provided for the selected PLMN nor the registered PLMN nor PLMN of the equivalent PLMN list:</w:t>
            </w:r>
          </w:p>
          <w:p w14:paraId="3F874E82" w14:textId="77777777" w:rsidR="0058777F" w:rsidRPr="00E32003" w:rsidRDefault="0058777F" w:rsidP="007E28DB">
            <w:pPr>
              <w:overflowPunct w:val="0"/>
              <w:autoSpaceDE w:val="0"/>
              <w:autoSpaceDN w:val="0"/>
              <w:adjustRightInd w:val="0"/>
              <w:ind w:left="1418" w:hanging="284"/>
              <w:textAlignment w:val="baseline"/>
              <w:rPr>
                <w:lang w:val="en-GB" w:eastAsia="ja-JP"/>
              </w:rPr>
            </w:pPr>
            <w:r w:rsidRPr="00E32003">
              <w:rPr>
                <w:lang w:val="en-GB" w:eastAsia="ja-JP"/>
              </w:rPr>
              <w:t>4&gt;</w:t>
            </w:r>
            <w:r w:rsidRPr="00E32003">
              <w:rPr>
                <w:lang w:val="en-GB" w:eastAsia="ja-JP"/>
              </w:rPr>
              <w:tab/>
              <w:t>consider the cell as barred in accordance with TS 38.304 [20];</w:t>
            </w:r>
          </w:p>
          <w:p w14:paraId="44DB969C" w14:textId="77777777" w:rsidR="0058777F" w:rsidRPr="00E32003" w:rsidRDefault="0058777F" w:rsidP="007E28DB">
            <w:pPr>
              <w:overflowPunct w:val="0"/>
              <w:autoSpaceDE w:val="0"/>
              <w:autoSpaceDN w:val="0"/>
              <w:adjustRightInd w:val="0"/>
              <w:ind w:left="1418" w:hanging="284"/>
              <w:textAlignment w:val="baseline"/>
              <w:rPr>
                <w:lang w:val="en-GB" w:eastAsia="ja-JP"/>
              </w:rPr>
            </w:pPr>
            <w:r w:rsidRPr="00E32003">
              <w:rPr>
                <w:lang w:val="en-GB" w:eastAsia="ja-JP"/>
              </w:rPr>
              <w:t>4&gt;</w:t>
            </w:r>
            <w:r w:rsidRPr="00E32003">
              <w:rPr>
                <w:lang w:val="en-GB" w:eastAsia="ja-JP"/>
              </w:rPr>
              <w:tab/>
              <w:t>perform cell re-selection to other cells on the same frequency as the barred cell as specified in TS 38.304 [20];</w:t>
            </w:r>
          </w:p>
          <w:p w14:paraId="372DC028" w14:textId="77777777" w:rsidR="0058777F" w:rsidRPr="00E32003" w:rsidRDefault="0058777F" w:rsidP="007E28DB">
            <w:pPr>
              <w:overflowPunct w:val="0"/>
              <w:autoSpaceDE w:val="0"/>
              <w:autoSpaceDN w:val="0"/>
              <w:adjustRightInd w:val="0"/>
              <w:ind w:left="1135" w:hanging="284"/>
              <w:textAlignment w:val="baseline"/>
              <w:rPr>
                <w:lang w:val="en-GB" w:eastAsia="ja-JP"/>
              </w:rPr>
            </w:pPr>
            <w:r w:rsidRPr="00E32003">
              <w:rPr>
                <w:lang w:val="en-GB" w:eastAsia="ja-JP"/>
              </w:rPr>
              <w:t>3&gt;</w:t>
            </w:r>
            <w:r w:rsidRPr="00E32003">
              <w:rPr>
                <w:lang w:val="en-GB" w:eastAsia="ja-JP"/>
              </w:rPr>
              <w:tab/>
              <w:t xml:space="preserve">else if UE is IAB-MT and if </w:t>
            </w:r>
            <w:r w:rsidRPr="00E32003">
              <w:rPr>
                <w:i/>
                <w:iCs/>
                <w:lang w:val="en-GB" w:eastAsia="ja-JP"/>
              </w:rPr>
              <w:t>iab-Support</w:t>
            </w:r>
            <w:r w:rsidRPr="00E32003">
              <w:rPr>
                <w:lang w:val="en-GB" w:eastAsia="ja-JP"/>
              </w:rPr>
              <w:t xml:space="preserve"> is not provided for the selected PLMN nor the registered PLMN nor PLMN of the equivalent PLMN list nor the selected SNPN nor the registered SNPN:</w:t>
            </w:r>
          </w:p>
          <w:p w14:paraId="71317E11" w14:textId="77777777" w:rsidR="0058777F" w:rsidRPr="00E32003" w:rsidRDefault="0058777F" w:rsidP="007E28DB">
            <w:pPr>
              <w:overflowPunct w:val="0"/>
              <w:autoSpaceDE w:val="0"/>
              <w:autoSpaceDN w:val="0"/>
              <w:adjustRightInd w:val="0"/>
              <w:ind w:left="1418" w:hanging="284"/>
              <w:textAlignment w:val="baseline"/>
              <w:rPr>
                <w:rFonts w:ascii="Malgun Gothic" w:eastAsia="SimSun" w:hAnsi="Malgun Gothic"/>
                <w:lang w:val="en-GB" w:eastAsia="ja-JP"/>
              </w:rPr>
            </w:pPr>
            <w:r w:rsidRPr="00E32003">
              <w:rPr>
                <w:lang w:val="en-GB" w:eastAsia="ja-JP"/>
              </w:rPr>
              <w:t>4&gt;</w:t>
            </w:r>
            <w:r w:rsidRPr="00E32003">
              <w:rPr>
                <w:lang w:val="en-GB" w:eastAsia="ja-JP"/>
              </w:rPr>
              <w:tab/>
              <w:t>consider the cell as barred for IAB-MT in accordance with TS 38.304 [20];</w:t>
            </w:r>
          </w:p>
          <w:p w14:paraId="12BE5394" w14:textId="77777777" w:rsidR="0058777F" w:rsidRPr="00E32003" w:rsidRDefault="0058777F" w:rsidP="007E28DB">
            <w:pPr>
              <w:overflowPunct w:val="0"/>
              <w:autoSpaceDE w:val="0"/>
              <w:autoSpaceDN w:val="0"/>
              <w:adjustRightInd w:val="0"/>
              <w:ind w:left="1135" w:hanging="284"/>
              <w:textAlignment w:val="baseline"/>
              <w:rPr>
                <w:lang w:val="en-GB" w:eastAsia="ja-JP"/>
              </w:rPr>
            </w:pPr>
            <w:r w:rsidRPr="00E32003">
              <w:rPr>
                <w:lang w:val="en-GB" w:eastAsia="ja-JP"/>
              </w:rPr>
              <w:t>3&gt;</w:t>
            </w:r>
            <w:r w:rsidRPr="00E32003">
              <w:rPr>
                <w:lang w:val="en-GB" w:eastAsia="ja-JP"/>
              </w:rPr>
              <w:tab/>
              <w:t>else:</w:t>
            </w:r>
          </w:p>
          <w:p w14:paraId="2A9922EB" w14:textId="77777777" w:rsidR="0058777F" w:rsidRPr="00E32003" w:rsidRDefault="0058777F" w:rsidP="007E28DB">
            <w:pPr>
              <w:overflowPunct w:val="0"/>
              <w:autoSpaceDE w:val="0"/>
              <w:autoSpaceDN w:val="0"/>
              <w:adjustRightInd w:val="0"/>
              <w:ind w:left="1418" w:hanging="284"/>
              <w:textAlignment w:val="baseline"/>
              <w:rPr>
                <w:lang w:val="en-GB" w:eastAsia="ja-JP"/>
              </w:rPr>
            </w:pPr>
            <w:r w:rsidRPr="00E32003">
              <w:rPr>
                <w:lang w:val="en-GB" w:eastAsia="ja-JP"/>
              </w:rPr>
              <w:t>4&gt;</w:t>
            </w:r>
            <w:r w:rsidRPr="00E32003">
              <w:rPr>
                <w:lang w:val="en-GB" w:eastAsia="ja-JP"/>
              </w:rPr>
              <w:tab/>
              <w:t>apply a supported uplink channel bandwidth with a maximum transmission bandwidth which</w:t>
            </w:r>
          </w:p>
          <w:p w14:paraId="4FDD5628" w14:textId="77777777" w:rsidR="0058777F" w:rsidRPr="00E32003" w:rsidRDefault="0058777F" w:rsidP="007E28DB">
            <w:pPr>
              <w:overflowPunct w:val="0"/>
              <w:autoSpaceDE w:val="0"/>
              <w:autoSpaceDN w:val="0"/>
              <w:adjustRightInd w:val="0"/>
              <w:ind w:left="1702" w:hanging="284"/>
              <w:textAlignment w:val="baseline"/>
              <w:rPr>
                <w:lang w:val="en-GB" w:eastAsia="ja-JP"/>
              </w:rPr>
            </w:pPr>
            <w:r w:rsidRPr="00E32003">
              <w:rPr>
                <w:lang w:val="en-GB" w:eastAsia="ja-JP"/>
              </w:rPr>
              <w:t>-</w:t>
            </w:r>
            <w:r w:rsidRPr="00E32003">
              <w:rPr>
                <w:lang w:val="en-GB" w:eastAsia="ja-JP"/>
              </w:rPr>
              <w:tab/>
              <w:t xml:space="preserve">is contained within the </w:t>
            </w:r>
            <w:r w:rsidRPr="00E32003">
              <w:rPr>
                <w:i/>
                <w:lang w:val="en-GB" w:eastAsia="ja-JP"/>
              </w:rPr>
              <w:t>carrierBandwidth</w:t>
            </w:r>
            <w:r w:rsidRPr="00E32003">
              <w:rPr>
                <w:lang w:val="en-GB" w:eastAsia="ja-JP"/>
              </w:rPr>
              <w:t xml:space="preserve"> indicated in </w:t>
            </w:r>
            <w:r w:rsidRPr="00E32003">
              <w:rPr>
                <w:i/>
                <w:lang w:val="en-GB" w:eastAsia="ja-JP"/>
              </w:rPr>
              <w:t>uplinkConfigCommon</w:t>
            </w:r>
            <w:r w:rsidRPr="00E32003">
              <w:rPr>
                <w:lang w:val="en-GB" w:eastAsia="ja-JP"/>
              </w:rPr>
              <w:t xml:space="preserve"> for the SCS of the initial uplink BWP or, for RedCap UEs, RedCap-specific initial uplink BWP, if configured, and which</w:t>
            </w:r>
          </w:p>
          <w:p w14:paraId="793F0CA0" w14:textId="77777777" w:rsidR="0058777F" w:rsidRPr="00E32003" w:rsidRDefault="0058777F" w:rsidP="007E28DB">
            <w:pPr>
              <w:overflowPunct w:val="0"/>
              <w:autoSpaceDE w:val="0"/>
              <w:autoSpaceDN w:val="0"/>
              <w:adjustRightInd w:val="0"/>
              <w:ind w:left="1702" w:hanging="284"/>
              <w:textAlignment w:val="baseline"/>
              <w:rPr>
                <w:lang w:val="en-GB" w:eastAsia="ja-JP"/>
              </w:rPr>
            </w:pPr>
            <w:r w:rsidRPr="00E32003">
              <w:rPr>
                <w:lang w:val="en-GB" w:eastAsia="ja-JP"/>
              </w:rPr>
              <w:t>-</w:t>
            </w:r>
            <w:r w:rsidRPr="00E32003">
              <w:rPr>
                <w:lang w:val="en-GB" w:eastAsia="ja-JP"/>
              </w:rPr>
              <w:tab/>
              <w:t>is wider than or equal to the bandwidth of the initial BWP for the uplink or, for a RedCap UE, of the RedCap-specific initial uplink BWP if configured;</w:t>
            </w:r>
          </w:p>
          <w:p w14:paraId="02D45D00" w14:textId="77777777" w:rsidR="0058777F" w:rsidRPr="00E32003" w:rsidRDefault="0058777F" w:rsidP="007E28DB">
            <w:pPr>
              <w:overflowPunct w:val="0"/>
              <w:autoSpaceDE w:val="0"/>
              <w:autoSpaceDN w:val="0"/>
              <w:adjustRightInd w:val="0"/>
              <w:ind w:left="1418" w:hanging="284"/>
              <w:textAlignment w:val="baseline"/>
              <w:rPr>
                <w:lang w:val="en-GB" w:eastAsia="ja-JP"/>
              </w:rPr>
            </w:pPr>
            <w:r w:rsidRPr="00E32003">
              <w:rPr>
                <w:lang w:val="en-GB" w:eastAsia="ja-JP"/>
              </w:rPr>
              <w:t>4&gt;</w:t>
            </w:r>
            <w:r w:rsidRPr="00E32003">
              <w:rPr>
                <w:lang w:val="en-GB" w:eastAsia="ja-JP"/>
              </w:rPr>
              <w:tab/>
              <w:t>apply a supported downlink channel bandwidth with a maximum transmission bandwidth which</w:t>
            </w:r>
          </w:p>
          <w:p w14:paraId="28007AAE" w14:textId="77777777" w:rsidR="0058777F" w:rsidRPr="00E32003" w:rsidRDefault="0058777F" w:rsidP="007E28DB">
            <w:pPr>
              <w:overflowPunct w:val="0"/>
              <w:autoSpaceDE w:val="0"/>
              <w:autoSpaceDN w:val="0"/>
              <w:adjustRightInd w:val="0"/>
              <w:ind w:left="1702" w:hanging="284"/>
              <w:textAlignment w:val="baseline"/>
              <w:rPr>
                <w:lang w:val="en-GB" w:eastAsia="ja-JP"/>
              </w:rPr>
            </w:pPr>
            <w:r w:rsidRPr="00E32003">
              <w:rPr>
                <w:lang w:val="en-GB" w:eastAsia="ja-JP"/>
              </w:rPr>
              <w:t xml:space="preserve">- is contained within the </w:t>
            </w:r>
            <w:r w:rsidRPr="00E32003">
              <w:rPr>
                <w:i/>
                <w:lang w:val="en-GB" w:eastAsia="ja-JP"/>
              </w:rPr>
              <w:t>carrierBandwidth</w:t>
            </w:r>
            <w:r w:rsidRPr="00E32003">
              <w:rPr>
                <w:lang w:val="en-GB" w:eastAsia="ja-JP"/>
              </w:rPr>
              <w:t xml:space="preserve"> indicated in </w:t>
            </w:r>
            <w:r w:rsidRPr="00E32003">
              <w:rPr>
                <w:i/>
                <w:lang w:val="en-GB" w:eastAsia="ja-JP"/>
              </w:rPr>
              <w:t>downlinkConfigCommon</w:t>
            </w:r>
            <w:r w:rsidRPr="00E32003">
              <w:rPr>
                <w:lang w:val="en-GB" w:eastAsia="ja-JP"/>
              </w:rPr>
              <w:t xml:space="preserve"> for the SCS of the initial downlink BWP or, for RedCap UEs, RedCap-specific initial downlink BWP, if configured, and which</w:t>
            </w:r>
          </w:p>
          <w:p w14:paraId="356F2919" w14:textId="77777777" w:rsidR="0058777F" w:rsidRPr="00E32003" w:rsidRDefault="0058777F" w:rsidP="007E28DB">
            <w:pPr>
              <w:overflowPunct w:val="0"/>
              <w:autoSpaceDE w:val="0"/>
              <w:autoSpaceDN w:val="0"/>
              <w:adjustRightInd w:val="0"/>
              <w:ind w:left="1702" w:hanging="284"/>
              <w:textAlignment w:val="baseline"/>
              <w:rPr>
                <w:lang w:val="en-GB" w:eastAsia="ja-JP"/>
              </w:rPr>
            </w:pPr>
            <w:r w:rsidRPr="00E32003">
              <w:rPr>
                <w:lang w:val="en-GB" w:eastAsia="ja-JP"/>
              </w:rPr>
              <w:t>- is wider than or equal to the bandwidth of the initial BWP for the downlink or, for a RedCap UE, of the RedCap-specific initial downlink BWP if configured;</w:t>
            </w:r>
          </w:p>
          <w:p w14:paraId="0488844B" w14:textId="77777777" w:rsidR="0058777F" w:rsidRPr="00E32003" w:rsidRDefault="0058777F" w:rsidP="007E28DB">
            <w:pPr>
              <w:overflowPunct w:val="0"/>
              <w:autoSpaceDE w:val="0"/>
              <w:autoSpaceDN w:val="0"/>
              <w:adjustRightInd w:val="0"/>
              <w:ind w:left="1418" w:hanging="284"/>
              <w:textAlignment w:val="baseline"/>
              <w:rPr>
                <w:lang w:val="en-GB" w:eastAsia="ja-JP"/>
              </w:rPr>
            </w:pPr>
            <w:r w:rsidRPr="00E32003">
              <w:rPr>
                <w:highlight w:val="green"/>
                <w:lang w:val="en-GB" w:eastAsia="ja-JP"/>
              </w:rPr>
              <w:t>4&gt;</w:t>
            </w:r>
            <w:r w:rsidRPr="00E32003">
              <w:rPr>
                <w:highlight w:val="green"/>
                <w:lang w:val="en-GB" w:eastAsia="ja-JP"/>
              </w:rPr>
              <w:tab/>
              <w:t xml:space="preserve">select the first frequency band in the </w:t>
            </w:r>
            <w:r w:rsidRPr="00E32003">
              <w:rPr>
                <w:i/>
                <w:highlight w:val="green"/>
                <w:lang w:val="en-GB" w:eastAsia="ja-JP"/>
              </w:rPr>
              <w:t>frequencyBandList</w:t>
            </w:r>
            <w:r w:rsidRPr="00E32003">
              <w:rPr>
                <w:highlight w:val="green"/>
                <w:lang w:val="en-GB" w:eastAsia="ja-JP"/>
              </w:rPr>
              <w:t xml:space="preserve">, for FDD from </w:t>
            </w:r>
            <w:r w:rsidRPr="00E32003">
              <w:rPr>
                <w:i/>
                <w:iCs/>
                <w:highlight w:val="green"/>
                <w:lang w:val="en-GB" w:eastAsia="ja-JP"/>
              </w:rPr>
              <w:t>frequencyBandList</w:t>
            </w:r>
            <w:r w:rsidRPr="00E32003">
              <w:rPr>
                <w:highlight w:val="green"/>
                <w:lang w:val="en-GB" w:eastAsia="ja-JP"/>
              </w:rPr>
              <w:t xml:space="preserve"> for uplink, or for TDD from </w:t>
            </w:r>
            <w:r w:rsidRPr="00E32003">
              <w:rPr>
                <w:i/>
                <w:iCs/>
                <w:highlight w:val="green"/>
                <w:lang w:val="en-GB" w:eastAsia="ja-JP"/>
              </w:rPr>
              <w:t xml:space="preserve">frequencyBandList </w:t>
            </w:r>
            <w:r w:rsidRPr="00E32003">
              <w:rPr>
                <w:highlight w:val="green"/>
                <w:lang w:val="en-GB" w:eastAsia="ja-JP"/>
              </w:rPr>
              <w:t>for downlink,</w:t>
            </w:r>
            <w:r w:rsidRPr="00E32003">
              <w:rPr>
                <w:i/>
                <w:highlight w:val="green"/>
                <w:lang w:val="en-GB" w:eastAsia="ja-JP"/>
              </w:rPr>
              <w:t xml:space="preserve"> </w:t>
            </w:r>
            <w:r w:rsidRPr="00E32003">
              <w:rPr>
                <w:highlight w:val="green"/>
                <w:lang w:val="en-GB" w:eastAsia="ja-JP"/>
              </w:rPr>
              <w:t xml:space="preserve">which the UE supports and for which the UE supports at least one of the </w:t>
            </w:r>
            <w:r w:rsidRPr="00E32003">
              <w:rPr>
                <w:i/>
                <w:highlight w:val="green"/>
                <w:lang w:val="en-GB" w:eastAsia="ja-JP"/>
              </w:rPr>
              <w:t>additionalSpectrumEmission</w:t>
            </w:r>
            <w:r w:rsidRPr="00E32003">
              <w:rPr>
                <w:highlight w:val="green"/>
                <w:lang w:val="en-GB" w:eastAsia="ja-JP"/>
              </w:rPr>
              <w:t xml:space="preserve"> values in</w:t>
            </w:r>
            <w:r w:rsidRPr="00E32003">
              <w:rPr>
                <w:i/>
                <w:highlight w:val="green"/>
                <w:lang w:val="en-GB" w:eastAsia="ja-JP"/>
              </w:rPr>
              <w:t xml:space="preserve"> nr-NS-PmaxList</w:t>
            </w:r>
            <w:r w:rsidRPr="00E32003">
              <w:rPr>
                <w:highlight w:val="green"/>
                <w:lang w:val="en-GB" w:eastAsia="ja-JP"/>
              </w:rPr>
              <w:t>, if present;</w:t>
            </w:r>
          </w:p>
          <w:p w14:paraId="0447ED6B" w14:textId="77777777" w:rsidR="0058777F" w:rsidRPr="00E32003" w:rsidRDefault="0058777F" w:rsidP="007E28DB">
            <w:pPr>
              <w:spacing w:after="0"/>
              <w:jc w:val="both"/>
              <w:rPr>
                <w:rFonts w:ascii="Arial" w:hAnsi="Arial" w:cs="Arial"/>
                <w:color w:val="595959"/>
                <w:lang w:val="en-GB"/>
              </w:rPr>
            </w:pPr>
          </w:p>
        </w:tc>
      </w:tr>
    </w:tbl>
    <w:p w14:paraId="0112B273" w14:textId="77777777" w:rsidR="0058777F" w:rsidRPr="00E32003" w:rsidRDefault="0058777F" w:rsidP="0058777F">
      <w:pPr>
        <w:spacing w:after="0"/>
        <w:ind w:left="360"/>
        <w:jc w:val="both"/>
        <w:rPr>
          <w:rFonts w:ascii="Arial" w:hAnsi="Arial" w:cs="Arial"/>
          <w:color w:val="595959"/>
        </w:rPr>
      </w:pPr>
    </w:p>
    <w:p w14:paraId="3810D166" w14:textId="1E2038F8" w:rsidR="000463D6" w:rsidRPr="00E32003" w:rsidRDefault="000463D6" w:rsidP="000463D6">
      <w:r w:rsidRPr="00E32003">
        <w:t xml:space="preserve">Hence, no new UE implementation is required and legacy UEs can still camp on the cell if the network desires so. </w:t>
      </w:r>
    </w:p>
    <w:p w14:paraId="783DF4B1" w14:textId="29BAEFD4" w:rsidR="000463D6" w:rsidRPr="00E32003" w:rsidRDefault="000463D6" w:rsidP="000463D6">
      <w:r w:rsidRPr="00E32003">
        <w:rPr>
          <w:b/>
          <w:bCs/>
        </w:rPr>
        <w:t xml:space="preserve">Observation </w:t>
      </w:r>
      <w:r w:rsidR="00F03B2C" w:rsidRPr="00E32003">
        <w:rPr>
          <w:b/>
          <w:bCs/>
        </w:rPr>
        <w:t>5</w:t>
      </w:r>
      <w:r w:rsidRPr="00E32003">
        <w:rPr>
          <w:b/>
          <w:bCs/>
        </w:rPr>
        <w:t>:</w:t>
      </w:r>
      <w:r w:rsidRPr="00E32003">
        <w:t xml:space="preserve"> The </w:t>
      </w:r>
      <w:r w:rsidR="00F03B2C" w:rsidRPr="00E32003">
        <w:t xml:space="preserve">“inclusive” definition of sub-bands doesn’t require any additional UE implementation in terms of signalling specifications if the network ensures correct order for the broadcast information of supported frequency bands in a cell. </w:t>
      </w:r>
    </w:p>
    <w:p w14:paraId="175CEE1E" w14:textId="167C53AF" w:rsidR="009339CB" w:rsidRPr="00E32003" w:rsidRDefault="009339CB" w:rsidP="009339CB">
      <w:r w:rsidRPr="00E32003">
        <w:rPr>
          <w:b/>
        </w:rPr>
        <w:t>Proposal 1</w:t>
      </w:r>
      <w:r w:rsidRPr="00E32003">
        <w:rPr>
          <w:bCs/>
        </w:rPr>
        <w:t>:</w:t>
      </w:r>
      <w:r w:rsidRPr="00E32003">
        <w:t xml:space="preserve"> </w:t>
      </w:r>
      <w:r w:rsidR="00F03B2C" w:rsidRPr="00E32003">
        <w:t>Using new band numbering so that each new sub-band includes the previous sub-bands should be the default solution for resolving the regional sub-bands.</w:t>
      </w:r>
    </w:p>
    <w:p w14:paraId="69B7B8E6" w14:textId="69E07FC9" w:rsidR="009339CB" w:rsidRPr="00E32003" w:rsidRDefault="005A13AB" w:rsidP="009339CB">
      <w:pPr>
        <w:pStyle w:val="Heading1"/>
      </w:pPr>
      <w:r w:rsidRPr="00E32003">
        <w:t>3</w:t>
      </w:r>
      <w:r w:rsidR="009339CB" w:rsidRPr="00E32003">
        <w:tab/>
        <w:t>Conclusion</w:t>
      </w:r>
    </w:p>
    <w:p w14:paraId="6E24B0F4" w14:textId="6A6A93F4" w:rsidR="009339CB" w:rsidRPr="00E32003" w:rsidRDefault="009339CB" w:rsidP="009339CB">
      <w:r w:rsidRPr="00E32003">
        <w:t>This document has made the following observations:</w:t>
      </w:r>
    </w:p>
    <w:p w14:paraId="70CDFD04" w14:textId="77777777" w:rsidR="00F03B2C" w:rsidRPr="00E32003" w:rsidRDefault="00F03B2C" w:rsidP="00F03B2C">
      <w:r w:rsidRPr="00E32003">
        <w:rPr>
          <w:b/>
          <w:bCs/>
        </w:rPr>
        <w:lastRenderedPageBreak/>
        <w:t>Observation 1:</w:t>
      </w:r>
      <w:r w:rsidRPr="00E32003">
        <w:t xml:space="preserve"> The solution for the band n77 required lot of additional time to specify capability signalling, including substantial amount of work in RAN2/RAN4.</w:t>
      </w:r>
    </w:p>
    <w:p w14:paraId="2970747F" w14:textId="77777777" w:rsidR="00F03B2C" w:rsidRPr="00E32003" w:rsidRDefault="00F03B2C" w:rsidP="00F03B2C">
      <w:r w:rsidRPr="00E32003">
        <w:rPr>
          <w:b/>
          <w:bCs/>
        </w:rPr>
        <w:t>Observation 2:</w:t>
      </w:r>
      <w:r w:rsidRPr="00E32003">
        <w:t xml:space="preserve"> New band numbering solution works without additional UE capabilities and the new band numbers automatically follow the existing “parent” band RF requirements.</w:t>
      </w:r>
    </w:p>
    <w:p w14:paraId="5A31F14B" w14:textId="77777777" w:rsidR="00F03B2C" w:rsidRPr="00E32003" w:rsidRDefault="00F03B2C" w:rsidP="00F03B2C">
      <w:r w:rsidRPr="00E32003">
        <w:rPr>
          <w:b/>
          <w:bCs/>
        </w:rPr>
        <w:t>Observation 3:</w:t>
      </w:r>
      <w:r w:rsidRPr="00E32003">
        <w:t xml:space="preserve"> Using new band numbering solution so that each sub-band only contains its own allocation may have some issues.</w:t>
      </w:r>
    </w:p>
    <w:p w14:paraId="0920A658" w14:textId="77777777" w:rsidR="00F03B2C" w:rsidRPr="00E32003" w:rsidRDefault="00F03B2C" w:rsidP="00F03B2C">
      <w:r w:rsidRPr="00E32003">
        <w:rPr>
          <w:b/>
          <w:bCs/>
        </w:rPr>
        <w:t>Observation 4:</w:t>
      </w:r>
      <w:r w:rsidRPr="00E32003">
        <w:t xml:space="preserve"> Having the latest sub-band to always include all the previous sub-bands resolves RAN4 specification ambiguities for intra-band CA cases.</w:t>
      </w:r>
    </w:p>
    <w:p w14:paraId="449A3185" w14:textId="77777777" w:rsidR="00F03B2C" w:rsidRPr="00E32003" w:rsidRDefault="00F03B2C" w:rsidP="00F03B2C">
      <w:r w:rsidRPr="00E32003">
        <w:rPr>
          <w:b/>
          <w:bCs/>
        </w:rPr>
        <w:t>Observation 5:</w:t>
      </w:r>
      <w:r w:rsidRPr="00E32003">
        <w:t xml:space="preserve"> The “inclusive” definition of sub-bands doesn’t require any additional UE implementation in terms of signalling specifications if the network ensures correct order for the broadcast information of supported frequency bands in a cell. </w:t>
      </w:r>
    </w:p>
    <w:p w14:paraId="780574CF" w14:textId="77777777" w:rsidR="00F03B2C" w:rsidRPr="00E32003" w:rsidRDefault="00F03B2C" w:rsidP="00F03B2C">
      <w:r w:rsidRPr="00E32003">
        <w:rPr>
          <w:b/>
          <w:bCs/>
        </w:rPr>
        <w:t>Observation 5:</w:t>
      </w:r>
      <w:r w:rsidRPr="00E32003">
        <w:t xml:space="preserve"> The “inclusive” definition of sub-bands doesn’t require any additional UE implementation in terms of signalling specifications if the network ensures correct order for the broadcast information of supported frequency bands in a cell. </w:t>
      </w:r>
    </w:p>
    <w:p w14:paraId="3BE72BE2" w14:textId="77777777" w:rsidR="009339CB" w:rsidRPr="00E32003" w:rsidRDefault="009339CB" w:rsidP="009339CB">
      <w:pPr>
        <w:rPr>
          <w:bCs/>
        </w:rPr>
      </w:pPr>
      <w:r w:rsidRPr="00E32003">
        <w:rPr>
          <w:bCs/>
        </w:rPr>
        <w:t>And proposed the following:</w:t>
      </w:r>
    </w:p>
    <w:p w14:paraId="6A405F50" w14:textId="44AD4615" w:rsidR="00F03B2C" w:rsidRDefault="00F03B2C" w:rsidP="00F03B2C">
      <w:r w:rsidRPr="00E32003">
        <w:rPr>
          <w:b/>
        </w:rPr>
        <w:t>Proposal 1</w:t>
      </w:r>
      <w:r w:rsidRPr="00E32003">
        <w:rPr>
          <w:bCs/>
        </w:rPr>
        <w:t>:</w:t>
      </w:r>
      <w:r w:rsidRPr="00E32003">
        <w:t xml:space="preserve"> Using new band numbering so that each new sub-band includes the previous sub-bands should be the default solution for resolving the regional sub-bands.</w:t>
      </w:r>
    </w:p>
    <w:p w14:paraId="46665F9B" w14:textId="77777777" w:rsidR="00E32003" w:rsidRPr="00E32003" w:rsidRDefault="00E32003" w:rsidP="00F03B2C"/>
    <w:sectPr w:rsidR="00E32003" w:rsidRPr="00E320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DB09B" w14:textId="77777777" w:rsidR="00D63822" w:rsidRDefault="00D63822">
      <w:r>
        <w:separator/>
      </w:r>
    </w:p>
  </w:endnote>
  <w:endnote w:type="continuationSeparator" w:id="0">
    <w:p w14:paraId="7C31F23E" w14:textId="77777777" w:rsidR="00D63822" w:rsidRDefault="00D63822">
      <w:r>
        <w:continuationSeparator/>
      </w:r>
    </w:p>
  </w:endnote>
  <w:endnote w:type="continuationNotice" w:id="1">
    <w:p w14:paraId="336C0651" w14:textId="77777777" w:rsidR="00D63822" w:rsidRDefault="00D63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09181" w14:textId="77777777" w:rsidR="00D63822" w:rsidRDefault="00D63822">
      <w:r>
        <w:separator/>
      </w:r>
    </w:p>
  </w:footnote>
  <w:footnote w:type="continuationSeparator" w:id="0">
    <w:p w14:paraId="375300EB" w14:textId="77777777" w:rsidR="00D63822" w:rsidRDefault="00D63822">
      <w:r>
        <w:continuationSeparator/>
      </w:r>
    </w:p>
  </w:footnote>
  <w:footnote w:type="continuationNotice" w:id="1">
    <w:p w14:paraId="53678B5E" w14:textId="77777777" w:rsidR="00D63822" w:rsidRDefault="00D638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296681"/>
    <w:multiLevelType w:val="hybridMultilevel"/>
    <w:tmpl w:val="DF0C8F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2A20B6"/>
    <w:multiLevelType w:val="hybridMultilevel"/>
    <w:tmpl w:val="25185494"/>
    <w:lvl w:ilvl="0" w:tplc="57E46286">
      <w:start w:val="18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8658286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62530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228830">
    <w:abstractNumId w:val="1"/>
  </w:num>
  <w:num w:numId="4" w16cid:durableId="1109082536">
    <w:abstractNumId w:val="3"/>
  </w:num>
  <w:num w:numId="5" w16cid:durableId="1745372217">
    <w:abstractNumId w:val="2"/>
  </w:num>
  <w:num w:numId="6" w16cid:durableId="1913543808">
    <w:abstractNumId w:val="6"/>
  </w:num>
  <w:num w:numId="7" w16cid:durableId="488785787">
    <w:abstractNumId w:val="7"/>
  </w:num>
  <w:num w:numId="8" w16cid:durableId="17826258">
    <w:abstractNumId w:val="5"/>
  </w:num>
  <w:num w:numId="9" w16cid:durableId="18510932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63D6"/>
    <w:rsid w:val="00065268"/>
    <w:rsid w:val="00073C9C"/>
    <w:rsid w:val="00076412"/>
    <w:rsid w:val="00080512"/>
    <w:rsid w:val="00090468"/>
    <w:rsid w:val="00094568"/>
    <w:rsid w:val="000B7BCF"/>
    <w:rsid w:val="000C522B"/>
    <w:rsid w:val="000D58AB"/>
    <w:rsid w:val="00112F1A"/>
    <w:rsid w:val="00112F31"/>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37F0"/>
    <w:rsid w:val="00256B74"/>
    <w:rsid w:val="002610D8"/>
    <w:rsid w:val="002747EC"/>
    <w:rsid w:val="00282278"/>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8777F"/>
    <w:rsid w:val="005A13AB"/>
    <w:rsid w:val="005A49C6"/>
    <w:rsid w:val="005C766E"/>
    <w:rsid w:val="005C7CD5"/>
    <w:rsid w:val="005D32B5"/>
    <w:rsid w:val="00607832"/>
    <w:rsid w:val="00611566"/>
    <w:rsid w:val="0062125E"/>
    <w:rsid w:val="00646D99"/>
    <w:rsid w:val="00656910"/>
    <w:rsid w:val="006574C0"/>
    <w:rsid w:val="00696821"/>
    <w:rsid w:val="006C66D8"/>
    <w:rsid w:val="006D1E24"/>
    <w:rsid w:val="006D35DE"/>
    <w:rsid w:val="006E1057"/>
    <w:rsid w:val="006E1417"/>
    <w:rsid w:val="006E142F"/>
    <w:rsid w:val="006F4C40"/>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3B90"/>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3822"/>
    <w:rsid w:val="00D67CD1"/>
    <w:rsid w:val="00D72D77"/>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32003"/>
    <w:rsid w:val="00E46C08"/>
    <w:rsid w:val="00E471CF"/>
    <w:rsid w:val="00E62835"/>
    <w:rsid w:val="00E77645"/>
    <w:rsid w:val="00E83697"/>
    <w:rsid w:val="00E859B6"/>
    <w:rsid w:val="00EA66C9"/>
    <w:rsid w:val="00EB2FB5"/>
    <w:rsid w:val="00EB5D32"/>
    <w:rsid w:val="00EC4A25"/>
    <w:rsid w:val="00ED35B1"/>
    <w:rsid w:val="00EF612C"/>
    <w:rsid w:val="00F025A2"/>
    <w:rsid w:val="00F036E9"/>
    <w:rsid w:val="00F03B2C"/>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EB2F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2FB5"/>
    <w:pPr>
      <w:spacing w:after="0"/>
      <w:ind w:left="720"/>
      <w:contextualSpacing/>
    </w:pPr>
    <w:rPr>
      <w:rFonts w:ascii="Arial" w:hAnsi="Arial"/>
      <w:sz w:val="22"/>
      <w:lang w:val="en-US"/>
    </w:rPr>
  </w:style>
  <w:style w:type="paragraph" w:styleId="Caption">
    <w:name w:val="caption"/>
    <w:basedOn w:val="Normal"/>
    <w:next w:val="Normal"/>
    <w:unhideWhenUsed/>
    <w:qFormat/>
    <w:rsid w:val="000463D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2844312">
      <w:bodyDiv w:val="1"/>
      <w:marLeft w:val="0"/>
      <w:marRight w:val="0"/>
      <w:marTop w:val="0"/>
      <w:marBottom w:val="0"/>
      <w:divBdr>
        <w:top w:val="none" w:sz="0" w:space="0" w:color="auto"/>
        <w:left w:val="none" w:sz="0" w:space="0" w:color="auto"/>
        <w:bottom w:val="none" w:sz="0" w:space="0" w:color="auto"/>
        <w:right w:val="none" w:sz="0" w:space="0" w:color="auto"/>
      </w:divBdr>
      <w:divsChild>
        <w:div w:id="714933681">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5AIRPNAIUNRU-859666464-13185</_dlc_DocId>
    <_dlc_DocIdUrl xmlns="71c5aaf6-e6ce-465b-b873-5148d2a4c105">
      <Url>https://nokia.sharepoint.com/sites/c5g/e2earch/_layouts/15/DocIdRedir.aspx?ID=5AIRPNAIUNRU-859666464-13185</Url>
      <Description>5AIRPNAIUNRU-859666464-13185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CC0AFD05-F59D-4D23-B000-907D51E72220}">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1997</Words>
  <Characters>11385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13356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3</cp:revision>
  <dcterms:created xsi:type="dcterms:W3CDTF">2023-03-13T18:25:00Z</dcterms:created>
  <dcterms:modified xsi:type="dcterms:W3CDTF">2023-03-13T18:31:00Z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c15b7711-dbe0-4889-a11b-5d6652ad2c40</vt:lpwstr>
  </property>
</Properties>
</file>