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</w:rPr>
      </w:pPr>
      <w:bookmarkStart w:id="0" w:name="_Toc12569230"/>
      <w:bookmarkStart w:id="1" w:name="_Toc52796533"/>
      <w:bookmarkStart w:id="2" w:name="_Toc29239874"/>
      <w:bookmarkStart w:id="3" w:name="_Toc37296247"/>
      <w:bookmarkStart w:id="4" w:name="_Toc109217617"/>
      <w:bookmarkStart w:id="5" w:name="_Toc46490376"/>
      <w:bookmarkStart w:id="6" w:name="_Toc52752071"/>
      <w:r>
        <w:rPr>
          <w:b/>
          <w:sz w:val="24"/>
        </w:rPr>
        <w:t>3GPP TSG-RAN WG2 #119-e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2208860</w:t>
      </w:r>
    </w:p>
    <w:p>
      <w:pPr>
        <w:pStyle w:val="125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Online, August 17 - 26,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3397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Clarification of NULL security algorithm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ZTE, </w:t>
            </w:r>
            <w:r>
              <w:rPr>
                <w:rFonts w:hint="eastAsia" w:eastAsia="Malgun Gothic"/>
                <w:lang w:eastAsia="ko-KR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>, 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fldChar w:fldCharType="end"/>
            </w:r>
            <w: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 R2-2206975 (S3-221590), SA3 clarified the relation between selection of NULL security algorithm and the wording “protected/unprotected” as follow:</w:t>
            </w:r>
          </w:p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</w:p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i/>
                <w:lang w:eastAsia="ko-KR"/>
              </w:rPr>
              <w:t>“</w:t>
            </w:r>
            <w:r>
              <w:rPr>
                <w:rFonts w:cs="Arial"/>
                <w:i/>
                <w:highlight w:val="green"/>
              </w:rPr>
              <w:t>the selection of NULL algorithms means that the PC5 messages are considered protected</w:t>
            </w:r>
            <w:r>
              <w:rPr>
                <w:rFonts w:cs="Arial"/>
                <w:i/>
              </w:rPr>
              <w:t xml:space="preserve"> for the purposes of being allowed to be sent or received (even if in effect there is no protection of the messages)”</w:t>
            </w:r>
          </w:p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 a note “The selection of NULL security algorithms means that the PC5 messages are considered protected”. </w:t>
            </w:r>
          </w:p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</w:p>
          <w:p>
            <w:pPr>
              <w:pStyle w:val="125"/>
              <w:spacing w:after="0"/>
              <w:rPr>
                <w:rFonts w:eastAsia="Malgun Gothic"/>
                <w:u w:val="single"/>
                <w:lang w:eastAsia="ko-KR"/>
              </w:rPr>
            </w:pPr>
            <w:r>
              <w:rPr>
                <w:rFonts w:eastAsia="Malgun Gothic"/>
                <w:u w:val="single"/>
                <w:lang w:eastAsia="ko-KR"/>
              </w:rPr>
              <w:t>Impacted 5G architecture options:</w:t>
            </w:r>
          </w:p>
          <w:p>
            <w:pPr>
              <w:pStyle w:val="125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NR SA</w:t>
            </w:r>
          </w:p>
          <w:p>
            <w:pPr>
              <w:pStyle w:val="125"/>
              <w:spacing w:after="0"/>
              <w:rPr>
                <w:lang w:eastAsia="ko-KR"/>
              </w:rPr>
            </w:pPr>
            <w:r>
              <w:rPr>
                <w:u w:val="single"/>
                <w:lang w:eastAsia="ko-KR"/>
              </w:rPr>
              <w:t>Impacted functionality</w:t>
            </w:r>
            <w:r>
              <w:rPr>
                <w:lang w:eastAsia="ko-KR"/>
              </w:rPr>
              <w:t>:</w:t>
            </w:r>
          </w:p>
          <w:p>
            <w:pPr>
              <w:pStyle w:val="125"/>
              <w:spacing w:after="0"/>
            </w:pPr>
            <w:r>
              <w:t>Sidelink RRC</w:t>
            </w:r>
          </w:p>
          <w:p>
            <w:pPr>
              <w:pStyle w:val="125"/>
              <w:spacing w:after="0"/>
              <w:rPr>
                <w:rFonts w:eastAsia="Malgun Gothic"/>
                <w:highlight w:val="yellow"/>
                <w:lang w:eastAsia="ko-KR"/>
              </w:rPr>
            </w:pPr>
          </w:p>
          <w:p>
            <w:pPr>
              <w:pStyle w:val="125"/>
              <w:spacing w:after="0"/>
              <w:rPr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  <w:r>
              <w:rPr>
                <w:lang w:eastAsia="ko-KR"/>
              </w:rPr>
              <w:t xml:space="preserve">: </w:t>
            </w:r>
          </w:p>
          <w:p>
            <w:pPr>
              <w:pStyle w:val="125"/>
              <w:numPr>
                <w:ilvl w:val="0"/>
                <w:numId w:val="1"/>
              </w:numPr>
              <w:spacing w:after="0" w:line="240" w:lineRule="auto"/>
              <w:ind w:left="484" w:hanging="425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there are no interoperability issues.</w:t>
            </w:r>
          </w:p>
          <w:p>
            <w:pPr>
              <w:pStyle w:val="125"/>
              <w:numPr>
                <w:ilvl w:val="0"/>
                <w:numId w:val="1"/>
              </w:numPr>
              <w:spacing w:after="0" w:line="240" w:lineRule="auto"/>
              <w:ind w:left="484" w:hanging="425"/>
            </w:pPr>
            <w:r>
              <w:rPr>
                <w:lang w:eastAsia="ko-KR"/>
              </w:rPr>
              <w:t>If the UE is implemented according to the CR and the network is not, there are no interoperability issues.</w:t>
            </w:r>
          </w:p>
          <w:p>
            <w:pPr>
              <w:pStyle w:val="125"/>
              <w:numPr>
                <w:ilvl w:val="0"/>
                <w:numId w:val="1"/>
              </w:numPr>
              <w:spacing w:after="0" w:line="240" w:lineRule="auto"/>
              <w:ind w:left="484" w:hanging="425"/>
            </w:pPr>
            <w:r>
              <w:rPr>
                <w:lang w:eastAsia="zh-CN"/>
              </w:rPr>
              <w:t>If one UE is implemented according to this CR while the other UE is not, the pair of UEs may not be able to establish the PC5 link successfully.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 xml:space="preserve">When NULL security algorithms are selected, whether PC5 messages are considered as protected or unprotected remains unclear.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5.8.1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R2-2208284</w:t>
            </w:r>
          </w:p>
        </w:tc>
      </w:tr>
    </w:tbl>
    <w:p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bookmarkEnd w:id="0"/>
    <w:bookmarkEnd w:id="1"/>
    <w:bookmarkEnd w:id="2"/>
    <w:bookmarkEnd w:id="3"/>
    <w:bookmarkEnd w:id="4"/>
    <w:bookmarkEnd w:id="5"/>
    <w:bookmarkEnd w:id="6"/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5.8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Sidelink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60777004"/>
      <w:bookmarkStart w:id="8" w:name="_Toc100929839"/>
      <w:r>
        <w:rPr>
          <w:rFonts w:ascii="Arial" w:hAnsi="Arial"/>
          <w:sz w:val="28"/>
        </w:rPr>
        <w:t>5.8.1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General</w:t>
      </w:r>
      <w:bookmarkEnd w:id="7"/>
      <w:bookmarkEnd w:id="8"/>
    </w:p>
    <w:p>
      <w:r>
        <w:t>NR sidelink communication consists of unicast, groupcast and broadcast. For unicast, the PC5-RRC connection is a logical connection between a pair of a Source Layer-2 ID and a Destination Layer-2 ID in the AS. The PC5-RRC signalling, as specified in 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layers.</w:t>
      </w:r>
    </w:p>
    <w:p>
      <w:r>
        <w:t xml:space="preserve">For each PC5-RRC connection of unicast, one sidelink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protected. One sidelink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 O</w:t>
      </w:r>
      <w:r>
        <w:rPr>
          <w:lang w:eastAsia="ko-KR"/>
        </w:rPr>
        <w:t>ne sidelink SRB</w:t>
      </w:r>
      <w:r>
        <w:t xml:space="preserve"> (i.e. </w:t>
      </w:r>
      <w:r>
        <w:rPr>
          <w:rFonts w:eastAsia="等线"/>
          <w:lang w:eastAsia="zh-CN"/>
        </w:rPr>
        <w:t>SL-SRB4</w:t>
      </w:r>
      <w:r>
        <w:t>)</w:t>
      </w:r>
      <w:r>
        <w:rPr>
          <w:lang w:eastAsia="ko-KR"/>
        </w:rPr>
        <w:t xml:space="preserve"> is used to </w:t>
      </w:r>
      <w:r>
        <w:t>transmit/receive the NR sidelink discovery messages.</w:t>
      </w:r>
    </w:p>
    <w:p>
      <w:r>
        <w:t xml:space="preserve">For unicast of NR sidelink communication, AS security comprises of integrity protection </w:t>
      </w:r>
      <w:r>
        <w:rPr>
          <w:lang w:eastAsia="zh-CN"/>
        </w:rPr>
        <w:t xml:space="preserve">of PC5 signalling (SL-SRB1, SL-SRB2 and SL-SRB3) and user data (SL-DRBs), </w:t>
      </w:r>
      <w:r>
        <w:t xml:space="preserve">and </w:t>
      </w:r>
      <w:r>
        <w:rPr>
          <w:lang w:eastAsia="zh-CN"/>
        </w:rPr>
        <w:t>it further comprises</w:t>
      </w:r>
      <w:r>
        <w:t xml:space="preserve"> </w:t>
      </w:r>
      <w:r>
        <w:rPr>
          <w:lang w:eastAsia="zh-CN"/>
        </w:rPr>
        <w:t xml:space="preserve">of </w:t>
      </w:r>
      <w:r>
        <w:t xml:space="preserve">ciphering of PC5 signaling (SL-SRB1 </w:t>
      </w:r>
      <w:r>
        <w:rPr>
          <w:lang w:eastAsia="zh-CN"/>
        </w:rPr>
        <w:t xml:space="preserve">only for the </w:t>
      </w:r>
      <w:r>
        <w:rPr>
          <w:rFonts w:eastAsia="宋体"/>
          <w:lang w:eastAsia="zh-CN"/>
        </w:rPr>
        <w:t>Direct Link Security Mode Complete message</w:t>
      </w:r>
      <w:r>
        <w:rPr>
          <w:lang w:eastAsia="zh-CN"/>
        </w:rPr>
        <w:t xml:space="preserve"> as specified in TS 24.587 [57] for </w:t>
      </w:r>
      <w:r>
        <w:t>V2X service</w:t>
      </w:r>
      <w:r>
        <w:rPr>
          <w:lang w:eastAsia="zh-CN"/>
        </w:rPr>
        <w:t xml:space="preserve"> or TS 24.554 [72] for </w:t>
      </w:r>
      <w:r>
        <w:t>Proximity-services,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>
      <w:r>
        <w:t>For unicast of NR sidelink communication, if the change of the key is indicated by the upper layers as specified in TS 24.587 [57], UE re-establishes the PDCP entity of the SL-SRB1, SL-SRB2, SL-SRB3 and SL-DRBs on the corresponding PC5-RRC connection.</w:t>
      </w:r>
    </w:p>
    <w:p>
      <w:pPr>
        <w:keepLines/>
        <w:ind w:left="1135" w:hanging="851"/>
      </w:pPr>
      <w:r>
        <w:t>NOTE 1:</w:t>
      </w:r>
      <w:r>
        <w:tab/>
      </w:r>
      <w:r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RRCReconfiguration</w:t>
      </w:r>
      <w:r>
        <w:t xml:space="preserve"> used in clause 5.8 are provided by the configurations in </w:t>
      </w:r>
      <w:r>
        <w:rPr>
          <w:i/>
        </w:rPr>
        <w:t>SystemInformationBlockType28</w:t>
      </w:r>
      <w:r>
        <w:t xml:space="preserve"> and </w:t>
      </w:r>
      <w:r>
        <w:rPr>
          <w:i/>
        </w:rPr>
        <w:t>sl-ConfigDedicatedForNR</w:t>
      </w:r>
      <w:r>
        <w:t xml:space="preserve"> within </w:t>
      </w:r>
      <w:r>
        <w:rPr>
          <w:i/>
        </w:rPr>
        <w:t>RRCConnectionReconfiguration</w:t>
      </w:r>
      <w:r>
        <w:t xml:space="preserve"> as specified in TS 36.331 [10], respectively.</w:t>
      </w:r>
    </w:p>
    <w:p>
      <w:pPr>
        <w:keepLines/>
        <w:ind w:left="1135" w:hanging="851"/>
      </w:pPr>
      <w:r>
        <w:t>NOTE 2:</w:t>
      </w:r>
      <w:r>
        <w:tab/>
      </w:r>
      <w:r>
        <w:t>In this release, there is one-to-one correspondence between the PC5-RRC connection and the PC5 unicast link as specified in TS 38.300[2].</w:t>
      </w:r>
    </w:p>
    <w:p>
      <w:pPr>
        <w:keepLines/>
        <w:ind w:left="1135" w:hanging="851"/>
      </w:pPr>
      <w:r>
        <w:t>NOTE 3:</w:t>
      </w:r>
      <w:r>
        <w:tab/>
      </w:r>
      <w:r>
        <w:t>All SL-DRBs related to the same PC5-RRC connection have the same activation/deactivation setting for ciphering and the same activation/deactivation setting for integrity protection as specified in TS 33.536 [60].</w:t>
      </w:r>
    </w:p>
    <w:p>
      <w:pPr>
        <w:keepLines/>
        <w:ind w:left="1135" w:hanging="851"/>
        <w:rPr>
          <w:ins w:id="0" w:author="Kyeongin Jeong" w:date="2022-08-09T13:34:00Z"/>
          <w:rFonts w:eastAsia="Malgun Gothic"/>
          <w:lang w:eastAsia="ko-KR"/>
        </w:rPr>
      </w:pPr>
      <w:r>
        <w:rPr>
          <w:rFonts w:eastAsia="Malgun Gothic"/>
          <w:lang w:eastAsia="ko-KR"/>
        </w:rPr>
        <w:t>NOTE 4: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When integrity check failure concerning SL-SRB1 for a specific destination is detected, the UE sends an indication to the upper layers [57].</w:t>
      </w:r>
    </w:p>
    <w:p>
      <w:pPr>
        <w:keepLines/>
        <w:ind w:left="1135" w:hanging="851"/>
        <w:rPr>
          <w:ins w:id="1" w:author="ZTE" w:date="2022-08-20T11:43:56Z"/>
        </w:rPr>
      </w:pPr>
      <w:ins w:id="2" w:author="ZTE" w:date="2022-08-20T11:43:56Z">
        <w:r>
          <w:rPr>
            <w:rFonts w:hint="eastAsia" w:eastAsia="宋体"/>
            <w:lang w:val="en-US" w:eastAsia="zh-CN"/>
          </w:rPr>
          <w:t>NOTE 5: The selection of NULL algorithms means that the PC5 messages are considered protected for the purposes of being allowed to be sent or received.</w:t>
        </w:r>
      </w:ins>
    </w:p>
    <w:p>
      <w:pPr>
        <w:pStyle w:val="3"/>
        <w:rPr>
          <w:rFonts w:eastAsiaTheme="minorEastAsia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multilevel"/>
    <w:tmpl w:val="3DE24C2D"/>
    <w:lvl w:ilvl="0" w:tentative="0">
      <w:start w:val="1"/>
      <w:numFmt w:val="decimal"/>
      <w:lvlText w:val="%1."/>
      <w:lvlJc w:val="left"/>
      <w:pPr>
        <w:ind w:left="760" w:hanging="360"/>
      </w:p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eongin Jeong">
    <w15:presenceInfo w15:providerId="AD" w15:userId="S-1-5-21-1569490900-2152479555-3239727262-593506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982"/>
    <w:rsid w:val="000D090B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762"/>
    <w:rsid w:val="000F3B30"/>
    <w:rsid w:val="000F41E2"/>
    <w:rsid w:val="000F47E6"/>
    <w:rsid w:val="000F4969"/>
    <w:rsid w:val="000F52CF"/>
    <w:rsid w:val="000F5DF1"/>
    <w:rsid w:val="000F7971"/>
    <w:rsid w:val="001030DF"/>
    <w:rsid w:val="00103566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4DA0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27711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0F90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C2D"/>
    <w:rsid w:val="001A5C64"/>
    <w:rsid w:val="001A6C29"/>
    <w:rsid w:val="001A6DDC"/>
    <w:rsid w:val="001A6F66"/>
    <w:rsid w:val="001A7EA9"/>
    <w:rsid w:val="001B03BF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4020"/>
    <w:rsid w:val="001D440E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07FC"/>
    <w:rsid w:val="002021E0"/>
    <w:rsid w:val="00205615"/>
    <w:rsid w:val="00205F37"/>
    <w:rsid w:val="00206D75"/>
    <w:rsid w:val="00206E13"/>
    <w:rsid w:val="0020716A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3C4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36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AC2"/>
    <w:rsid w:val="00314CAE"/>
    <w:rsid w:val="00314EDA"/>
    <w:rsid w:val="00315062"/>
    <w:rsid w:val="00315B45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4E0D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705"/>
    <w:rsid w:val="003C0811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18DA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281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3677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76D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4B22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2A5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6D25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D1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A33"/>
    <w:rsid w:val="0060203E"/>
    <w:rsid w:val="006034F8"/>
    <w:rsid w:val="00603844"/>
    <w:rsid w:val="00603C85"/>
    <w:rsid w:val="006045C1"/>
    <w:rsid w:val="00604F28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800"/>
    <w:rsid w:val="00660961"/>
    <w:rsid w:val="00661C44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B7A59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F36"/>
    <w:rsid w:val="00723A8E"/>
    <w:rsid w:val="0072491E"/>
    <w:rsid w:val="0072590C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0DE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7B34"/>
    <w:rsid w:val="007E7C87"/>
    <w:rsid w:val="007E7DE5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474E"/>
    <w:rsid w:val="0089672A"/>
    <w:rsid w:val="00896A76"/>
    <w:rsid w:val="0089764A"/>
    <w:rsid w:val="008977AD"/>
    <w:rsid w:val="00897D41"/>
    <w:rsid w:val="008A08A5"/>
    <w:rsid w:val="008A14E0"/>
    <w:rsid w:val="008A1A94"/>
    <w:rsid w:val="008A1C19"/>
    <w:rsid w:val="008A4FA0"/>
    <w:rsid w:val="008A51EC"/>
    <w:rsid w:val="008A52FD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A85"/>
    <w:rsid w:val="008F2818"/>
    <w:rsid w:val="008F360C"/>
    <w:rsid w:val="008F46BF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6B1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500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48DE"/>
    <w:rsid w:val="009C551E"/>
    <w:rsid w:val="009C6396"/>
    <w:rsid w:val="009C675D"/>
    <w:rsid w:val="009C68A0"/>
    <w:rsid w:val="009C79E0"/>
    <w:rsid w:val="009D1531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7FEC"/>
    <w:rsid w:val="00AB0123"/>
    <w:rsid w:val="00AB1FBA"/>
    <w:rsid w:val="00AB29E6"/>
    <w:rsid w:val="00AB4F19"/>
    <w:rsid w:val="00AB6258"/>
    <w:rsid w:val="00AB678C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1D9B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0A8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1799"/>
    <w:rsid w:val="00BC273D"/>
    <w:rsid w:val="00BC37EE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098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2"/>
    <w:rsid w:val="00C32FBE"/>
    <w:rsid w:val="00C33079"/>
    <w:rsid w:val="00C338AB"/>
    <w:rsid w:val="00C33FFC"/>
    <w:rsid w:val="00C342AF"/>
    <w:rsid w:val="00C34539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0C65"/>
    <w:rsid w:val="00C5169B"/>
    <w:rsid w:val="00C51847"/>
    <w:rsid w:val="00C51F6C"/>
    <w:rsid w:val="00C5299F"/>
    <w:rsid w:val="00C53030"/>
    <w:rsid w:val="00C53117"/>
    <w:rsid w:val="00C53C15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2833"/>
    <w:rsid w:val="00C728AB"/>
    <w:rsid w:val="00C73BF9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4981"/>
    <w:rsid w:val="00CE63B5"/>
    <w:rsid w:val="00CF032B"/>
    <w:rsid w:val="00CF0F2A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0CC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08A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55EB"/>
    <w:rsid w:val="00D7580B"/>
    <w:rsid w:val="00D75D73"/>
    <w:rsid w:val="00D75E92"/>
    <w:rsid w:val="00D76775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59DD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4BAC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2B71"/>
    <w:rsid w:val="00E13585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986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5421"/>
    <w:rsid w:val="00ED6C7B"/>
    <w:rsid w:val="00ED6E81"/>
    <w:rsid w:val="00ED744C"/>
    <w:rsid w:val="00ED77A0"/>
    <w:rsid w:val="00EE11B0"/>
    <w:rsid w:val="00EE188A"/>
    <w:rsid w:val="00EE62D0"/>
    <w:rsid w:val="00EE72F4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36D4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9E6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108E"/>
    <w:rsid w:val="00FC1192"/>
    <w:rsid w:val="00FC14F8"/>
    <w:rsid w:val="00FC1E0A"/>
    <w:rsid w:val="00FC244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16D34A1"/>
    <w:rsid w:val="234839E1"/>
    <w:rsid w:val="23C53A0B"/>
    <w:rsid w:val="241641A3"/>
    <w:rsid w:val="2FB90F98"/>
    <w:rsid w:val="3C1F5B5D"/>
    <w:rsid w:val="4CDD05DF"/>
    <w:rsid w:val="605832DA"/>
    <w:rsid w:val="7B3D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6"/>
    <w:qFormat/>
    <w:uiPriority w:val="0"/>
    <w:pPr>
      <w:outlineLvl w:val="5"/>
    </w:pPr>
  </w:style>
  <w:style w:type="paragraph" w:styleId="9">
    <w:name w:val="heading 7"/>
    <w:basedOn w:val="8"/>
    <w:next w:val="1"/>
    <w:link w:val="107"/>
    <w:qFormat/>
    <w:uiPriority w:val="0"/>
    <w:pPr>
      <w:outlineLvl w:val="6"/>
    </w:pPr>
  </w:style>
  <w:style w:type="paragraph" w:styleId="10">
    <w:name w:val="heading 8"/>
    <w:basedOn w:val="2"/>
    <w:next w:val="1"/>
    <w:link w:val="10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9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  <w14:textFill>
        <w14:solidFill>
          <w14:schemeClr w14:val="tx2"/>
        </w14:solidFill>
      </w14:textFill>
    </w:rPr>
  </w:style>
  <w:style w:type="paragraph" w:styleId="29">
    <w:name w:val="annotation text"/>
    <w:basedOn w:val="1"/>
    <w:qFormat/>
    <w:uiPriority w:val="99"/>
    <w:pPr>
      <w:jc w:val="left"/>
    </w:p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7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111"/>
    <w:qFormat/>
    <w:uiPriority w:val="99"/>
    <w:pPr>
      <w:jc w:val="center"/>
    </w:pPr>
    <w:rPr>
      <w:i/>
    </w:rPr>
  </w:style>
  <w:style w:type="paragraph" w:styleId="34">
    <w:name w:val="header"/>
    <w:link w:val="11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Body Text 2"/>
    <w:basedOn w:val="1"/>
    <w:link w:val="122"/>
    <w:qFormat/>
    <w:uiPriority w:val="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 1"/>
    <w:basedOn w:val="42"/>
    <w:qFormat/>
    <w:uiPriority w:val="0"/>
    <w:pPr>
      <w:spacing w:after="180"/>
    </w:pPr>
    <w:rPr>
      <w:rFonts w:ascii="CG Times (WN)" w:hAnsi="CG Times (WN)" w:eastAsia="Batang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48">
    <w:name w:val="annotation reference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6">
    <w:name w:val="PL"/>
    <w:link w:val="11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87"/>
    <w:qFormat/>
    <w:uiPriority w:val="0"/>
    <w:rPr>
      <w:b/>
    </w:rPr>
  </w:style>
  <w:style w:type="paragraph" w:customStyle="1" w:styleId="60">
    <w:name w:val="TAC"/>
    <w:basedOn w:val="58"/>
    <w:link w:val="86"/>
    <w:qFormat/>
    <w:uiPriority w:val="0"/>
    <w:pPr>
      <w:jc w:val="center"/>
    </w:pPr>
  </w:style>
  <w:style w:type="paragraph" w:customStyle="1" w:styleId="6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62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1"/>
    <w:qFormat/>
    <w:uiPriority w:val="0"/>
  </w:style>
  <w:style w:type="paragraph" w:customStyle="1" w:styleId="67">
    <w:name w:val="Editor's Note"/>
    <w:basedOn w:val="55"/>
    <w:link w:val="84"/>
    <w:qFormat/>
    <w:uiPriority w:val="0"/>
    <w:rPr>
      <w:color w:val="FF0000"/>
    </w:rPr>
  </w:style>
  <w:style w:type="paragraph" w:customStyle="1" w:styleId="6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3">
    <w:name w:val="TAN"/>
    <w:basedOn w:val="5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5">
    <w:name w:val="TF"/>
    <w:basedOn w:val="68"/>
    <w:link w:val="9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7">
    <w:name w:val="B2"/>
    <w:basedOn w:val="13"/>
    <w:link w:val="92"/>
    <w:qFormat/>
    <w:uiPriority w:val="0"/>
  </w:style>
  <w:style w:type="paragraph" w:customStyle="1" w:styleId="78">
    <w:name w:val="B3"/>
    <w:basedOn w:val="12"/>
    <w:link w:val="94"/>
    <w:qFormat/>
    <w:uiPriority w:val="0"/>
  </w:style>
  <w:style w:type="paragraph" w:customStyle="1" w:styleId="79">
    <w:name w:val="B4"/>
    <w:basedOn w:val="37"/>
    <w:link w:val="96"/>
    <w:qFormat/>
    <w:uiPriority w:val="0"/>
  </w:style>
  <w:style w:type="paragraph" w:customStyle="1" w:styleId="80">
    <w:name w:val="B5"/>
    <w:basedOn w:val="36"/>
    <w:link w:val="85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character" w:customStyle="1" w:styleId="83">
    <w:name w:val="Heading 3 Char"/>
    <w:basedOn w:val="44"/>
    <w:link w:val="4"/>
    <w:qFormat/>
    <w:uiPriority w:val="0"/>
    <w:rPr>
      <w:rFonts w:ascii="Arial" w:hAnsi="Arial" w:eastAsia="Times New Roman"/>
      <w:sz w:val="28"/>
    </w:rPr>
  </w:style>
  <w:style w:type="character" w:customStyle="1" w:styleId="84">
    <w:name w:val="Editor's Note Char"/>
    <w:link w:val="67"/>
    <w:qFormat/>
    <w:locked/>
    <w:uiPriority w:val="0"/>
    <w:rPr>
      <w:rFonts w:eastAsia="Times New Roman"/>
      <w:color w:val="FF0000"/>
    </w:rPr>
  </w:style>
  <w:style w:type="character" w:customStyle="1" w:styleId="85">
    <w:name w:val="B5 Char"/>
    <w:link w:val="80"/>
    <w:qFormat/>
    <w:locked/>
    <w:uiPriority w:val="0"/>
    <w:rPr>
      <w:rFonts w:eastAsia="Times New Roman"/>
    </w:rPr>
  </w:style>
  <w:style w:type="character" w:customStyle="1" w:styleId="86">
    <w:name w:val="TAC Char"/>
    <w:link w:val="60"/>
    <w:qFormat/>
    <w:uiPriority w:val="0"/>
    <w:rPr>
      <w:rFonts w:ascii="Arial" w:hAnsi="Arial" w:eastAsia="Times New Roman"/>
      <w:sz w:val="18"/>
    </w:rPr>
  </w:style>
  <w:style w:type="character" w:customStyle="1" w:styleId="87">
    <w:name w:val="TAH Car"/>
    <w:link w:val="59"/>
    <w:qFormat/>
    <w:uiPriority w:val="0"/>
    <w:rPr>
      <w:rFonts w:ascii="Arial" w:hAnsi="Arial" w:eastAsia="Times New Roman"/>
      <w:b/>
      <w:sz w:val="18"/>
    </w:rPr>
  </w:style>
  <w:style w:type="character" w:customStyle="1" w:styleId="88">
    <w:name w:val="TH Char"/>
    <w:link w:val="68"/>
    <w:qFormat/>
    <w:uiPriority w:val="0"/>
    <w:rPr>
      <w:rFonts w:ascii="Arial" w:hAnsi="Arial" w:eastAsia="Times New Roman"/>
      <w:b/>
    </w:rPr>
  </w:style>
  <w:style w:type="character" w:customStyle="1" w:styleId="89">
    <w:name w:val="B6 Char"/>
    <w:link w:val="90"/>
    <w:qFormat/>
    <w:locked/>
    <w:uiPriority w:val="0"/>
    <w:rPr>
      <w:rFonts w:eastAsia="Times New Roman"/>
    </w:rPr>
  </w:style>
  <w:style w:type="paragraph" w:customStyle="1" w:styleId="90">
    <w:name w:val="B6"/>
    <w:basedOn w:val="80"/>
    <w:link w:val="89"/>
    <w:qFormat/>
    <w:uiPriority w:val="0"/>
    <w:pPr>
      <w:ind w:left="1985"/>
    </w:pPr>
  </w:style>
  <w:style w:type="character" w:customStyle="1" w:styleId="91">
    <w:name w:val="B1 Char"/>
    <w:link w:val="66"/>
    <w:qFormat/>
    <w:uiPriority w:val="0"/>
    <w:rPr>
      <w:rFonts w:eastAsia="Times New Roman"/>
    </w:rPr>
  </w:style>
  <w:style w:type="character" w:customStyle="1" w:styleId="92">
    <w:name w:val="B2 Char"/>
    <w:link w:val="77"/>
    <w:qFormat/>
    <w:uiPriority w:val="0"/>
    <w:rPr>
      <w:rFonts w:eastAsia="Times New Roman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94">
    <w:name w:val="B3 Char"/>
    <w:link w:val="78"/>
    <w:qFormat/>
    <w:uiPriority w:val="0"/>
    <w:rPr>
      <w:rFonts w:eastAsia="Times New Roman"/>
    </w:rPr>
  </w:style>
  <w:style w:type="character" w:customStyle="1" w:styleId="95">
    <w:name w:val="NO Char"/>
    <w:link w:val="55"/>
    <w:qFormat/>
    <w:uiPriority w:val="0"/>
    <w:rPr>
      <w:rFonts w:eastAsia="Times New Roman"/>
    </w:rPr>
  </w:style>
  <w:style w:type="character" w:customStyle="1" w:styleId="96">
    <w:name w:val="B4 Char"/>
    <w:link w:val="79"/>
    <w:qFormat/>
    <w:uiPriority w:val="0"/>
    <w:rPr>
      <w:rFonts w:eastAsia="Times New Roman"/>
    </w:rPr>
  </w:style>
  <w:style w:type="paragraph" w:customStyle="1" w:styleId="97">
    <w:name w:val="B7"/>
    <w:basedOn w:val="90"/>
    <w:link w:val="113"/>
    <w:qFormat/>
    <w:uiPriority w:val="0"/>
  </w:style>
  <w:style w:type="character" w:customStyle="1" w:styleId="98">
    <w:name w:val="TF Char"/>
    <w:link w:val="75"/>
    <w:qFormat/>
    <w:uiPriority w:val="0"/>
    <w:rPr>
      <w:rFonts w:ascii="Arial" w:hAnsi="Arial" w:eastAsia="Times New Roman"/>
      <w:b/>
    </w:rPr>
  </w:style>
  <w:style w:type="character" w:customStyle="1" w:styleId="99">
    <w:name w:val="TAL Car"/>
    <w:link w:val="58"/>
    <w:qFormat/>
    <w:uiPriority w:val="0"/>
    <w:rPr>
      <w:rFonts w:ascii="Arial" w:hAnsi="Arial" w:eastAsia="Times New Roman"/>
      <w:sz w:val="18"/>
    </w:rPr>
  </w:style>
  <w:style w:type="character" w:customStyle="1" w:styleId="100">
    <w:name w:val="Footnote Text Char"/>
    <w:basedOn w:val="44"/>
    <w:link w:val="35"/>
    <w:qFormat/>
    <w:uiPriority w:val="0"/>
    <w:rPr>
      <w:rFonts w:eastAsia="Times New Roman"/>
      <w:sz w:val="16"/>
    </w:rPr>
  </w:style>
  <w:style w:type="character" w:customStyle="1" w:styleId="101">
    <w:name w:val="Heading 2 Char"/>
    <w:basedOn w:val="44"/>
    <w:link w:val="3"/>
    <w:qFormat/>
    <w:uiPriority w:val="0"/>
    <w:rPr>
      <w:rFonts w:ascii="Arial" w:hAnsi="Arial" w:eastAsia="Times New Roman"/>
      <w:sz w:val="32"/>
    </w:rPr>
  </w:style>
  <w:style w:type="character" w:customStyle="1" w:styleId="102">
    <w:name w:val="Heading 4 Char"/>
    <w:basedOn w:val="44"/>
    <w:link w:val="5"/>
    <w:qFormat/>
    <w:uiPriority w:val="0"/>
    <w:rPr>
      <w:rFonts w:ascii="Arial" w:hAnsi="Arial" w:eastAsia="Times New Roman"/>
      <w:sz w:val="24"/>
    </w:rPr>
  </w:style>
  <w:style w:type="character" w:customStyle="1" w:styleId="103">
    <w:name w:val="EX Char"/>
    <w:link w:val="62"/>
    <w:qFormat/>
    <w:locked/>
    <w:uiPriority w:val="0"/>
    <w:rPr>
      <w:rFonts w:eastAsia="Times New Roman"/>
    </w:rPr>
  </w:style>
  <w:style w:type="character" w:customStyle="1" w:styleId="104">
    <w:name w:val="Heading 1 Char"/>
    <w:basedOn w:val="44"/>
    <w:link w:val="2"/>
    <w:qFormat/>
    <w:uiPriority w:val="0"/>
    <w:rPr>
      <w:rFonts w:ascii="Arial" w:hAnsi="Arial" w:eastAsia="Times New Roman"/>
      <w:sz w:val="36"/>
    </w:rPr>
  </w:style>
  <w:style w:type="character" w:customStyle="1" w:styleId="105">
    <w:name w:val="Heading 5 Char"/>
    <w:basedOn w:val="44"/>
    <w:link w:val="6"/>
    <w:qFormat/>
    <w:uiPriority w:val="0"/>
    <w:rPr>
      <w:rFonts w:ascii="Arial" w:hAnsi="Arial" w:eastAsia="Times New Roman"/>
      <w:sz w:val="22"/>
    </w:rPr>
  </w:style>
  <w:style w:type="character" w:customStyle="1" w:styleId="106">
    <w:name w:val="Heading 6 Char"/>
    <w:basedOn w:val="44"/>
    <w:link w:val="7"/>
    <w:qFormat/>
    <w:uiPriority w:val="0"/>
    <w:rPr>
      <w:rFonts w:ascii="Arial" w:hAnsi="Arial" w:eastAsia="Times New Roman"/>
    </w:rPr>
  </w:style>
  <w:style w:type="character" w:customStyle="1" w:styleId="107">
    <w:name w:val="Heading 7 Char"/>
    <w:basedOn w:val="44"/>
    <w:link w:val="9"/>
    <w:qFormat/>
    <w:uiPriority w:val="0"/>
    <w:rPr>
      <w:rFonts w:ascii="Arial" w:hAnsi="Arial" w:eastAsia="Times New Roman"/>
    </w:rPr>
  </w:style>
  <w:style w:type="character" w:customStyle="1" w:styleId="108">
    <w:name w:val="Heading 8 Char"/>
    <w:basedOn w:val="44"/>
    <w:link w:val="10"/>
    <w:qFormat/>
    <w:uiPriority w:val="0"/>
    <w:rPr>
      <w:rFonts w:ascii="Arial" w:hAnsi="Arial" w:eastAsia="Times New Roman"/>
      <w:sz w:val="36"/>
    </w:rPr>
  </w:style>
  <w:style w:type="character" w:customStyle="1" w:styleId="109">
    <w:name w:val="Heading 9 Char"/>
    <w:basedOn w:val="44"/>
    <w:link w:val="11"/>
    <w:qFormat/>
    <w:uiPriority w:val="0"/>
    <w:rPr>
      <w:rFonts w:ascii="Arial" w:hAnsi="Arial" w:eastAsia="Times New Roman"/>
      <w:sz w:val="36"/>
    </w:rPr>
  </w:style>
  <w:style w:type="character" w:customStyle="1" w:styleId="110">
    <w:name w:val="Header Char"/>
    <w:basedOn w:val="44"/>
    <w:link w:val="34"/>
    <w:qFormat/>
    <w:uiPriority w:val="0"/>
    <w:rPr>
      <w:rFonts w:ascii="Arial" w:hAnsi="Arial" w:eastAsia="Times New Roman"/>
      <w:b/>
      <w:sz w:val="18"/>
    </w:rPr>
  </w:style>
  <w:style w:type="character" w:customStyle="1" w:styleId="111">
    <w:name w:val="Footer Char"/>
    <w:basedOn w:val="44"/>
    <w:link w:val="33"/>
    <w:qFormat/>
    <w:uiPriority w:val="99"/>
    <w:rPr>
      <w:rFonts w:ascii="Arial" w:hAnsi="Arial" w:eastAsia="Times New Roman"/>
      <w:b/>
      <w:i/>
      <w:sz w:val="18"/>
    </w:rPr>
  </w:style>
  <w:style w:type="character" w:customStyle="1" w:styleId="112">
    <w:name w:val="PL Char"/>
    <w:link w:val="56"/>
    <w:qFormat/>
    <w:uiPriority w:val="0"/>
    <w:rPr>
      <w:rFonts w:ascii="Courier New" w:hAnsi="Courier New" w:eastAsia="Times New Roman"/>
      <w:sz w:val="16"/>
    </w:rPr>
  </w:style>
  <w:style w:type="character" w:customStyle="1" w:styleId="113">
    <w:name w:val="B7 Char"/>
    <w:basedOn w:val="89"/>
    <w:link w:val="97"/>
    <w:qFormat/>
    <w:uiPriority w:val="0"/>
    <w:rPr>
      <w:rFonts w:eastAsia="Times New Roman"/>
    </w:rPr>
  </w:style>
  <w:style w:type="paragraph" w:customStyle="1" w:styleId="114">
    <w:name w:val="B8"/>
    <w:basedOn w:val="97"/>
    <w:qFormat/>
    <w:uiPriority w:val="0"/>
    <w:pPr>
      <w:ind w:left="2552"/>
    </w:pPr>
  </w:style>
  <w:style w:type="paragraph" w:customStyle="1" w:styleId="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3 Char2"/>
    <w:qFormat/>
    <w:uiPriority w:val="0"/>
    <w:rPr>
      <w:rFonts w:eastAsia="Times New Roman"/>
      <w:lang w:eastAsia="ja-JP"/>
    </w:rPr>
  </w:style>
  <w:style w:type="character" w:customStyle="1" w:styleId="117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118">
    <w:name w:val="B1 Char1"/>
    <w:qFormat/>
    <w:uiPriority w:val="0"/>
    <w:rPr>
      <w:rFonts w:eastAsia="Times New Roman"/>
      <w:lang w:eastAsia="ja-JP"/>
    </w:rPr>
  </w:style>
  <w:style w:type="paragraph" w:customStyle="1" w:styleId="11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120">
    <w:name w:val="apple-converted-space"/>
    <w:basedOn w:val="44"/>
    <w:qFormat/>
    <w:uiPriority w:val="0"/>
  </w:style>
  <w:style w:type="character" w:customStyle="1" w:styleId="121">
    <w:name w:val="TAH Char"/>
    <w:qFormat/>
    <w:uiPriority w:val="0"/>
    <w:rPr>
      <w:rFonts w:ascii="Arial" w:hAnsi="Arial"/>
      <w:b/>
      <w:sz w:val="18"/>
      <w:lang w:val="en-GB"/>
    </w:rPr>
  </w:style>
  <w:style w:type="character" w:customStyle="1" w:styleId="122">
    <w:name w:val="Body Text 2 Char"/>
    <w:basedOn w:val="44"/>
    <w:link w:val="39"/>
    <w:qFormat/>
    <w:uiPriority w:val="0"/>
    <w:rPr>
      <w:rFonts w:eastAsia="MS Mincho"/>
      <w:sz w:val="24"/>
      <w:lang w:eastAsia="en-US"/>
    </w:rPr>
  </w:style>
  <w:style w:type="paragraph" w:customStyle="1" w:styleId="123">
    <w:name w:val="b3"/>
    <w:basedOn w:val="1"/>
    <w:qFormat/>
    <w:uiPriority w:val="0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124">
    <w:name w:val="CR Cover Page Zchn"/>
    <w:link w:val="125"/>
    <w:qFormat/>
    <w:locked/>
    <w:uiPriority w:val="0"/>
    <w:rPr>
      <w:rFonts w:ascii="Arial" w:hAnsi="Arial" w:eastAsia="Times New Roman"/>
      <w:lang w:eastAsia="en-US"/>
    </w:rPr>
  </w:style>
  <w:style w:type="paragraph" w:customStyle="1" w:styleId="125">
    <w:name w:val="CR Cover Page"/>
    <w:link w:val="124"/>
    <w:qFormat/>
    <w:uiPriority w:val="0"/>
    <w:pPr>
      <w:spacing w:after="120" w:line="259" w:lineRule="auto"/>
      <w:jc w:val="both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828D52-A340-4E9F-8368-E633B848975D}">
  <ds:schemaRefs/>
</ds:datastoreItem>
</file>

<file path=customXml/itemProps3.xml><?xml version="1.0" encoding="utf-8"?>
<ds:datastoreItem xmlns:ds="http://schemas.openxmlformats.org/officeDocument/2006/customXml" ds:itemID="{C55FCFF4-F8C8-4B02-8DF8-D3C7491760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928</Words>
  <Characters>5295</Characters>
  <Lines>44</Lines>
  <Paragraphs>12</Paragraphs>
  <TotalTime>0</TotalTime>
  <ScaleCrop>false</ScaleCrop>
  <LinksUpToDate>false</LinksUpToDate>
  <CharactersWithSpaces>6211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2022-08-09T18:29:00Z</dcterms:created>
  <dc:creator>MCC Support</dc:creator>
  <cp:lastModifiedBy>ZTE</cp:lastModifiedBy>
  <dcterms:modified xsi:type="dcterms:W3CDTF">2022-08-23T14:05:59Z</dcterms:modified>
  <dc:subject>NR; Medium Access Control (MAC) protocol specification (Release 17)</dc:subject>
  <dc:title>3GPP TS 38.321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