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941F6" w14:textId="68644035" w:rsidR="00AC4CD8" w:rsidRPr="005E7A3C" w:rsidRDefault="00E701F4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97-e</w:t>
      </w:r>
      <w:r w:rsidR="00EF1BD6">
        <w:rPr>
          <w:rFonts w:eastAsia="Times New Roman"/>
          <w:b/>
          <w:noProof/>
          <w:sz w:val="24"/>
        </w:rPr>
        <w:t xml:space="preserve"> </w:t>
      </w:r>
      <w:r w:rsidR="00EF1BD6">
        <w:rPr>
          <w:rFonts w:eastAsia="Times New Roman"/>
          <w:b/>
          <w:noProof/>
          <w:sz w:val="24"/>
        </w:rPr>
        <w:tab/>
      </w:r>
      <w:r w:rsidR="0017642C" w:rsidRPr="0017642C">
        <w:rPr>
          <w:rFonts w:cs="Arial"/>
          <w:b/>
          <w:sz w:val="24"/>
          <w:szCs w:val="24"/>
        </w:rPr>
        <w:t>RP-222511</w:t>
      </w:r>
    </w:p>
    <w:p w14:paraId="6186473D" w14:textId="77777777" w:rsidR="00E701F4" w:rsidRPr="00E701F4" w:rsidRDefault="00E701F4" w:rsidP="00E701F4">
      <w:pPr>
        <w:tabs>
          <w:tab w:val="left" w:pos="567"/>
        </w:tabs>
        <w:rPr>
          <w:rFonts w:ascii="Arial" w:hAnsi="Arial"/>
          <w:b/>
          <w:bCs/>
          <w:noProof/>
          <w:sz w:val="22"/>
          <w:lang w:val="en-US" w:eastAsia="zh-CN"/>
        </w:rPr>
      </w:pPr>
      <w:r w:rsidRPr="00E701F4">
        <w:rPr>
          <w:rFonts w:ascii="Arial" w:hAnsi="Arial"/>
          <w:b/>
          <w:bCs/>
          <w:noProof/>
          <w:sz w:val="22"/>
          <w:lang w:val="en-US" w:eastAsia="zh-CN"/>
        </w:rPr>
        <w:t>Electronic Meeting, September 12-16, 2022</w:t>
      </w:r>
    </w:p>
    <w:p w14:paraId="1B14B80A" w14:textId="77777777" w:rsidR="00E701F4" w:rsidRPr="00444A16" w:rsidRDefault="00E701F4" w:rsidP="001E18A9">
      <w:pPr>
        <w:pStyle w:val="a0"/>
        <w:rPr>
          <w:rFonts w:eastAsia="SimSun"/>
          <w:lang w:eastAsia="zh-CN"/>
        </w:rPr>
      </w:pP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61318DFC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701F4">
        <w:rPr>
          <w:rFonts w:ascii="Arial" w:hAnsi="Arial" w:cs="Arial"/>
          <w:color w:val="000000" w:themeColor="text1"/>
          <w:sz w:val="22"/>
        </w:rPr>
        <w:t xml:space="preserve">Huawei, </w:t>
      </w:r>
      <w:proofErr w:type="spellStart"/>
      <w:r w:rsidR="00E701F4">
        <w:rPr>
          <w:rFonts w:ascii="Arial" w:hAnsi="Arial" w:cs="Arial"/>
          <w:color w:val="000000" w:themeColor="text1"/>
          <w:sz w:val="22"/>
        </w:rPr>
        <w:t>HiSilicon</w:t>
      </w:r>
      <w:proofErr w:type="spellEnd"/>
      <w:r w:rsidR="00E701F4">
        <w:rPr>
          <w:rFonts w:ascii="Arial" w:hAnsi="Arial" w:cs="Arial"/>
          <w:color w:val="000000" w:themeColor="text1"/>
          <w:sz w:val="22"/>
        </w:rPr>
        <w:t xml:space="preserve">, </w:t>
      </w:r>
      <w:r w:rsidR="00AD15E2">
        <w:rPr>
          <w:rFonts w:ascii="Arial" w:hAnsi="Arial" w:cs="Arial"/>
          <w:color w:val="000000" w:themeColor="text1"/>
          <w:sz w:val="22"/>
        </w:rPr>
        <w:t>China Telecom,</w:t>
      </w:r>
      <w:r w:rsidR="00CF4E26">
        <w:rPr>
          <w:rFonts w:ascii="Arial" w:hAnsi="Arial" w:cs="Arial"/>
          <w:color w:val="000000" w:themeColor="text1"/>
          <w:sz w:val="22"/>
        </w:rPr>
        <w:t xml:space="preserve"> </w:t>
      </w:r>
      <w:r w:rsidR="00CF4E26" w:rsidRPr="00F57CAB">
        <w:rPr>
          <w:rFonts w:ascii="Arial" w:hAnsi="Arial" w:cs="Arial"/>
          <w:color w:val="000000" w:themeColor="text1"/>
          <w:sz w:val="22"/>
        </w:rPr>
        <w:t>Orange, Telecom Italia, Telefonica, Bouygues Telecom</w:t>
      </w:r>
      <w:r w:rsidR="000807BC">
        <w:rPr>
          <w:rFonts w:ascii="Arial" w:hAnsi="Arial" w:cs="Arial"/>
          <w:color w:val="000000" w:themeColor="text1"/>
          <w:sz w:val="22"/>
        </w:rPr>
        <w:t>,</w:t>
      </w:r>
      <w:r w:rsidR="00AD15E2" w:rsidRPr="00F57CAB">
        <w:rPr>
          <w:rFonts w:ascii="Arial" w:hAnsi="Arial" w:cs="Arial" w:hint="eastAsia"/>
          <w:color w:val="000000" w:themeColor="text1"/>
          <w:sz w:val="22"/>
          <w:lang w:eastAsia="zh-CN"/>
        </w:rPr>
        <w:t xml:space="preserve"> </w:t>
      </w:r>
      <w:r w:rsidR="00E701F4" w:rsidRPr="00F57CAB">
        <w:rPr>
          <w:rFonts w:ascii="Arial" w:hAnsi="Arial" w:cs="Arial"/>
          <w:color w:val="000000" w:themeColor="text1"/>
          <w:sz w:val="22"/>
        </w:rPr>
        <w:t>Deut</w:t>
      </w:r>
      <w:r w:rsidR="00CF4E26" w:rsidRPr="00F57CAB">
        <w:rPr>
          <w:rFonts w:ascii="Arial" w:hAnsi="Arial" w:cs="Arial"/>
          <w:color w:val="000000" w:themeColor="text1"/>
          <w:sz w:val="22"/>
        </w:rPr>
        <w:t xml:space="preserve">sche Telekom, </w:t>
      </w:r>
      <w:r w:rsidR="00E701F4" w:rsidRPr="00F57CAB">
        <w:rPr>
          <w:rFonts w:ascii="Arial" w:hAnsi="Arial" w:cs="Arial"/>
          <w:color w:val="000000" w:themeColor="text1"/>
          <w:sz w:val="22"/>
        </w:rPr>
        <w:t>Telenor</w:t>
      </w:r>
      <w:r w:rsidR="00F57CAB" w:rsidRPr="00F57CAB">
        <w:rPr>
          <w:rFonts w:ascii="Arial" w:hAnsi="Arial" w:cs="Arial"/>
          <w:color w:val="000000" w:themeColor="text1"/>
          <w:sz w:val="22"/>
        </w:rPr>
        <w:t>,</w:t>
      </w:r>
      <w:r w:rsidR="00CF4E26" w:rsidRPr="00F57CAB">
        <w:rPr>
          <w:rFonts w:ascii="Arial" w:hAnsi="Arial" w:cs="Arial"/>
          <w:color w:val="000000" w:themeColor="text1"/>
          <w:sz w:val="22"/>
        </w:rPr>
        <w:t xml:space="preserve"> C</w:t>
      </w:r>
      <w:r w:rsidR="00CF4E26" w:rsidRPr="00760E3D">
        <w:rPr>
          <w:rFonts w:ascii="Arial" w:hAnsi="Arial" w:cs="Arial"/>
          <w:color w:val="000000" w:themeColor="text1"/>
          <w:sz w:val="22"/>
        </w:rPr>
        <w:t>BN</w:t>
      </w:r>
      <w:r w:rsidR="003C7AA4">
        <w:rPr>
          <w:rFonts w:ascii="Arial" w:hAnsi="Arial" w:cs="Arial"/>
          <w:color w:val="000000" w:themeColor="text1"/>
          <w:sz w:val="22"/>
        </w:rPr>
        <w:t>, Vodafone</w:t>
      </w:r>
    </w:p>
    <w:p w14:paraId="6A8F1C13" w14:textId="3F8AA6AB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701F4">
        <w:rPr>
          <w:rFonts w:ascii="Arial" w:hAnsi="Arial" w:cs="Arial"/>
          <w:color w:val="000000" w:themeColor="text1"/>
          <w:sz w:val="22"/>
        </w:rPr>
        <w:t>4</w:t>
      </w:r>
      <w:r w:rsidR="007F3585">
        <w:rPr>
          <w:rFonts w:ascii="Arial" w:hAnsi="Arial" w:cs="Arial"/>
          <w:color w:val="000000" w:themeColor="text1"/>
          <w:sz w:val="22"/>
        </w:rPr>
        <w:t>Rx</w:t>
      </w:r>
      <w:r w:rsidR="00E701F4">
        <w:rPr>
          <w:rFonts w:ascii="Arial" w:hAnsi="Arial" w:cs="Arial"/>
          <w:color w:val="000000" w:themeColor="text1"/>
          <w:sz w:val="22"/>
        </w:rPr>
        <w:t xml:space="preserve"> support for band n104</w:t>
      </w:r>
    </w:p>
    <w:p w14:paraId="0F34F3E0" w14:textId="28735615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E701F4">
        <w:rPr>
          <w:rFonts w:ascii="Arial" w:hAnsi="Arial" w:cs="Arial"/>
          <w:sz w:val="22"/>
        </w:rPr>
        <w:t>9.6.1.1</w:t>
      </w:r>
    </w:p>
    <w:p w14:paraId="7D7C8C39" w14:textId="171CBF5D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701F4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Heading1"/>
        <w:numPr>
          <w:ilvl w:val="0"/>
          <w:numId w:val="2"/>
        </w:numPr>
      </w:pPr>
      <w:r w:rsidRPr="00B16EEF">
        <w:t>Introduction</w:t>
      </w:r>
    </w:p>
    <w:p w14:paraId="367FFB57" w14:textId="13C221D8" w:rsidR="00E701F4" w:rsidRDefault="00E701F4" w:rsidP="00E701F4">
      <w:pPr>
        <w:rPr>
          <w:lang w:eastAsia="zh-CN"/>
        </w:rPr>
      </w:pPr>
      <w:r>
        <w:rPr>
          <w:lang w:eastAsia="zh-CN"/>
        </w:rPr>
        <w:t>At last RAN plenary meeting RAN#96</w:t>
      </w:r>
      <w:r w:rsidR="00090A02">
        <w:rPr>
          <w:lang w:eastAsia="zh-CN"/>
        </w:rPr>
        <w:t>-e,</w:t>
      </w:r>
      <w:r w:rsidR="00A90A66">
        <w:rPr>
          <w:lang w:eastAsia="zh-CN"/>
        </w:rPr>
        <w:t xml:space="preserve"> the </w:t>
      </w:r>
      <w:r w:rsidR="00A90A66" w:rsidRPr="00A90A66">
        <w:rPr>
          <w:lang w:eastAsia="zh-CN"/>
        </w:rPr>
        <w:t>4</w:t>
      </w:r>
      <w:r w:rsidR="007F3585">
        <w:rPr>
          <w:lang w:eastAsia="zh-CN"/>
        </w:rPr>
        <w:t xml:space="preserve"> Rx</w:t>
      </w:r>
      <w:r w:rsidR="00A90A66" w:rsidRPr="00A90A66">
        <w:rPr>
          <w:lang w:eastAsia="zh-CN"/>
        </w:rPr>
        <w:t xml:space="preserve"> support for 6GHz band operation</w:t>
      </w:r>
      <w:r w:rsidR="00A90A66">
        <w:rPr>
          <w:lang w:eastAsia="zh-CN"/>
        </w:rPr>
        <w:t xml:space="preserve"> was discussed [1] and conclude that proposal 2 is endorsed and proposal 1 will be solved until RAN</w:t>
      </w:r>
      <w:r w:rsidR="00D15DCA">
        <w:rPr>
          <w:lang w:eastAsia="zh-CN"/>
        </w:rPr>
        <w:t xml:space="preserve">#97. </w:t>
      </w:r>
    </w:p>
    <w:p w14:paraId="2BBB9D67" w14:textId="1FBCAD24" w:rsidR="00D15DCA" w:rsidRDefault="00D15DCA" w:rsidP="00D15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>
        <w:rPr>
          <w:b/>
          <w:color w:val="000000" w:themeColor="text1"/>
        </w:rPr>
        <w:t>Proposal 1</w:t>
      </w:r>
      <w:r>
        <w:rPr>
          <w:color w:val="000000" w:themeColor="text1"/>
        </w:rPr>
        <w:t xml:space="preserve">: </w:t>
      </w:r>
      <w:r w:rsidR="007F3585">
        <w:rPr>
          <w:color w:val="000000" w:themeColor="text1"/>
        </w:rPr>
        <w:t>4 Rx</w:t>
      </w:r>
      <w:r>
        <w:rPr>
          <w:color w:val="000000" w:themeColor="text1"/>
        </w:rPr>
        <w:t xml:space="preserve"> support is aligned for the licensed and unlicensed operation in 6GHz range, and is mandatory. </w:t>
      </w:r>
    </w:p>
    <w:p w14:paraId="57923A94" w14:textId="6BB9D3E4" w:rsidR="00D15DCA" w:rsidRDefault="00D15DCA" w:rsidP="00D15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>
        <w:rPr>
          <w:b/>
        </w:rPr>
        <w:t>Proposal 2</w:t>
      </w:r>
      <w:r>
        <w:t xml:space="preserve">: Topic of </w:t>
      </w:r>
      <w:r w:rsidR="007F3585">
        <w:t>4 Rx</w:t>
      </w:r>
      <w:r>
        <w:t xml:space="preserve"> support in 6 GHz range is RAN-level discussion. </w:t>
      </w:r>
    </w:p>
    <w:p w14:paraId="3F250422" w14:textId="137AF98D" w:rsidR="003B6E75" w:rsidRDefault="00D15DCA" w:rsidP="00214F0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 </w:t>
      </w:r>
      <w:r>
        <w:rPr>
          <w:rFonts w:hint="eastAsia"/>
          <w:lang w:eastAsia="zh-CN"/>
        </w:rPr>
        <w:t>w</w:t>
      </w:r>
      <w:r>
        <w:rPr>
          <w:lang w:eastAsia="zh-CN"/>
        </w:rPr>
        <w:t>e provide further discussion and proposal on the remaining open issue.</w:t>
      </w:r>
    </w:p>
    <w:p w14:paraId="026158DF" w14:textId="0BE41561" w:rsidR="00975261" w:rsidRDefault="00975261" w:rsidP="00F83302">
      <w:pPr>
        <w:pStyle w:val="Heading1"/>
        <w:numPr>
          <w:ilvl w:val="0"/>
          <w:numId w:val="2"/>
        </w:numPr>
      </w:pPr>
      <w:r>
        <w:t>Discussion</w:t>
      </w:r>
    </w:p>
    <w:p w14:paraId="65FEAFF4" w14:textId="04134DB1" w:rsidR="00EE0F79" w:rsidRDefault="007C32A6" w:rsidP="00E701F4">
      <w:pPr>
        <w:rPr>
          <w:lang w:eastAsia="zh-CN"/>
        </w:rPr>
      </w:pPr>
      <w:r>
        <w:rPr>
          <w:lang w:eastAsia="zh-CN"/>
        </w:rPr>
        <w:t>During the Rel-15 NR discussion,</w:t>
      </w:r>
      <w:r w:rsidR="000A6C31">
        <w:rPr>
          <w:lang w:eastAsia="zh-CN"/>
        </w:rPr>
        <w:t xml:space="preserve"> there wa</w:t>
      </w:r>
      <w:r>
        <w:rPr>
          <w:lang w:eastAsia="zh-CN"/>
        </w:rPr>
        <w:t>s a long deb</w:t>
      </w:r>
      <w:r w:rsidR="007E38A2">
        <w:rPr>
          <w:lang w:eastAsia="zh-CN"/>
        </w:rPr>
        <w:t xml:space="preserve">ate on mandatory </w:t>
      </w:r>
      <w:r w:rsidR="007F3585">
        <w:rPr>
          <w:lang w:eastAsia="zh-CN"/>
        </w:rPr>
        <w:t>4 Rx</w:t>
      </w:r>
      <w:r w:rsidR="007E38A2">
        <w:rPr>
          <w:lang w:eastAsia="zh-CN"/>
        </w:rPr>
        <w:t xml:space="preserve"> for some NR licensed bands </w:t>
      </w:r>
      <w:r w:rsidR="004B62F4">
        <w:rPr>
          <w:lang w:eastAsia="zh-CN"/>
        </w:rPr>
        <w:t>(the first unlicensed ba</w:t>
      </w:r>
      <w:r w:rsidR="000A6C31">
        <w:rPr>
          <w:lang w:eastAsia="zh-CN"/>
        </w:rPr>
        <w:t>nd wa</w:t>
      </w:r>
      <w:r w:rsidR="004B62F4">
        <w:rPr>
          <w:lang w:eastAsia="zh-CN"/>
        </w:rPr>
        <w:t>s introduced later in Rel-16)</w:t>
      </w:r>
      <w:r w:rsidR="000A6C31">
        <w:rPr>
          <w:lang w:eastAsia="zh-CN"/>
        </w:rPr>
        <w:t xml:space="preserve"> [2]</w:t>
      </w:r>
      <w:r w:rsidR="004B62F4">
        <w:rPr>
          <w:lang w:eastAsia="zh-CN"/>
        </w:rPr>
        <w:t xml:space="preserve">. The identified frequency bands have worse propagation </w:t>
      </w:r>
      <w:r w:rsidR="000A6C31">
        <w:rPr>
          <w:lang w:eastAsia="zh-CN"/>
        </w:rPr>
        <w:t>than lower frequency bands and i</w:t>
      </w:r>
      <w:r w:rsidR="004B62F4">
        <w:rPr>
          <w:lang w:eastAsia="zh-CN"/>
        </w:rPr>
        <w:t xml:space="preserve">mplementing </w:t>
      </w:r>
      <w:r w:rsidR="007F3585">
        <w:rPr>
          <w:lang w:eastAsia="zh-CN"/>
        </w:rPr>
        <w:t>4 Rx</w:t>
      </w:r>
      <w:r w:rsidR="004B62F4">
        <w:rPr>
          <w:lang w:eastAsia="zh-CN"/>
        </w:rPr>
        <w:t xml:space="preserve"> an</w:t>
      </w:r>
      <w:r w:rsidR="00EE0F79">
        <w:rPr>
          <w:lang w:eastAsia="zh-CN"/>
        </w:rPr>
        <w:t>tennas can compensate this additional path loss. The approved proposals for m</w:t>
      </w:r>
      <w:r w:rsidR="00EE0F79" w:rsidRPr="00EE0F79">
        <w:rPr>
          <w:lang w:eastAsia="zh-CN"/>
        </w:rPr>
        <w:t xml:space="preserve">andatory </w:t>
      </w:r>
      <w:r w:rsidR="007F3585">
        <w:rPr>
          <w:lang w:eastAsia="zh-CN"/>
        </w:rPr>
        <w:t>4 Rx</w:t>
      </w:r>
      <w:r w:rsidR="00EE0F79" w:rsidRPr="00EE0F79">
        <w:rPr>
          <w:lang w:eastAsia="zh-CN"/>
        </w:rPr>
        <w:t xml:space="preserve"> antenna performance for NR UE</w:t>
      </w:r>
      <w:r w:rsidR="00EE0F79">
        <w:rPr>
          <w:lang w:eastAsia="zh-CN"/>
        </w:rPr>
        <w:t xml:space="preserve"> is cited as below</w:t>
      </w:r>
      <w:r w:rsidR="00864307">
        <w:rPr>
          <w:lang w:eastAsia="zh-CN"/>
        </w:rPr>
        <w:t xml:space="preserve"> [2]</w:t>
      </w:r>
      <w:r w:rsidR="00EE0F79">
        <w:rPr>
          <w:rFonts w:hint="eastAsia"/>
          <w:lang w:eastAsia="zh-CN"/>
        </w:rPr>
        <w:t>.</w:t>
      </w:r>
    </w:p>
    <w:p w14:paraId="004037B6" w14:textId="77777777" w:rsidR="00EE0F79" w:rsidRDefault="00EE0F79" w:rsidP="00EE0F79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  <w:lang w:val="sv-SE"/>
        </w:rPr>
        <w:t xml:space="preserve">For NR Bands n7, n38, n41, n77, n78, and n79 the UE shall be </w:t>
      </w:r>
      <w:r>
        <w:rPr>
          <w:i/>
        </w:rPr>
        <w:t>equipped with 4Rx ports as a baseline</w:t>
      </w:r>
    </w:p>
    <w:p w14:paraId="3AA5E4B5" w14:textId="77777777" w:rsidR="00EE0F79" w:rsidRDefault="00EE0F79" w:rsidP="00EE0F79">
      <w:pPr>
        <w:pStyle w:val="ListParagraph"/>
        <w:widowControl w:val="0"/>
        <w:numPr>
          <w:ilvl w:val="1"/>
          <w:numId w:val="42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</w:rPr>
        <w:t>Applicability to other NR bands is FFS</w:t>
      </w:r>
    </w:p>
    <w:p w14:paraId="0943D850" w14:textId="77777777" w:rsidR="00EE0F79" w:rsidRDefault="00EE0F79" w:rsidP="00EE0F79">
      <w:pPr>
        <w:pStyle w:val="ListParagraph"/>
        <w:widowControl w:val="0"/>
        <w:numPr>
          <w:ilvl w:val="1"/>
          <w:numId w:val="42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</w:rPr>
        <w:t>For certain UE types/categories, some exceptions to this requirement may be applicable in future</w:t>
      </w:r>
    </w:p>
    <w:p w14:paraId="0ACE2DC9" w14:textId="77777777" w:rsidR="00EE0F79" w:rsidRDefault="00EE0F79" w:rsidP="00EE0F79">
      <w:pPr>
        <w:pStyle w:val="ListParagraph"/>
        <w:widowControl w:val="0"/>
        <w:numPr>
          <w:ilvl w:val="1"/>
          <w:numId w:val="42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</w:rPr>
        <w:t xml:space="preserve">RRC signalling and ASN.1 coding shall be defined in Release 15 such that supported number of UE Rx antenna ports is indicated from UE to the </w:t>
      </w:r>
      <w:proofErr w:type="spellStart"/>
      <w:r>
        <w:rPr>
          <w:i/>
        </w:rPr>
        <w:t>eNB</w:t>
      </w:r>
      <w:proofErr w:type="spellEnd"/>
      <w:r>
        <w:rPr>
          <w:i/>
        </w:rPr>
        <w:t>/</w:t>
      </w:r>
      <w:proofErr w:type="spellStart"/>
      <w:r>
        <w:rPr>
          <w:i/>
        </w:rPr>
        <w:t>gNB</w:t>
      </w:r>
      <w:proofErr w:type="spellEnd"/>
      <w:r>
        <w:rPr>
          <w:i/>
        </w:rPr>
        <w:t>.</w:t>
      </w:r>
    </w:p>
    <w:p w14:paraId="22BF3EC1" w14:textId="77777777" w:rsidR="00EE0F79" w:rsidRDefault="00EE0F79" w:rsidP="00EE0F79">
      <w:pPr>
        <w:pStyle w:val="ListParagraph"/>
        <w:widowControl w:val="0"/>
        <w:numPr>
          <w:ilvl w:val="2"/>
          <w:numId w:val="42"/>
        </w:numPr>
        <w:overflowPunct/>
        <w:autoSpaceDE/>
        <w:autoSpaceDN/>
        <w:adjustRightInd/>
        <w:spacing w:after="120"/>
        <w:ind w:firstLineChars="0"/>
        <w:contextualSpacing/>
        <w:jc w:val="both"/>
        <w:textAlignment w:val="auto"/>
        <w:rPr>
          <w:i/>
        </w:rPr>
      </w:pPr>
      <w:r>
        <w:rPr>
          <w:i/>
        </w:rPr>
        <w:t>“4” shall be the lowest value that is allowed to be indicated.</w:t>
      </w:r>
    </w:p>
    <w:p w14:paraId="1DD73793" w14:textId="77777777" w:rsidR="00EE0F79" w:rsidRDefault="00EE0F79" w:rsidP="00EE0F79">
      <w:pPr>
        <w:pStyle w:val="ListParagraph"/>
        <w:widowControl w:val="0"/>
        <w:numPr>
          <w:ilvl w:val="2"/>
          <w:numId w:val="42"/>
        </w:numPr>
        <w:overflowPunct/>
        <w:autoSpaceDE/>
        <w:autoSpaceDN/>
        <w:adjustRightInd/>
        <w:spacing w:after="120"/>
        <w:ind w:firstLineChars="0"/>
        <w:contextualSpacing/>
        <w:jc w:val="both"/>
        <w:textAlignment w:val="auto"/>
        <w:rPr>
          <w:i/>
        </w:rPr>
      </w:pPr>
      <w:r>
        <w:rPr>
          <w:i/>
        </w:rPr>
        <w:t>The coding shall enable flexibility such that a lower number than 4 could be indicated in the future</w:t>
      </w:r>
      <w:r>
        <w:rPr>
          <w:i/>
          <w:lang w:eastAsia="zh-CN"/>
        </w:rPr>
        <w:t xml:space="preserve"> for the UE types/categories mentioned above as exceptions. </w:t>
      </w:r>
    </w:p>
    <w:p w14:paraId="647BC47D" w14:textId="77777777" w:rsidR="00EE0F79" w:rsidRDefault="00EE0F79" w:rsidP="00EE0F79">
      <w:pPr>
        <w:pStyle w:val="ListParagraph"/>
        <w:widowControl w:val="0"/>
        <w:numPr>
          <w:ilvl w:val="0"/>
          <w:numId w:val="42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  <w:lang w:val="sv-SE"/>
        </w:rPr>
        <w:t xml:space="preserve">UE </w:t>
      </w:r>
      <w:r>
        <w:rPr>
          <w:i/>
        </w:rPr>
        <w:t>equipped with 4Rx ports as a baseline shall fulfil all 4Rx demodulation performance requirements defined for downlink data and control</w:t>
      </w:r>
    </w:p>
    <w:p w14:paraId="7B2DD130" w14:textId="77777777" w:rsidR="00EE0F79" w:rsidRDefault="00EE0F79" w:rsidP="00EE0F79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  <w:lang w:val="en-US"/>
        </w:rPr>
        <w:t>Fall back to 2Rx shall be allowed to save power</w:t>
      </w:r>
    </w:p>
    <w:p w14:paraId="27BF2037" w14:textId="77777777" w:rsidR="00EE0F79" w:rsidRDefault="00EE0F79" w:rsidP="00EE0F79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  <w:lang w:val="en-US"/>
        </w:rPr>
        <w:t>RRM Requirements will be based on 2Rx</w:t>
      </w:r>
    </w:p>
    <w:p w14:paraId="6A43A888" w14:textId="77777777" w:rsidR="00EE0F79" w:rsidRDefault="00EE0F79" w:rsidP="00EE0F79">
      <w:pPr>
        <w:pStyle w:val="ListParagraph"/>
        <w:widowControl w:val="0"/>
        <w:numPr>
          <w:ilvl w:val="1"/>
          <w:numId w:val="43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  <w:lang w:val="en-US"/>
        </w:rPr>
        <w:t>RLM requirements shall be defined based on both 2Rx and 4Rx</w:t>
      </w:r>
    </w:p>
    <w:p w14:paraId="40A55F58" w14:textId="77777777" w:rsidR="00EE0F79" w:rsidRDefault="00EE0F79" w:rsidP="00EE0F79">
      <w:pPr>
        <w:pStyle w:val="ListParagraph"/>
        <w:widowControl w:val="0"/>
        <w:numPr>
          <w:ilvl w:val="1"/>
          <w:numId w:val="43"/>
        </w:numPr>
        <w:overflowPunct/>
        <w:autoSpaceDE/>
        <w:autoSpaceDN/>
        <w:adjustRightInd/>
        <w:spacing w:after="120"/>
        <w:ind w:firstLineChars="0" w:hanging="357"/>
        <w:contextualSpacing/>
        <w:jc w:val="both"/>
        <w:textAlignment w:val="auto"/>
        <w:rPr>
          <w:i/>
        </w:rPr>
      </w:pPr>
      <w:r>
        <w:rPr>
          <w:i/>
          <w:lang w:val="en-US"/>
        </w:rPr>
        <w:t>The proper antenna connection similar to LTE (defined in A.3.8.1 of TS36.133) will be defined to make 2Rx based RRM tests be applicable to NR UE equipped with 4Rx port.</w:t>
      </w:r>
    </w:p>
    <w:p w14:paraId="5DCD51E1" w14:textId="115086DB" w:rsidR="00EE0F79" w:rsidRPr="00EE0F79" w:rsidRDefault="00EE0F79" w:rsidP="00E701F4">
      <w:pPr>
        <w:pStyle w:val="ListParagraph"/>
        <w:widowControl w:val="0"/>
        <w:numPr>
          <w:ilvl w:val="0"/>
          <w:numId w:val="43"/>
        </w:numPr>
        <w:overflowPunct/>
        <w:autoSpaceDE/>
        <w:autoSpaceDN/>
        <w:adjustRightInd/>
        <w:spacing w:after="120"/>
        <w:ind w:firstLineChars="0"/>
        <w:contextualSpacing/>
        <w:jc w:val="both"/>
        <w:textAlignment w:val="auto"/>
        <w:rPr>
          <w:i/>
          <w:sz w:val="18"/>
        </w:rPr>
      </w:pPr>
      <w:r>
        <w:rPr>
          <w:i/>
          <w:szCs w:val="22"/>
          <w:lang w:eastAsia="en-US"/>
        </w:rPr>
        <w:t>The baseline Rx antenna port assumption for LTE operation for the UE is as defined in 36 series specifications today</w:t>
      </w:r>
    </w:p>
    <w:p w14:paraId="59523462" w14:textId="77777777" w:rsidR="00EE0F79" w:rsidRPr="00EE0F79" w:rsidRDefault="00EE0F79" w:rsidP="00EE0F79">
      <w:pPr>
        <w:pStyle w:val="ListParagraph"/>
        <w:widowControl w:val="0"/>
        <w:overflowPunct/>
        <w:autoSpaceDE/>
        <w:autoSpaceDN/>
        <w:adjustRightInd/>
        <w:spacing w:after="120"/>
        <w:ind w:left="720" w:firstLineChars="0" w:firstLine="0"/>
        <w:contextualSpacing/>
        <w:jc w:val="both"/>
        <w:textAlignment w:val="auto"/>
        <w:rPr>
          <w:i/>
          <w:sz w:val="18"/>
        </w:rPr>
      </w:pPr>
    </w:p>
    <w:p w14:paraId="68955D95" w14:textId="34E5C28A" w:rsidR="00EE0F79" w:rsidRDefault="00EE0F79" w:rsidP="00E701F4">
      <w:pPr>
        <w:rPr>
          <w:lang w:eastAsia="zh-CN"/>
        </w:rPr>
      </w:pPr>
      <w:r>
        <w:rPr>
          <w:lang w:eastAsia="zh-CN"/>
        </w:rPr>
        <w:t xml:space="preserve">It is explicitly </w:t>
      </w:r>
      <w:r w:rsidR="00FC4054">
        <w:rPr>
          <w:lang w:eastAsia="zh-CN"/>
        </w:rPr>
        <w:t xml:space="preserve">stating that the applicability to other NR bands is FFS. Hence </w:t>
      </w:r>
      <w:r w:rsidR="00D90088">
        <w:rPr>
          <w:lang w:eastAsia="zh-CN"/>
        </w:rPr>
        <w:t>whether to mandate 4 Rx for unlicensed band in 6 GHz is also FFS from the above agreements</w:t>
      </w:r>
      <w:r w:rsidR="00FC4054">
        <w:rPr>
          <w:lang w:eastAsia="zh-CN"/>
        </w:rPr>
        <w:t xml:space="preserve">. Furthermore, the deployment scenarios for 6 GHz licensed operation and unlicensed </w:t>
      </w:r>
      <w:r w:rsidR="000A6C31">
        <w:rPr>
          <w:lang w:eastAsia="zh-CN"/>
        </w:rPr>
        <w:t>operation are</w:t>
      </w:r>
      <w:r w:rsidR="00FC4054">
        <w:rPr>
          <w:lang w:eastAsia="zh-CN"/>
        </w:rPr>
        <w:t xml:space="preserve"> quite different. </w:t>
      </w:r>
      <w:r w:rsidR="00466265">
        <w:rPr>
          <w:lang w:eastAsia="zh-CN"/>
        </w:rPr>
        <w:t>For licensed band n104, the deployment scenarios and request are the same as those bands mentioned in the above agreements. While f</w:t>
      </w:r>
      <w:r w:rsidR="00FC4054">
        <w:rPr>
          <w:lang w:eastAsia="zh-CN"/>
        </w:rPr>
        <w:t>or unlicensed operation scenario</w:t>
      </w:r>
      <w:r w:rsidR="00B857C3">
        <w:rPr>
          <w:lang w:eastAsia="zh-CN"/>
        </w:rPr>
        <w:t>s</w:t>
      </w:r>
      <w:r w:rsidR="00FC4054">
        <w:rPr>
          <w:lang w:eastAsia="zh-CN"/>
        </w:rPr>
        <w:t>, th</w:t>
      </w:r>
      <w:r w:rsidR="000A6C31">
        <w:rPr>
          <w:lang w:eastAsia="zh-CN"/>
        </w:rPr>
        <w:t>e coverage is relative small hence</w:t>
      </w:r>
      <w:r w:rsidR="00FC4054">
        <w:rPr>
          <w:lang w:eastAsia="zh-CN"/>
        </w:rPr>
        <w:t xml:space="preserve"> </w:t>
      </w:r>
      <w:r w:rsidR="007F3585">
        <w:rPr>
          <w:lang w:eastAsia="zh-CN"/>
        </w:rPr>
        <w:t>4 Rx</w:t>
      </w:r>
      <w:r w:rsidR="00C50602">
        <w:rPr>
          <w:lang w:eastAsia="zh-CN"/>
        </w:rPr>
        <w:t xml:space="preserve"> is optional for unlicensed band n46 and n96 as specified </w:t>
      </w:r>
      <w:r w:rsidR="0036651E">
        <w:rPr>
          <w:lang w:eastAsia="zh-CN"/>
        </w:rPr>
        <w:t xml:space="preserve">in TS 38.101-1 in </w:t>
      </w:r>
      <w:r w:rsidR="00C50602">
        <w:rPr>
          <w:lang w:eastAsia="zh-CN"/>
        </w:rPr>
        <w:t>Rel-16.</w:t>
      </w:r>
      <w:r w:rsidR="001E4B5D">
        <w:rPr>
          <w:lang w:eastAsia="zh-CN"/>
        </w:rPr>
        <w:t xml:space="preserve"> </w:t>
      </w:r>
    </w:p>
    <w:p w14:paraId="4FDF6F00" w14:textId="378F53AC" w:rsidR="00C50602" w:rsidRDefault="00864307" w:rsidP="00E701F4">
      <w:pPr>
        <w:rPr>
          <w:color w:val="000000" w:themeColor="text1"/>
        </w:rPr>
      </w:pPr>
      <w:r w:rsidRPr="00864307">
        <w:rPr>
          <w:b/>
          <w:lang w:eastAsia="zh-CN"/>
        </w:rPr>
        <w:t>Observation 1</w:t>
      </w:r>
      <w:r>
        <w:rPr>
          <w:lang w:eastAsia="zh-CN"/>
        </w:rPr>
        <w:t xml:space="preserve">: the discussion on </w:t>
      </w:r>
      <w:r w:rsidR="007F3585">
        <w:rPr>
          <w:lang w:eastAsia="zh-CN"/>
        </w:rPr>
        <w:t>4 Rx</w:t>
      </w:r>
      <w:r>
        <w:rPr>
          <w:lang w:eastAsia="zh-CN"/>
        </w:rPr>
        <w:t xml:space="preserve"> support </w:t>
      </w:r>
      <w:r>
        <w:rPr>
          <w:color w:val="000000" w:themeColor="text1"/>
        </w:rPr>
        <w:t xml:space="preserve">for the licensed operation and unlicensed operation </w:t>
      </w:r>
      <w:r w:rsidR="000A6C31">
        <w:rPr>
          <w:color w:val="000000" w:themeColor="text1"/>
        </w:rPr>
        <w:t xml:space="preserve">in 6GHz </w:t>
      </w:r>
      <w:r>
        <w:rPr>
          <w:color w:val="000000" w:themeColor="text1"/>
        </w:rPr>
        <w:t>can be separate.</w:t>
      </w:r>
    </w:p>
    <w:p w14:paraId="5E1A1494" w14:textId="77777777" w:rsidR="0036651E" w:rsidRDefault="00864307" w:rsidP="00B904CE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Based on RAN agreements in </w:t>
      </w:r>
      <w:r w:rsidR="005A7B69" w:rsidRPr="005A7B69">
        <w:rPr>
          <w:color w:val="000000" w:themeColor="text1"/>
        </w:rPr>
        <w:t>RP-172788</w:t>
      </w:r>
      <w:r w:rsidR="005A7B69">
        <w:rPr>
          <w:color w:val="000000" w:themeColor="text1"/>
        </w:rPr>
        <w:t xml:space="preserve"> [2] and RAN4 discussion on additional bands n48 and n90, in RAN4 specification</w:t>
      </w:r>
      <w:r w:rsidR="000A6C31">
        <w:rPr>
          <w:color w:val="000000" w:themeColor="text1"/>
        </w:rPr>
        <w:t>,</w:t>
      </w:r>
      <w:r w:rsidR="005A7B69">
        <w:rPr>
          <w:color w:val="000000" w:themeColor="text1"/>
        </w:rPr>
        <w:t xml:space="preserve"> for </w:t>
      </w:r>
      <w:r w:rsidR="005A7B69" w:rsidRPr="005A7B69">
        <w:rPr>
          <w:color w:val="000000" w:themeColor="text1"/>
        </w:rPr>
        <w:t xml:space="preserve">2.6 GHz </w:t>
      </w:r>
      <w:r w:rsidR="000A6C31">
        <w:rPr>
          <w:color w:val="000000" w:themeColor="text1"/>
        </w:rPr>
        <w:t xml:space="preserve">bands </w:t>
      </w:r>
      <w:r w:rsidR="005A7B69" w:rsidRPr="005A7B69">
        <w:rPr>
          <w:color w:val="000000" w:themeColor="text1"/>
        </w:rPr>
        <w:t xml:space="preserve">(n7, n38, n41, n90), 3.5GHz </w:t>
      </w:r>
      <w:r w:rsidR="000A6C31">
        <w:rPr>
          <w:color w:val="000000" w:themeColor="text1"/>
        </w:rPr>
        <w:t xml:space="preserve">bands </w:t>
      </w:r>
      <w:r w:rsidR="005A7B69" w:rsidRPr="005A7B69">
        <w:rPr>
          <w:color w:val="000000" w:themeColor="text1"/>
        </w:rPr>
        <w:t xml:space="preserve">(n48, n77, n78), and 4.9 GHz </w:t>
      </w:r>
      <w:r w:rsidR="000A6C31">
        <w:rPr>
          <w:color w:val="000000" w:themeColor="text1"/>
        </w:rPr>
        <w:t xml:space="preserve">band </w:t>
      </w:r>
      <w:r w:rsidR="005A7B69" w:rsidRPr="005A7B69">
        <w:rPr>
          <w:color w:val="000000" w:themeColor="text1"/>
        </w:rPr>
        <w:t>(n79), four Rx antenna ports are the baseline</w:t>
      </w:r>
      <w:r w:rsidR="005A7B69">
        <w:rPr>
          <w:color w:val="000000" w:themeColor="text1"/>
        </w:rPr>
        <w:t xml:space="preserve"> </w:t>
      </w:r>
      <w:r w:rsidR="005A7B69">
        <w:rPr>
          <w:lang w:val="en-US"/>
        </w:rPr>
        <w:t>except for two Rx vehicular UE’s as indicated by NOTE 1 of Table 7.3.2-1b in 38.101-1</w:t>
      </w:r>
      <w:r w:rsidR="005A7B69" w:rsidRPr="005A7B69">
        <w:rPr>
          <w:color w:val="000000" w:themeColor="text1"/>
        </w:rPr>
        <w:t>.</w:t>
      </w:r>
    </w:p>
    <w:p w14:paraId="7ED4B68A" w14:textId="1E20FF54" w:rsidR="00B904CE" w:rsidRDefault="00B904CE" w:rsidP="00B904CE">
      <w:pPr>
        <w:rPr>
          <w:color w:val="000000" w:themeColor="text1"/>
        </w:rPr>
      </w:pPr>
      <w:r>
        <w:rPr>
          <w:color w:val="000000" w:themeColor="text1"/>
        </w:rPr>
        <w:t xml:space="preserve">In general, implementing 4 Rx will be beneficial for compensation the path loss compared to lower frequency band, improving the user experience and reducing the decoding time. </w:t>
      </w:r>
      <w:r w:rsidR="005A7B69">
        <w:rPr>
          <w:color w:val="000000" w:themeColor="text1"/>
        </w:rPr>
        <w:t>Band n104 has higher frequency than these bands with mandatory 4</w:t>
      </w:r>
      <w:r w:rsidR="007F3585">
        <w:rPr>
          <w:color w:val="000000" w:themeColor="text1"/>
        </w:rPr>
        <w:t xml:space="preserve"> </w:t>
      </w:r>
      <w:r w:rsidR="005A7B69">
        <w:rPr>
          <w:color w:val="000000" w:themeColor="text1"/>
        </w:rPr>
        <w:t>R</w:t>
      </w:r>
      <w:r w:rsidR="007F3585">
        <w:rPr>
          <w:color w:val="000000" w:themeColor="text1"/>
        </w:rPr>
        <w:t xml:space="preserve">x, hence </w:t>
      </w:r>
      <w:r w:rsidR="00A35B7E">
        <w:rPr>
          <w:color w:val="000000" w:themeColor="text1"/>
        </w:rPr>
        <w:t xml:space="preserve">generally n104 is expected to require 4 Rx as the baseline. </w:t>
      </w:r>
      <w:bookmarkEnd w:id="0"/>
      <w:bookmarkEnd w:id="1"/>
      <w:bookmarkEnd w:id="2"/>
      <w:bookmarkEnd w:id="3"/>
      <w:r>
        <w:rPr>
          <w:color w:val="000000" w:themeColor="text1"/>
        </w:rPr>
        <w:t xml:space="preserve">It is proposed to indicate 4Rx as the baseline for </w:t>
      </w:r>
      <w:r w:rsidRPr="00B904CE">
        <w:rPr>
          <w:color w:val="000000" w:themeColor="text1"/>
        </w:rPr>
        <w:t xml:space="preserve">6GHz band </w:t>
      </w:r>
      <w:r>
        <w:rPr>
          <w:color w:val="000000" w:themeColor="text1"/>
        </w:rPr>
        <w:t>n104</w:t>
      </w:r>
      <w:r w:rsidR="00D90088">
        <w:rPr>
          <w:color w:val="000000" w:themeColor="text1"/>
        </w:rPr>
        <w:t xml:space="preserve"> in RAN4 specification TS 38.101-1</w:t>
      </w:r>
      <w:r>
        <w:rPr>
          <w:color w:val="000000" w:themeColor="text1"/>
        </w:rPr>
        <w:t>.</w:t>
      </w:r>
    </w:p>
    <w:p w14:paraId="237009EF" w14:textId="689CB336" w:rsidR="00B904CE" w:rsidRPr="007D5C1F" w:rsidRDefault="00B904CE" w:rsidP="00B904CE">
      <w:pPr>
        <w:rPr>
          <w:lang w:eastAsia="zh-CN"/>
        </w:rPr>
      </w:pPr>
      <w:r>
        <w:rPr>
          <w:b/>
          <w:lang w:eastAsia="zh-CN"/>
        </w:rPr>
        <w:t>Proposal 1</w:t>
      </w:r>
      <w:r>
        <w:rPr>
          <w:lang w:eastAsia="zh-CN"/>
        </w:rPr>
        <w:t>:</w:t>
      </w:r>
      <w:r w:rsidR="00A442FE" w:rsidRPr="00A442FE">
        <w:rPr>
          <w:lang w:eastAsia="zh-CN"/>
        </w:rPr>
        <w:t xml:space="preserve"> it is proposed to indicate 4Rx as the baseline for band n104, i.e. 4Rx is mandatory.</w:t>
      </w:r>
    </w:p>
    <w:p w14:paraId="7A9B05B7" w14:textId="416BCC09" w:rsidR="00341F88" w:rsidRDefault="005F295C" w:rsidP="00B904CE">
      <w:pPr>
        <w:pStyle w:val="Heading1"/>
        <w:numPr>
          <w:ilvl w:val="0"/>
          <w:numId w:val="2"/>
        </w:numPr>
      </w:pPr>
      <w:r>
        <w:t>Conclusion</w:t>
      </w:r>
    </w:p>
    <w:p w14:paraId="2A68F1F0" w14:textId="0CC621FC" w:rsidR="00480C4D" w:rsidRDefault="00587614" w:rsidP="00480C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1801B4">
        <w:rPr>
          <w:lang w:eastAsia="zh-CN"/>
        </w:rPr>
        <w:t xml:space="preserve">the contribution, we provide a discussion </w:t>
      </w:r>
      <w:r>
        <w:rPr>
          <w:lang w:eastAsia="zh-CN"/>
        </w:rPr>
        <w:t xml:space="preserve">on </w:t>
      </w:r>
      <w:r w:rsidR="001801B4">
        <w:t>the regulatory aspects</w:t>
      </w:r>
      <w:r w:rsidR="001801B4">
        <w:rPr>
          <w:lang w:eastAsia="zh-CN"/>
        </w:rPr>
        <w:t xml:space="preserve"> for</w:t>
      </w:r>
      <w:r>
        <w:rPr>
          <w:lang w:eastAsia="zh-CN"/>
        </w:rPr>
        <w:t xml:space="preserve"> </w:t>
      </w:r>
      <w:r w:rsidRPr="00587614">
        <w:rPr>
          <w:lang w:eastAsia="zh-CN"/>
        </w:rPr>
        <w:t>evolution of NR duplex operation</w:t>
      </w:r>
      <w:r w:rsidR="001801B4">
        <w:rPr>
          <w:lang w:eastAsia="zh-CN"/>
        </w:rPr>
        <w:t xml:space="preserve"> SI.</w:t>
      </w:r>
    </w:p>
    <w:p w14:paraId="527860F8" w14:textId="77777777" w:rsidR="00B904CE" w:rsidRDefault="00B904CE" w:rsidP="00B904CE">
      <w:pPr>
        <w:rPr>
          <w:color w:val="000000" w:themeColor="text1"/>
        </w:rPr>
      </w:pPr>
      <w:r w:rsidRPr="00864307">
        <w:rPr>
          <w:b/>
          <w:lang w:eastAsia="zh-CN"/>
        </w:rPr>
        <w:t>Observation 1</w:t>
      </w:r>
      <w:r>
        <w:rPr>
          <w:lang w:eastAsia="zh-CN"/>
        </w:rPr>
        <w:t xml:space="preserve">: the discussion on 4 Rx support </w:t>
      </w:r>
      <w:r>
        <w:rPr>
          <w:color w:val="000000" w:themeColor="text1"/>
        </w:rPr>
        <w:t>for the licensed operation and unlicensed operation can be separate.</w:t>
      </w:r>
    </w:p>
    <w:p w14:paraId="132FA92F" w14:textId="5E94124E" w:rsidR="00A442FE" w:rsidRPr="007D5C1F" w:rsidRDefault="00A442FE" w:rsidP="00A442FE">
      <w:pPr>
        <w:rPr>
          <w:lang w:eastAsia="zh-CN"/>
        </w:rPr>
      </w:pPr>
      <w:r>
        <w:rPr>
          <w:b/>
          <w:lang w:eastAsia="zh-CN"/>
        </w:rPr>
        <w:t>Proposal 1</w:t>
      </w:r>
      <w:r>
        <w:rPr>
          <w:lang w:eastAsia="zh-CN"/>
        </w:rPr>
        <w:t>:</w:t>
      </w:r>
      <w:r w:rsidRPr="00A442FE">
        <w:rPr>
          <w:lang w:eastAsia="zh-CN"/>
        </w:rPr>
        <w:t xml:space="preserve"> it is proposed to indicate 4Rx as the baseline for </w:t>
      </w:r>
      <w:bookmarkStart w:id="4" w:name="_GoBack"/>
      <w:bookmarkEnd w:id="4"/>
      <w:r w:rsidRPr="00A442FE">
        <w:rPr>
          <w:lang w:eastAsia="zh-CN"/>
        </w:rPr>
        <w:t>band n104, i.e. 4Rx is mandatory.</w:t>
      </w:r>
    </w:p>
    <w:p w14:paraId="2E40C375" w14:textId="6E08E9DC" w:rsidR="001801B4" w:rsidRPr="00B904CE" w:rsidRDefault="00B904CE" w:rsidP="001801B4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0A6C31">
        <w:rPr>
          <w:lang w:val="en-US" w:eastAsia="zh-CN"/>
        </w:rPr>
        <w:t>correspondin</w:t>
      </w:r>
      <w:r w:rsidR="00E863AE">
        <w:rPr>
          <w:lang w:val="en-US" w:eastAsia="zh-CN"/>
        </w:rPr>
        <w:t>g CR to TS 38.101-1 can be provided once Proposal 1 is approved.</w:t>
      </w:r>
    </w:p>
    <w:p w14:paraId="36451363" w14:textId="45C30A33" w:rsidR="00712EC3" w:rsidRDefault="00712EC3" w:rsidP="00712EC3">
      <w:pPr>
        <w:pStyle w:val="Heading1"/>
        <w:numPr>
          <w:ilvl w:val="0"/>
          <w:numId w:val="2"/>
        </w:numPr>
      </w:pPr>
      <w:r>
        <w:t>Reference</w:t>
      </w:r>
    </w:p>
    <w:p w14:paraId="1CADDEDF" w14:textId="5884C208" w:rsidR="00712EC3" w:rsidRDefault="00864307" w:rsidP="00864307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864307">
        <w:rPr>
          <w:lang w:eastAsia="zh-CN"/>
        </w:rPr>
        <w:t>RP-221869</w:t>
      </w:r>
      <w:r w:rsidR="00712EC3">
        <w:rPr>
          <w:rFonts w:hint="eastAsia"/>
          <w:lang w:eastAsia="zh-CN"/>
        </w:rPr>
        <w:t>,</w:t>
      </w:r>
      <w:r w:rsidR="00712EC3">
        <w:rPr>
          <w:lang w:eastAsia="zh-CN"/>
        </w:rPr>
        <w:t xml:space="preserve"> “</w:t>
      </w:r>
      <w:r w:rsidRPr="00864307">
        <w:rPr>
          <w:lang w:eastAsia="zh-CN"/>
        </w:rPr>
        <w:t xml:space="preserve">WF on </w:t>
      </w:r>
      <w:r w:rsidR="007F3585">
        <w:rPr>
          <w:lang w:eastAsia="zh-CN"/>
        </w:rPr>
        <w:t>4 Rx</w:t>
      </w:r>
      <w:r w:rsidRPr="00864307">
        <w:rPr>
          <w:lang w:eastAsia="zh-CN"/>
        </w:rPr>
        <w:t xml:space="preserve"> support for 6GHz band operation</w:t>
      </w:r>
      <w:r w:rsidR="00712EC3">
        <w:rPr>
          <w:lang w:eastAsia="zh-CN"/>
        </w:rPr>
        <w:t xml:space="preserve">”, </w:t>
      </w:r>
      <w:r w:rsidRPr="00864307">
        <w:rPr>
          <w:lang w:eastAsia="zh-CN"/>
        </w:rPr>
        <w:t xml:space="preserve">Huawei, HiSilicon, KPN, Orange, Telecom Italia, Deutsche Telekom, BOUYGUES Telecom, Telenor, China Unicom, China Telecom, CMCC, Vodafone, Telefonica, </w:t>
      </w:r>
      <w:proofErr w:type="spellStart"/>
      <w:r w:rsidRPr="00864307">
        <w:rPr>
          <w:lang w:eastAsia="zh-CN"/>
        </w:rPr>
        <w:t>Telia</w:t>
      </w:r>
      <w:proofErr w:type="spellEnd"/>
      <w:r w:rsidRPr="00864307">
        <w:rPr>
          <w:lang w:eastAsia="zh-CN"/>
        </w:rPr>
        <w:t xml:space="preserve"> Company</w:t>
      </w:r>
    </w:p>
    <w:p w14:paraId="76B6DF82" w14:textId="67872DAA" w:rsidR="00712EC3" w:rsidRPr="00480C4D" w:rsidRDefault="005A7B69" w:rsidP="00F86A12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5A7B69">
        <w:rPr>
          <w:lang w:eastAsia="zh-CN"/>
        </w:rPr>
        <w:t>RP-172788</w:t>
      </w:r>
      <w:r>
        <w:rPr>
          <w:lang w:eastAsia="zh-CN"/>
        </w:rPr>
        <w:t xml:space="preserve">, </w:t>
      </w:r>
      <w:r w:rsidR="009C68F7">
        <w:rPr>
          <w:lang w:eastAsia="zh-CN"/>
        </w:rPr>
        <w:t>“</w:t>
      </w:r>
      <w:r w:rsidR="009C68F7" w:rsidRPr="009C68F7">
        <w:rPr>
          <w:lang w:eastAsia="zh-CN"/>
        </w:rPr>
        <w:t>Mandatory 4Rx antenna performance for NR UE</w:t>
      </w:r>
      <w:r w:rsidR="009C68F7">
        <w:rPr>
          <w:lang w:eastAsia="zh-CN"/>
        </w:rPr>
        <w:t xml:space="preserve">”, </w:t>
      </w:r>
      <w:r w:rsidR="00F86A12">
        <w:rPr>
          <w:lang w:eastAsia="zh-CN"/>
        </w:rPr>
        <w:t xml:space="preserve">Vodafone, </w:t>
      </w:r>
      <w:r w:rsidR="00F86A12" w:rsidRPr="00F86A12">
        <w:rPr>
          <w:lang w:eastAsia="zh-CN"/>
        </w:rPr>
        <w:t>3GPP TSG RAN #78</w:t>
      </w:r>
      <w:r w:rsidR="00F86A12">
        <w:rPr>
          <w:lang w:eastAsia="zh-CN"/>
        </w:rPr>
        <w:t>, December 2017.</w:t>
      </w:r>
    </w:p>
    <w:sectPr w:rsidR="00712EC3" w:rsidRPr="00480C4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D3DA0" w14:textId="77777777" w:rsidR="00B15883" w:rsidRDefault="00B15883">
      <w:r>
        <w:separator/>
      </w:r>
    </w:p>
  </w:endnote>
  <w:endnote w:type="continuationSeparator" w:id="0">
    <w:p w14:paraId="6B6E636A" w14:textId="77777777" w:rsidR="00B15883" w:rsidRDefault="00B1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E36FE" w14:textId="77777777" w:rsidR="00B15883" w:rsidRDefault="00B15883">
      <w:r>
        <w:separator/>
      </w:r>
    </w:p>
  </w:footnote>
  <w:footnote w:type="continuationSeparator" w:id="0">
    <w:p w14:paraId="204CDCDF" w14:textId="77777777" w:rsidR="00B15883" w:rsidRDefault="00B15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A2E3FFB"/>
    <w:multiLevelType w:val="hybridMultilevel"/>
    <w:tmpl w:val="9FBA1798"/>
    <w:lvl w:ilvl="0" w:tplc="9A7AE9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687BE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0C207C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64D3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A86B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DAA6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A672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AE5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B2B3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796C5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5C53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3C0E9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1E57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7C64F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33EAD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386B5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6A73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2CAED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FE92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B249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25A78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B0C96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2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1A2614F"/>
    <w:multiLevelType w:val="hybridMultilevel"/>
    <w:tmpl w:val="C05866CE"/>
    <w:lvl w:ilvl="0" w:tplc="8B908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50A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8E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2AC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CE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C8C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0D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0B7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E46F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8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41"/>
  </w:num>
  <w:num w:numId="5">
    <w:abstractNumId w:val="24"/>
  </w:num>
  <w:num w:numId="6">
    <w:abstractNumId w:val="19"/>
  </w:num>
  <w:num w:numId="7">
    <w:abstractNumId w:val="2"/>
  </w:num>
  <w:num w:numId="8">
    <w:abstractNumId w:val="3"/>
  </w:num>
  <w:num w:numId="9">
    <w:abstractNumId w:val="14"/>
  </w:num>
  <w:num w:numId="10">
    <w:abstractNumId w:val="42"/>
  </w:num>
  <w:num w:numId="11">
    <w:abstractNumId w:val="26"/>
  </w:num>
  <w:num w:numId="12">
    <w:abstractNumId w:val="17"/>
  </w:num>
  <w:num w:numId="13">
    <w:abstractNumId w:val="38"/>
  </w:num>
  <w:num w:numId="14">
    <w:abstractNumId w:val="10"/>
  </w:num>
  <w:num w:numId="15">
    <w:abstractNumId w:val="27"/>
  </w:num>
  <w:num w:numId="16">
    <w:abstractNumId w:val="37"/>
  </w:num>
  <w:num w:numId="17">
    <w:abstractNumId w:val="4"/>
  </w:num>
  <w:num w:numId="18">
    <w:abstractNumId w:val="40"/>
  </w:num>
  <w:num w:numId="19">
    <w:abstractNumId w:val="32"/>
  </w:num>
  <w:num w:numId="20">
    <w:abstractNumId w:val="22"/>
  </w:num>
  <w:num w:numId="21">
    <w:abstractNumId w:val="13"/>
  </w:num>
  <w:num w:numId="22">
    <w:abstractNumId w:val="21"/>
  </w:num>
  <w:num w:numId="23">
    <w:abstractNumId w:val="39"/>
  </w:num>
  <w:num w:numId="24">
    <w:abstractNumId w:val="7"/>
  </w:num>
  <w:num w:numId="25">
    <w:abstractNumId w:val="36"/>
  </w:num>
  <w:num w:numId="26">
    <w:abstractNumId w:val="20"/>
  </w:num>
  <w:num w:numId="27">
    <w:abstractNumId w:val="29"/>
  </w:num>
  <w:num w:numId="28">
    <w:abstractNumId w:val="12"/>
  </w:num>
  <w:num w:numId="29">
    <w:abstractNumId w:val="23"/>
  </w:num>
  <w:num w:numId="30">
    <w:abstractNumId w:val="8"/>
  </w:num>
  <w:num w:numId="31">
    <w:abstractNumId w:val="5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1"/>
  </w:num>
  <w:num w:numId="35">
    <w:abstractNumId w:val="31"/>
  </w:num>
  <w:num w:numId="36">
    <w:abstractNumId w:val="25"/>
  </w:num>
  <w:num w:numId="37">
    <w:abstractNumId w:val="16"/>
  </w:num>
  <w:num w:numId="38">
    <w:abstractNumId w:val="34"/>
  </w:num>
  <w:num w:numId="39">
    <w:abstractNumId w:val="33"/>
  </w:num>
  <w:num w:numId="40">
    <w:abstractNumId w:val="1"/>
  </w:num>
  <w:num w:numId="41">
    <w:abstractNumId w:val="35"/>
  </w:num>
  <w:num w:numId="42">
    <w:abstractNumId w:val="6"/>
  </w:num>
  <w:num w:numId="4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3BD6"/>
    <w:rsid w:val="000253E4"/>
    <w:rsid w:val="00030380"/>
    <w:rsid w:val="0003066C"/>
    <w:rsid w:val="00033397"/>
    <w:rsid w:val="00033FEC"/>
    <w:rsid w:val="00037748"/>
    <w:rsid w:val="00040095"/>
    <w:rsid w:val="00043DA2"/>
    <w:rsid w:val="00045430"/>
    <w:rsid w:val="00051834"/>
    <w:rsid w:val="000520EE"/>
    <w:rsid w:val="00053AA4"/>
    <w:rsid w:val="00053D4A"/>
    <w:rsid w:val="00054A22"/>
    <w:rsid w:val="00054F8C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07BC"/>
    <w:rsid w:val="0008621E"/>
    <w:rsid w:val="00087AFF"/>
    <w:rsid w:val="00087D4F"/>
    <w:rsid w:val="00090174"/>
    <w:rsid w:val="00090A02"/>
    <w:rsid w:val="00092400"/>
    <w:rsid w:val="000A6C31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278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45431"/>
    <w:rsid w:val="00150414"/>
    <w:rsid w:val="001521E2"/>
    <w:rsid w:val="00161CE3"/>
    <w:rsid w:val="00165B84"/>
    <w:rsid w:val="001708E8"/>
    <w:rsid w:val="001744A9"/>
    <w:rsid w:val="001749AF"/>
    <w:rsid w:val="00174F84"/>
    <w:rsid w:val="00175931"/>
    <w:rsid w:val="0017642C"/>
    <w:rsid w:val="001801B4"/>
    <w:rsid w:val="001855C6"/>
    <w:rsid w:val="00185D44"/>
    <w:rsid w:val="00187255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3AA5"/>
    <w:rsid w:val="001C4C76"/>
    <w:rsid w:val="001C6725"/>
    <w:rsid w:val="001C6E15"/>
    <w:rsid w:val="001D02C2"/>
    <w:rsid w:val="001D1F32"/>
    <w:rsid w:val="001D7E21"/>
    <w:rsid w:val="001E18A9"/>
    <w:rsid w:val="001E4B5D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3593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339"/>
    <w:rsid w:val="002B653F"/>
    <w:rsid w:val="002C0095"/>
    <w:rsid w:val="002D292F"/>
    <w:rsid w:val="002D4665"/>
    <w:rsid w:val="002D6306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375D"/>
    <w:rsid w:val="00344318"/>
    <w:rsid w:val="00344B6F"/>
    <w:rsid w:val="00346396"/>
    <w:rsid w:val="00351F59"/>
    <w:rsid w:val="00352556"/>
    <w:rsid w:val="00352FC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651E"/>
    <w:rsid w:val="0036707F"/>
    <w:rsid w:val="00372077"/>
    <w:rsid w:val="0037478D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2A0E"/>
    <w:rsid w:val="003C3971"/>
    <w:rsid w:val="003C7AA4"/>
    <w:rsid w:val="003D25E4"/>
    <w:rsid w:val="003D5242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4A63"/>
    <w:rsid w:val="00446BA4"/>
    <w:rsid w:val="00457756"/>
    <w:rsid w:val="00460979"/>
    <w:rsid w:val="00461F17"/>
    <w:rsid w:val="00462117"/>
    <w:rsid w:val="00462FC1"/>
    <w:rsid w:val="00465515"/>
    <w:rsid w:val="0046626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56DF"/>
    <w:rsid w:val="004A6B8E"/>
    <w:rsid w:val="004B4F52"/>
    <w:rsid w:val="004B62F4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26D4"/>
    <w:rsid w:val="00586CA3"/>
    <w:rsid w:val="00587614"/>
    <w:rsid w:val="00591DA1"/>
    <w:rsid w:val="00597B11"/>
    <w:rsid w:val="005A2C0F"/>
    <w:rsid w:val="005A4B47"/>
    <w:rsid w:val="005A7B69"/>
    <w:rsid w:val="005B000A"/>
    <w:rsid w:val="005B22A0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FDF"/>
    <w:rsid w:val="006159E8"/>
    <w:rsid w:val="006162EF"/>
    <w:rsid w:val="00617E29"/>
    <w:rsid w:val="006253B8"/>
    <w:rsid w:val="00625452"/>
    <w:rsid w:val="00627A0A"/>
    <w:rsid w:val="00632877"/>
    <w:rsid w:val="0063482C"/>
    <w:rsid w:val="0063543D"/>
    <w:rsid w:val="00646FD0"/>
    <w:rsid w:val="00647114"/>
    <w:rsid w:val="00650BB3"/>
    <w:rsid w:val="00651218"/>
    <w:rsid w:val="006549F3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288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D0173"/>
    <w:rsid w:val="006D02A7"/>
    <w:rsid w:val="006D180B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2588"/>
    <w:rsid w:val="007040BE"/>
    <w:rsid w:val="00705720"/>
    <w:rsid w:val="007059EA"/>
    <w:rsid w:val="00706485"/>
    <w:rsid w:val="007074FD"/>
    <w:rsid w:val="00712EC3"/>
    <w:rsid w:val="00713C44"/>
    <w:rsid w:val="00714A55"/>
    <w:rsid w:val="00717D7A"/>
    <w:rsid w:val="007207C1"/>
    <w:rsid w:val="00721B08"/>
    <w:rsid w:val="00724CA4"/>
    <w:rsid w:val="007331F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0E3D"/>
    <w:rsid w:val="00763E13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6A2B"/>
    <w:rsid w:val="007A3C52"/>
    <w:rsid w:val="007A46B6"/>
    <w:rsid w:val="007A6295"/>
    <w:rsid w:val="007B2495"/>
    <w:rsid w:val="007B600E"/>
    <w:rsid w:val="007B7E8F"/>
    <w:rsid w:val="007C32A6"/>
    <w:rsid w:val="007D1D31"/>
    <w:rsid w:val="007D3979"/>
    <w:rsid w:val="007D5C1F"/>
    <w:rsid w:val="007E120F"/>
    <w:rsid w:val="007E1CB8"/>
    <w:rsid w:val="007E24AF"/>
    <w:rsid w:val="007E38A2"/>
    <w:rsid w:val="007E38E2"/>
    <w:rsid w:val="007E4CA1"/>
    <w:rsid w:val="007E5F02"/>
    <w:rsid w:val="007E61D0"/>
    <w:rsid w:val="007E6F3D"/>
    <w:rsid w:val="007F060A"/>
    <w:rsid w:val="007F0F4A"/>
    <w:rsid w:val="007F1406"/>
    <w:rsid w:val="007F3585"/>
    <w:rsid w:val="007F49AE"/>
    <w:rsid w:val="007F4CAD"/>
    <w:rsid w:val="007F5C32"/>
    <w:rsid w:val="007F6374"/>
    <w:rsid w:val="007F6976"/>
    <w:rsid w:val="007F6AD0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211D"/>
    <w:rsid w:val="0083471D"/>
    <w:rsid w:val="00835354"/>
    <w:rsid w:val="00835E49"/>
    <w:rsid w:val="00836731"/>
    <w:rsid w:val="00837533"/>
    <w:rsid w:val="008418D0"/>
    <w:rsid w:val="008448F2"/>
    <w:rsid w:val="00847768"/>
    <w:rsid w:val="008528B7"/>
    <w:rsid w:val="00852EDF"/>
    <w:rsid w:val="0085446A"/>
    <w:rsid w:val="00855AB0"/>
    <w:rsid w:val="0086323A"/>
    <w:rsid w:val="008635DF"/>
    <w:rsid w:val="00864307"/>
    <w:rsid w:val="00864DD3"/>
    <w:rsid w:val="00864FA4"/>
    <w:rsid w:val="00865FF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96A"/>
    <w:rsid w:val="008C7A8A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327A"/>
    <w:rsid w:val="009232FB"/>
    <w:rsid w:val="009300D9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C68F7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B7E"/>
    <w:rsid w:val="00A35F38"/>
    <w:rsid w:val="00A362FD"/>
    <w:rsid w:val="00A36519"/>
    <w:rsid w:val="00A37D7D"/>
    <w:rsid w:val="00A40126"/>
    <w:rsid w:val="00A42238"/>
    <w:rsid w:val="00A43B43"/>
    <w:rsid w:val="00A442FE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0A66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15E2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845"/>
    <w:rsid w:val="00AF7B19"/>
    <w:rsid w:val="00B12F64"/>
    <w:rsid w:val="00B15449"/>
    <w:rsid w:val="00B15883"/>
    <w:rsid w:val="00B24B03"/>
    <w:rsid w:val="00B271FA"/>
    <w:rsid w:val="00B3024F"/>
    <w:rsid w:val="00B32211"/>
    <w:rsid w:val="00B339B8"/>
    <w:rsid w:val="00B413A1"/>
    <w:rsid w:val="00B4304E"/>
    <w:rsid w:val="00B47018"/>
    <w:rsid w:val="00B609D3"/>
    <w:rsid w:val="00B628A9"/>
    <w:rsid w:val="00B7151B"/>
    <w:rsid w:val="00B718EE"/>
    <w:rsid w:val="00B73A47"/>
    <w:rsid w:val="00B74CF7"/>
    <w:rsid w:val="00B7697F"/>
    <w:rsid w:val="00B81D4F"/>
    <w:rsid w:val="00B81D82"/>
    <w:rsid w:val="00B84ACF"/>
    <w:rsid w:val="00B84BB4"/>
    <w:rsid w:val="00B857C3"/>
    <w:rsid w:val="00B85B6A"/>
    <w:rsid w:val="00B904CE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06BD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40F2"/>
    <w:rsid w:val="00C45231"/>
    <w:rsid w:val="00C46B45"/>
    <w:rsid w:val="00C47692"/>
    <w:rsid w:val="00C5060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59B"/>
    <w:rsid w:val="00CE7ECD"/>
    <w:rsid w:val="00CF0950"/>
    <w:rsid w:val="00CF2A0A"/>
    <w:rsid w:val="00CF38D0"/>
    <w:rsid w:val="00CF4E26"/>
    <w:rsid w:val="00CF630B"/>
    <w:rsid w:val="00CF662C"/>
    <w:rsid w:val="00CF77F0"/>
    <w:rsid w:val="00D0320D"/>
    <w:rsid w:val="00D07682"/>
    <w:rsid w:val="00D15DCA"/>
    <w:rsid w:val="00D16ACE"/>
    <w:rsid w:val="00D17838"/>
    <w:rsid w:val="00D2092F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2815"/>
    <w:rsid w:val="00D53E8B"/>
    <w:rsid w:val="00D53FA6"/>
    <w:rsid w:val="00D5548E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2031"/>
    <w:rsid w:val="00D8371F"/>
    <w:rsid w:val="00D84DF3"/>
    <w:rsid w:val="00D87E00"/>
    <w:rsid w:val="00D90088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DA2"/>
    <w:rsid w:val="00DC61F1"/>
    <w:rsid w:val="00DD4C17"/>
    <w:rsid w:val="00DD4D71"/>
    <w:rsid w:val="00DD5AD3"/>
    <w:rsid w:val="00DD74A5"/>
    <w:rsid w:val="00DE13B7"/>
    <w:rsid w:val="00DE7B52"/>
    <w:rsid w:val="00DF1837"/>
    <w:rsid w:val="00DF2B1F"/>
    <w:rsid w:val="00DF62CD"/>
    <w:rsid w:val="00DF769E"/>
    <w:rsid w:val="00E04A4C"/>
    <w:rsid w:val="00E06B2D"/>
    <w:rsid w:val="00E10564"/>
    <w:rsid w:val="00E16509"/>
    <w:rsid w:val="00E21EC2"/>
    <w:rsid w:val="00E27B82"/>
    <w:rsid w:val="00E3391E"/>
    <w:rsid w:val="00E37004"/>
    <w:rsid w:val="00E378FD"/>
    <w:rsid w:val="00E40FE5"/>
    <w:rsid w:val="00E44582"/>
    <w:rsid w:val="00E47839"/>
    <w:rsid w:val="00E626BD"/>
    <w:rsid w:val="00E62A95"/>
    <w:rsid w:val="00E701F4"/>
    <w:rsid w:val="00E77340"/>
    <w:rsid w:val="00E77345"/>
    <w:rsid w:val="00E77645"/>
    <w:rsid w:val="00E77762"/>
    <w:rsid w:val="00E81DD9"/>
    <w:rsid w:val="00E82166"/>
    <w:rsid w:val="00E8219B"/>
    <w:rsid w:val="00E833C6"/>
    <w:rsid w:val="00E863AE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0F79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57C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86A12"/>
    <w:rsid w:val="00F9008D"/>
    <w:rsid w:val="00F904DF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C4054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8C596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8C59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59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C596A"/>
    <w:pPr>
      <w:outlineLvl w:val="5"/>
    </w:pPr>
  </w:style>
  <w:style w:type="paragraph" w:styleId="Heading7">
    <w:name w:val="heading 7"/>
    <w:basedOn w:val="H6"/>
    <w:next w:val="Normal"/>
    <w:qFormat/>
    <w:rsid w:val="008C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59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eastAsia="SimSun" w:hAnsi="Arial"/>
      <w:sz w:val="36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eastAsia="SimSun" w:hAnsi="Arial"/>
      <w:sz w:val="32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262AE6"/>
    <w:rPr>
      <w:rFonts w:ascii="Arial" w:eastAsia="SimSu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eastAsia="SimSun" w:hAnsi="Arial"/>
      <w:sz w:val="24"/>
    </w:rPr>
  </w:style>
  <w:style w:type="character" w:customStyle="1" w:styleId="Heading5Char">
    <w:name w:val="Heading 5 Char"/>
    <w:link w:val="Heading5"/>
    <w:rsid w:val="00262AE6"/>
    <w:rPr>
      <w:rFonts w:ascii="Arial" w:eastAsia="SimSun" w:hAnsi="Arial"/>
      <w:sz w:val="22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62AE6"/>
    <w:rPr>
      <w:rFonts w:ascii="Arial" w:eastAsia="SimSun" w:hAnsi="Arial"/>
    </w:rPr>
  </w:style>
  <w:style w:type="character" w:customStyle="1" w:styleId="Heading8Char">
    <w:name w:val="Heading 8 Char"/>
    <w:link w:val="Heading8"/>
    <w:rsid w:val="00262AE6"/>
    <w:rPr>
      <w:rFonts w:ascii="Arial" w:eastAsia="SimSun" w:hAnsi="Arial"/>
      <w:sz w:val="36"/>
    </w:rPr>
  </w:style>
  <w:style w:type="character" w:customStyle="1" w:styleId="Heading9Char">
    <w:name w:val="Heading 9 Char"/>
    <w:link w:val="Heading9"/>
    <w:rsid w:val="00262AE6"/>
    <w:rPr>
      <w:rFonts w:ascii="Arial" w:eastAsia="SimSun" w:hAnsi="Arial"/>
      <w:sz w:val="36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</w:style>
  <w:style w:type="paragraph" w:customStyle="1" w:styleId="INDENT2">
    <w:name w:val="INDENT2"/>
    <w:basedOn w:val="Normal"/>
    <w:rsid w:val="00262AE6"/>
    <w:pPr>
      <w:ind w:left="1135" w:hanging="284"/>
    </w:pPr>
  </w:style>
  <w:style w:type="paragraph" w:customStyle="1" w:styleId="INDENT3">
    <w:name w:val="INDENT3"/>
    <w:basedOn w:val="Normal"/>
    <w:rsid w:val="00262AE6"/>
    <w:pPr>
      <w:ind w:left="1701" w:hanging="567"/>
    </w:p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semiHidden/>
    <w:unhideWhenUsed/>
    <w:qFormat/>
    <w:rsid w:val="00262AE6"/>
    <w:rPr>
      <w:rFonts w:asciiTheme="majorHAnsi" w:eastAsia="SimHei" w:hAnsiTheme="majorHAnsi" w:cstheme="majorBidi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semiHidden/>
    <w:rsid w:val="00262AE6"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rsid w:val="00262AE6"/>
  </w:style>
  <w:style w:type="character" w:customStyle="1" w:styleId="BodyTextChar">
    <w:name w:val="Body Text Char"/>
    <w:aliases w:val="bt Char"/>
    <w:basedOn w:val="DefaultParagraphFont"/>
    <w:link w:val="BodyText"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rsid w:val="00262AE6"/>
    <w:pPr>
      <w:widowControl w:val="0"/>
      <w:jc w:val="both"/>
    </w:pPr>
    <w:rPr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1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Normal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uiPriority w:val="20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SubtleEmphasis">
    <w:name w:val="Subtle Emphasis"/>
    <w:basedOn w:val="DefaultParagraphFont"/>
    <w:uiPriority w:val="19"/>
    <w:qFormat/>
    <w:rsid w:val="008C596A"/>
    <w:rPr>
      <w:i/>
      <w:iCs/>
      <w:color w:val="404040" w:themeColor="text1" w:themeTint="BF"/>
    </w:rPr>
  </w:style>
  <w:style w:type="character" w:customStyle="1" w:styleId="ListParagraphChar1">
    <w:name w:val="List Paragraph Char1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목록 단락 Char"/>
    <w:link w:val="ListParagraph"/>
    <w:uiPriority w:val="34"/>
    <w:qFormat/>
    <w:locked/>
    <w:rsid w:val="00D8371F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536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9189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8566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1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6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15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588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57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9BE79-86F9-414E-B3A0-57CC7667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</cp:lastModifiedBy>
  <cp:revision>11</cp:revision>
  <cp:lastPrinted>2019-02-25T13:05:00Z</cp:lastPrinted>
  <dcterms:created xsi:type="dcterms:W3CDTF">2022-09-05T14:20:00Z</dcterms:created>
  <dcterms:modified xsi:type="dcterms:W3CDTF">2022-09-05T16:32:00Z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(3)G9EMU8qDmtoSq80+WmLItBWZ4vSgqAlNHW49FAqghs8hOYMAnD662aqLq6Eoc3DCNiuyMGnO
3hkWlpSlxIbT+KcrIrv7kulSsYEVSL2r0C+Tlw/5kCE5tksJrl5COCQLhRXnqEWuEZCFsPIb
oO44spcTC0PTdNjD1lqX4Q4ndDzXTJHKDLv3WQiG4LYvB1wGhHmR929wxxUqMv0TGpauS53I
b7xEI+x/xVWpTDvND4</vt:lpwstr>
  </property>
  <property fmtid="{D5CDD505-2E9C-101B-9397-08002B2CF9AE}" pid="3" name="_2015_ms_pID_7253431">
    <vt:lpwstr>+lniYX+HoNUWSt5MplY/mVUSw4om/dxc/zZRnFln8VmNNR2WAvVUvx
wKTyo2rAjXdY9A6k+NByxQI5FT9kDOhaO5mPmKXxs6DZDIE2GGTvIdlpTk4GKJAMHTvoT+2i
bP4ybPHgEZslGeIkhPqGlWsUIoVKfhPTxIGiuLSB5FtCoOgc0F11PG5SbencmaRuO+fAIt1r
N9H2ZhehyDGniSGOCWWYA7wH9snD8t+BBM67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1662359049</vt:lpwstr>
  </property>
</Properties>
</file>