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D2FD" w14:textId="51DE66D5" w:rsidR="00D7126A" w:rsidRPr="005658B6" w:rsidRDefault="00D7126A" w:rsidP="00D7126A">
      <w:pPr>
        <w:pStyle w:val="Header"/>
        <w:tabs>
          <w:tab w:val="left" w:pos="8222"/>
        </w:tabs>
        <w:rPr>
          <w:rFonts w:cs="Arial"/>
          <w:bCs/>
          <w:sz w:val="24"/>
        </w:rPr>
      </w:pPr>
      <w:bookmarkStart w:id="0" w:name="_Hlk772559"/>
      <w:bookmarkStart w:id="1" w:name="_Hlk4135959"/>
      <w:r w:rsidRPr="005658B6">
        <w:rPr>
          <w:rFonts w:cs="Arial"/>
          <w:bCs/>
          <w:sz w:val="24"/>
        </w:rPr>
        <w:t>3GPP TSG RAN Meeting #</w:t>
      </w:r>
      <w:r w:rsidR="00FE35B3">
        <w:rPr>
          <w:rFonts w:cs="Arial"/>
          <w:bCs/>
          <w:sz w:val="24"/>
        </w:rPr>
        <w:t>97</w:t>
      </w:r>
      <w:r w:rsidR="0082152E">
        <w:rPr>
          <w:rFonts w:cs="Arial"/>
          <w:bCs/>
          <w:sz w:val="24"/>
        </w:rPr>
        <w:t>-</w:t>
      </w:r>
      <w:r w:rsidR="00FE35B3">
        <w:rPr>
          <w:rFonts w:cs="Arial"/>
          <w:bCs/>
          <w:sz w:val="24"/>
        </w:rPr>
        <w:t>e</w:t>
      </w:r>
      <w:r w:rsidRPr="005658B6">
        <w:rPr>
          <w:rFonts w:cs="Arial"/>
          <w:bCs/>
          <w:sz w:val="24"/>
        </w:rPr>
        <w:tab/>
      </w:r>
      <w:r w:rsidR="003A5DCC">
        <w:rPr>
          <w:rFonts w:cs="Arial"/>
          <w:bCs/>
          <w:sz w:val="24"/>
        </w:rPr>
        <w:tab/>
      </w:r>
      <w:r w:rsidR="003A5DCC">
        <w:rPr>
          <w:rFonts w:cs="Arial"/>
          <w:bCs/>
          <w:sz w:val="24"/>
        </w:rPr>
        <w:tab/>
      </w:r>
      <w:r w:rsidRPr="005658B6">
        <w:rPr>
          <w:rFonts w:cs="Arial"/>
          <w:bCs/>
          <w:sz w:val="24"/>
        </w:rPr>
        <w:t>R</w:t>
      </w:r>
      <w:r w:rsidR="00982C98">
        <w:rPr>
          <w:rFonts w:cs="Arial"/>
          <w:bCs/>
          <w:sz w:val="24"/>
        </w:rPr>
        <w:t>P</w:t>
      </w:r>
      <w:r w:rsidRPr="005658B6">
        <w:rPr>
          <w:rFonts w:cs="Arial"/>
          <w:bCs/>
          <w:sz w:val="24"/>
        </w:rPr>
        <w:t>-22</w:t>
      </w:r>
      <w:r w:rsidR="006A3C00">
        <w:rPr>
          <w:rFonts w:cs="Arial"/>
          <w:bCs/>
          <w:sz w:val="24"/>
        </w:rPr>
        <w:t>2167</w:t>
      </w:r>
    </w:p>
    <w:bookmarkEnd w:id="0"/>
    <w:p w14:paraId="5A801F0E" w14:textId="44F34FEF" w:rsidR="00D7126A" w:rsidRPr="005658B6" w:rsidRDefault="00FF1447" w:rsidP="00D7126A">
      <w:pPr>
        <w:pStyle w:val="Header"/>
        <w:rPr>
          <w:rFonts w:cs="Arial"/>
          <w:bCs/>
          <w:sz w:val="24"/>
        </w:rPr>
      </w:pPr>
      <w:r w:rsidRPr="00FF1447">
        <w:rPr>
          <w:rFonts w:cs="Arial"/>
          <w:bCs/>
          <w:sz w:val="24"/>
        </w:rPr>
        <w:t>Electronic Meeting, September 12-16, 2022</w:t>
      </w:r>
    </w:p>
    <w:p w14:paraId="012CB625" w14:textId="77777777" w:rsidR="00C7199C" w:rsidRPr="005658B6" w:rsidRDefault="00C7199C" w:rsidP="00C7199C">
      <w:pPr>
        <w:pStyle w:val="Header"/>
        <w:rPr>
          <w:rFonts w:cs="Arial"/>
          <w:bCs/>
          <w:noProof w:val="0"/>
          <w:sz w:val="24"/>
          <w:lang w:eastAsia="ja-JP"/>
        </w:rPr>
      </w:pPr>
    </w:p>
    <w:p w14:paraId="2B544DEF" w14:textId="37BBADA6" w:rsidR="00C7199C" w:rsidRPr="005658B6" w:rsidRDefault="00C7199C" w:rsidP="00C7199C">
      <w:pPr>
        <w:pStyle w:val="CRCoverPage"/>
        <w:rPr>
          <w:rFonts w:cs="Arial"/>
          <w:b/>
          <w:bCs/>
          <w:sz w:val="24"/>
          <w:lang w:val="en-US" w:eastAsia="ja-JP"/>
        </w:rPr>
      </w:pPr>
      <w:r w:rsidRPr="005658B6">
        <w:rPr>
          <w:rFonts w:cs="Arial"/>
          <w:b/>
          <w:bCs/>
          <w:sz w:val="24"/>
          <w:lang w:val="en-US"/>
        </w:rPr>
        <w:t>Agenda item:</w:t>
      </w:r>
      <w:r w:rsidRPr="005658B6">
        <w:rPr>
          <w:rFonts w:cs="Arial"/>
          <w:b/>
          <w:bCs/>
          <w:sz w:val="24"/>
          <w:lang w:val="en-US"/>
        </w:rPr>
        <w:tab/>
      </w:r>
      <w:r w:rsidRPr="005658B6">
        <w:rPr>
          <w:rFonts w:cs="Arial"/>
          <w:b/>
          <w:bCs/>
          <w:sz w:val="24"/>
          <w:lang w:val="en-US"/>
        </w:rPr>
        <w:tab/>
      </w:r>
      <w:r w:rsidR="009269B1">
        <w:rPr>
          <w:rFonts w:cs="Arial"/>
          <w:b/>
          <w:bCs/>
          <w:sz w:val="24"/>
          <w:lang w:val="en-US"/>
        </w:rPr>
        <w:t>9.2.10</w:t>
      </w:r>
    </w:p>
    <w:p w14:paraId="5C3E8EE8" w14:textId="77777777" w:rsidR="00C7199C" w:rsidRPr="005658B6" w:rsidRDefault="00C7199C" w:rsidP="00C7199C">
      <w:pPr>
        <w:tabs>
          <w:tab w:val="left" w:pos="1985"/>
        </w:tabs>
        <w:ind w:left="1985" w:hanging="1985"/>
        <w:rPr>
          <w:rFonts w:ascii="Arial" w:hAnsi="Arial" w:cs="Arial"/>
          <w:b/>
          <w:bCs/>
          <w:sz w:val="24"/>
        </w:rPr>
      </w:pPr>
      <w:r w:rsidRPr="005658B6">
        <w:rPr>
          <w:rFonts w:ascii="Arial" w:hAnsi="Arial" w:cs="Arial"/>
          <w:b/>
          <w:bCs/>
          <w:sz w:val="24"/>
        </w:rPr>
        <w:t>Source:</w:t>
      </w:r>
      <w:r w:rsidRPr="005658B6">
        <w:rPr>
          <w:rFonts w:ascii="Arial" w:hAnsi="Arial" w:cs="Arial"/>
          <w:b/>
          <w:bCs/>
          <w:sz w:val="24"/>
        </w:rPr>
        <w:tab/>
      </w:r>
      <w:bookmarkStart w:id="2" w:name="OLE_LINK1"/>
      <w:bookmarkStart w:id="3" w:name="OLE_LINK2"/>
      <w:r w:rsidR="008F23B9" w:rsidRPr="005658B6">
        <w:rPr>
          <w:rFonts w:ascii="Arial" w:hAnsi="Arial" w:cs="Arial"/>
          <w:b/>
          <w:bCs/>
          <w:sz w:val="24"/>
        </w:rPr>
        <w:t>Nokia</w:t>
      </w:r>
      <w:bookmarkEnd w:id="2"/>
      <w:bookmarkEnd w:id="3"/>
      <w:r w:rsidR="00F26BB8" w:rsidRPr="005658B6">
        <w:rPr>
          <w:rFonts w:ascii="Arial" w:hAnsi="Arial" w:cs="Arial"/>
          <w:b/>
          <w:bCs/>
          <w:sz w:val="24"/>
        </w:rPr>
        <w:t xml:space="preserve">, </w:t>
      </w:r>
      <w:r w:rsidR="00E63333" w:rsidRPr="005658B6">
        <w:rPr>
          <w:rFonts w:ascii="Arial" w:hAnsi="Arial" w:cs="Arial"/>
          <w:b/>
          <w:bCs/>
          <w:sz w:val="24"/>
        </w:rPr>
        <w:t>Nokia</w:t>
      </w:r>
      <w:r w:rsidR="00573C7E" w:rsidRPr="005658B6">
        <w:rPr>
          <w:rFonts w:ascii="Arial" w:hAnsi="Arial" w:cs="Arial"/>
          <w:b/>
          <w:bCs/>
          <w:sz w:val="24"/>
        </w:rPr>
        <w:t xml:space="preserve"> Shanghai Bell</w:t>
      </w:r>
    </w:p>
    <w:p w14:paraId="66FD51C1" w14:textId="35FF0F9E" w:rsidR="00C7199C" w:rsidRPr="005658B6" w:rsidRDefault="00C7199C" w:rsidP="00C7199C">
      <w:pPr>
        <w:ind w:left="1985" w:hanging="1985"/>
        <w:rPr>
          <w:rFonts w:ascii="Arial" w:hAnsi="Arial" w:cs="Arial"/>
          <w:b/>
          <w:bCs/>
          <w:sz w:val="24"/>
        </w:rPr>
      </w:pPr>
      <w:r w:rsidRPr="005658B6">
        <w:rPr>
          <w:rFonts w:ascii="Arial" w:hAnsi="Arial" w:cs="Arial"/>
          <w:b/>
          <w:bCs/>
          <w:sz w:val="24"/>
        </w:rPr>
        <w:t>Title:</w:t>
      </w:r>
      <w:r w:rsidRPr="005658B6">
        <w:rPr>
          <w:rFonts w:ascii="Arial" w:hAnsi="Arial" w:cs="Arial"/>
          <w:b/>
          <w:bCs/>
          <w:sz w:val="24"/>
        </w:rPr>
        <w:tab/>
      </w:r>
      <w:r w:rsidR="009269B1">
        <w:rPr>
          <w:rFonts w:ascii="Arial" w:hAnsi="Arial" w:cs="Arial"/>
          <w:b/>
          <w:bCs/>
          <w:sz w:val="24"/>
        </w:rPr>
        <w:t>Discussion on further RedCap</w:t>
      </w:r>
      <w:r w:rsidR="00C86F22">
        <w:rPr>
          <w:rFonts w:ascii="Arial" w:hAnsi="Arial" w:cs="Arial"/>
          <w:b/>
          <w:bCs/>
          <w:sz w:val="24"/>
        </w:rPr>
        <w:t xml:space="preserve"> </w:t>
      </w:r>
      <w:r w:rsidR="00C74183">
        <w:rPr>
          <w:rFonts w:ascii="Arial" w:hAnsi="Arial" w:cs="Arial"/>
          <w:b/>
          <w:bCs/>
          <w:sz w:val="24"/>
        </w:rPr>
        <w:t xml:space="preserve">UE </w:t>
      </w:r>
      <w:r w:rsidR="00C86F22">
        <w:rPr>
          <w:rFonts w:ascii="Arial" w:hAnsi="Arial" w:cs="Arial"/>
          <w:b/>
          <w:bCs/>
          <w:sz w:val="24"/>
        </w:rPr>
        <w:t>complexity reduction</w:t>
      </w:r>
    </w:p>
    <w:p w14:paraId="1F3637D3" w14:textId="4CEBA7DE" w:rsidR="0034111C" w:rsidRPr="005658B6" w:rsidRDefault="00C100BF" w:rsidP="00C7199C">
      <w:pPr>
        <w:rPr>
          <w:rFonts w:ascii="Arial" w:hAnsi="Arial" w:cs="Arial"/>
          <w:b/>
          <w:bCs/>
          <w:sz w:val="24"/>
        </w:rPr>
      </w:pPr>
      <w:r w:rsidRPr="005658B6">
        <w:rPr>
          <w:rFonts w:ascii="Arial" w:hAnsi="Arial" w:cs="Arial"/>
          <w:b/>
          <w:bCs/>
          <w:sz w:val="24"/>
        </w:rPr>
        <w:t>Document for:</w:t>
      </w:r>
      <w:r w:rsidRPr="005658B6">
        <w:rPr>
          <w:rFonts w:ascii="Arial" w:hAnsi="Arial" w:cs="Arial"/>
          <w:b/>
          <w:bCs/>
          <w:sz w:val="24"/>
        </w:rPr>
        <w:tab/>
      </w:r>
      <w:r w:rsidRPr="005658B6">
        <w:rPr>
          <w:rFonts w:ascii="Arial" w:hAnsi="Arial" w:cs="Arial"/>
          <w:b/>
          <w:bCs/>
          <w:sz w:val="24"/>
        </w:rPr>
        <w:tab/>
        <w:t>D</w:t>
      </w:r>
      <w:r w:rsidR="00283A96" w:rsidRPr="005658B6">
        <w:rPr>
          <w:rFonts w:ascii="Arial" w:hAnsi="Arial" w:cs="Arial"/>
          <w:b/>
          <w:bCs/>
          <w:sz w:val="24"/>
        </w:rPr>
        <w:t>iscussion and Decision</w:t>
      </w:r>
      <w:bookmarkEnd w:id="1"/>
    </w:p>
    <w:p w14:paraId="7E0863E7" w14:textId="77777777" w:rsidR="0074681D" w:rsidRPr="00E71E0B" w:rsidRDefault="0074681D" w:rsidP="00E93A71">
      <w:pPr>
        <w:pStyle w:val="Heading1"/>
        <w:tabs>
          <w:tab w:val="clear" w:pos="1134"/>
          <w:tab w:val="num" w:pos="709"/>
        </w:tabs>
        <w:ind w:left="709" w:hanging="709"/>
        <w:rPr>
          <w:rFonts w:cs="Arial"/>
          <w:lang w:val="en-US"/>
        </w:rPr>
      </w:pPr>
      <w:r w:rsidRPr="00E71E0B">
        <w:rPr>
          <w:rFonts w:cs="Arial"/>
          <w:lang w:val="en-US"/>
        </w:rPr>
        <w:t>Introduction</w:t>
      </w:r>
    </w:p>
    <w:p w14:paraId="1C0F199E" w14:textId="2B0B25F1" w:rsidR="004772C9" w:rsidRPr="003D3615" w:rsidRDefault="00422FD7" w:rsidP="00783BCB">
      <w:pPr>
        <w:pStyle w:val="ListParagraph"/>
        <w:spacing w:before="240" w:after="120"/>
        <w:ind w:left="0"/>
        <w:contextualSpacing w:val="0"/>
        <w:jc w:val="both"/>
        <w:rPr>
          <w:rFonts w:ascii="Times New Roman" w:eastAsia="MS Mincho" w:hAnsi="Times New Roman" w:cs="Times New Roman"/>
          <w:sz w:val="20"/>
          <w:szCs w:val="20"/>
        </w:rPr>
      </w:pPr>
      <w:bookmarkStart w:id="4" w:name="_Hlk525462591"/>
      <w:r w:rsidRPr="003D3615">
        <w:rPr>
          <w:rFonts w:ascii="Times New Roman" w:eastAsia="MS Mincho" w:hAnsi="Times New Roman" w:cs="Times New Roman"/>
          <w:sz w:val="20"/>
          <w:szCs w:val="20"/>
        </w:rPr>
        <w:t xml:space="preserve">In this contribution, we address </w:t>
      </w:r>
      <w:r w:rsidR="00607E72">
        <w:rPr>
          <w:rFonts w:ascii="Times New Roman" w:eastAsia="MS Mincho" w:hAnsi="Times New Roman" w:cs="Times New Roman"/>
          <w:sz w:val="20"/>
          <w:szCs w:val="20"/>
        </w:rPr>
        <w:t xml:space="preserve">the WI scope on further RedCap </w:t>
      </w:r>
      <w:r w:rsidR="00025C93">
        <w:rPr>
          <w:rFonts w:ascii="Times New Roman" w:eastAsia="MS Mincho" w:hAnsi="Times New Roman" w:cs="Times New Roman"/>
          <w:sz w:val="20"/>
          <w:szCs w:val="20"/>
        </w:rPr>
        <w:t xml:space="preserve">UE </w:t>
      </w:r>
      <w:r w:rsidR="00607E72">
        <w:rPr>
          <w:rFonts w:ascii="Times New Roman" w:eastAsia="MS Mincho" w:hAnsi="Times New Roman" w:cs="Times New Roman"/>
          <w:sz w:val="20"/>
          <w:szCs w:val="20"/>
        </w:rPr>
        <w:t>complexity reduction</w:t>
      </w:r>
      <w:r w:rsidRPr="003D3615">
        <w:rPr>
          <w:rFonts w:ascii="Times New Roman" w:hAnsi="Times New Roman" w:cs="Times New Roman"/>
          <w:sz w:val="20"/>
          <w:szCs w:val="20"/>
        </w:rPr>
        <w:t>.</w:t>
      </w:r>
      <w:bookmarkEnd w:id="4"/>
    </w:p>
    <w:p w14:paraId="46C46C7F" w14:textId="5E6A8573" w:rsidR="0047552A" w:rsidRPr="00E71E0B" w:rsidRDefault="007D7D02" w:rsidP="00FD56D1">
      <w:pPr>
        <w:pStyle w:val="Heading1"/>
        <w:tabs>
          <w:tab w:val="clear" w:pos="1134"/>
          <w:tab w:val="num" w:pos="709"/>
        </w:tabs>
        <w:ind w:left="709" w:hanging="709"/>
        <w:rPr>
          <w:rFonts w:cs="Arial"/>
          <w:lang w:val="en-US"/>
        </w:rPr>
      </w:pPr>
      <w:bookmarkStart w:id="5" w:name="_Hlk4137067"/>
      <w:bookmarkStart w:id="6" w:name="_Hlk520894743"/>
      <w:bookmarkStart w:id="7" w:name="_Hlk7596973"/>
      <w:r>
        <w:rPr>
          <w:rFonts w:cs="Arial"/>
          <w:lang w:val="en-US"/>
        </w:rPr>
        <w:t>Study Item Recommendations</w:t>
      </w:r>
    </w:p>
    <w:p w14:paraId="5B4A9E00" w14:textId="65DEF721" w:rsidR="00AB09F9" w:rsidRDefault="003E20E0" w:rsidP="007E547C">
      <w:pPr>
        <w:spacing w:after="0"/>
        <w:jc w:val="both"/>
        <w:rPr>
          <w:rFonts w:ascii="Times New Roman" w:hAnsi="Times New Roman" w:cs="Times New Roman"/>
          <w:sz w:val="20"/>
          <w:szCs w:val="20"/>
          <w:lang w:eastAsia="en-GB"/>
        </w:rPr>
      </w:pPr>
      <w:r>
        <w:rPr>
          <w:rFonts w:ascii="Times New Roman" w:hAnsi="Times New Roman" w:cs="Times New Roman"/>
          <w:sz w:val="20"/>
          <w:szCs w:val="20"/>
          <w:lang w:eastAsia="en-GB"/>
        </w:rPr>
        <w:t>In RAN1#110, t</w:t>
      </w:r>
      <w:r w:rsidR="00254631">
        <w:rPr>
          <w:rFonts w:ascii="Times New Roman" w:hAnsi="Times New Roman" w:cs="Times New Roman"/>
          <w:sz w:val="20"/>
          <w:szCs w:val="20"/>
          <w:lang w:eastAsia="en-GB"/>
        </w:rPr>
        <w:t xml:space="preserve">he following </w:t>
      </w:r>
      <w:r w:rsidR="00D31600">
        <w:rPr>
          <w:rFonts w:ascii="Times New Roman" w:hAnsi="Times New Roman" w:cs="Times New Roman"/>
          <w:sz w:val="20"/>
          <w:szCs w:val="20"/>
          <w:lang w:eastAsia="en-GB"/>
        </w:rPr>
        <w:t xml:space="preserve">recommendations for the Rel-18 </w:t>
      </w:r>
      <w:r w:rsidR="00D31600" w:rsidRPr="0086268D">
        <w:rPr>
          <w:rFonts w:ascii="Times New Roman" w:hAnsi="Times New Roman" w:cs="Times New Roman"/>
          <w:sz w:val="20"/>
          <w:szCs w:val="20"/>
          <w:lang w:eastAsia="en-GB"/>
        </w:rPr>
        <w:t xml:space="preserve">further RedCap complexity reduction </w:t>
      </w:r>
      <w:r w:rsidR="00D31600">
        <w:rPr>
          <w:rFonts w:ascii="Times New Roman" w:hAnsi="Times New Roman" w:cs="Times New Roman"/>
          <w:sz w:val="20"/>
          <w:szCs w:val="20"/>
          <w:lang w:eastAsia="en-GB"/>
        </w:rPr>
        <w:t>study item were endorsed –</w:t>
      </w:r>
    </w:p>
    <w:p w14:paraId="35BB9E48" w14:textId="77777777" w:rsidR="0023685F" w:rsidRDefault="0023685F" w:rsidP="007E547C">
      <w:pPr>
        <w:spacing w:after="0"/>
        <w:jc w:val="both"/>
        <w:rPr>
          <w:rFonts w:ascii="Times New Roman" w:hAnsi="Times New Roman" w:cs="Times New Roman"/>
          <w:sz w:val="20"/>
          <w:szCs w:val="20"/>
          <w:lang w:eastAsia="en-GB"/>
        </w:rPr>
      </w:pPr>
    </w:p>
    <w:p w14:paraId="61A40E2F" w14:textId="734C9745" w:rsidR="00CD2C2C" w:rsidRPr="00CD2C2C" w:rsidRDefault="00CD2C2C" w:rsidP="00CD2C2C">
      <w:pPr>
        <w:rPr>
          <w:rFonts w:ascii="Times New Roman" w:eastAsia="Batang" w:hAnsi="Times New Roman" w:cs="Times New Roman"/>
          <w:sz w:val="20"/>
          <w:szCs w:val="20"/>
        </w:rPr>
      </w:pPr>
      <w:r w:rsidRPr="00CD2C2C">
        <w:rPr>
          <w:rFonts w:ascii="Times New Roman" w:hAnsi="Times New Roman" w:cs="Times New Roman"/>
          <w:sz w:val="20"/>
          <w:szCs w:val="20"/>
        </w:rPr>
        <w:t>Based on the analysis of the studied UE complexity reduction options, most companies in RAN1 recommend that a single option is down-selected from a list of options as the main Rel-18 RedCap UE complexity reduction option at RAN plenary. The list includes the following options.</w:t>
      </w:r>
    </w:p>
    <w:p w14:paraId="6DC0FD9C" w14:textId="77777777" w:rsidR="00CD2C2C" w:rsidRPr="00CD2C2C" w:rsidRDefault="00CD2C2C" w:rsidP="00CD2C2C">
      <w:pPr>
        <w:pStyle w:val="ListParagraph"/>
        <w:numPr>
          <w:ilvl w:val="0"/>
          <w:numId w:val="12"/>
        </w:numPr>
        <w:spacing w:after="180" w:line="252" w:lineRule="auto"/>
        <w:jc w:val="both"/>
        <w:rPr>
          <w:rFonts w:ascii="Times New Roman" w:hAnsi="Times New Roman" w:cs="Times New Roman"/>
          <w:sz w:val="20"/>
          <w:szCs w:val="20"/>
        </w:rPr>
      </w:pPr>
      <w:r w:rsidRPr="00CD2C2C">
        <w:rPr>
          <w:rFonts w:ascii="Times New Roman" w:hAnsi="Times New Roman" w:cs="Times New Roman"/>
          <w:sz w:val="20"/>
          <w:szCs w:val="20"/>
        </w:rPr>
        <w:t>Option BW3:</w:t>
      </w:r>
    </w:p>
    <w:p w14:paraId="1FCE3007" w14:textId="77777777" w:rsidR="00CD2C2C" w:rsidRPr="00CD2C2C" w:rsidRDefault="00CD2C2C" w:rsidP="00CD2C2C">
      <w:pPr>
        <w:pStyle w:val="ListParagraph"/>
        <w:numPr>
          <w:ilvl w:val="1"/>
          <w:numId w:val="12"/>
        </w:numPr>
        <w:spacing w:after="180" w:line="252" w:lineRule="auto"/>
        <w:jc w:val="both"/>
        <w:rPr>
          <w:rFonts w:ascii="Times New Roman" w:hAnsi="Times New Roman" w:cs="Times New Roman"/>
          <w:sz w:val="20"/>
          <w:szCs w:val="20"/>
        </w:rPr>
      </w:pPr>
      <w:r w:rsidRPr="00CD2C2C">
        <w:rPr>
          <w:rFonts w:ascii="Times New Roman" w:hAnsi="Times New Roman" w:cs="Times New Roman"/>
          <w:sz w:val="20"/>
          <w:szCs w:val="20"/>
        </w:rPr>
        <w:t>5 MHz BB bandwidth only for PDSCH (for both unicast and broadcast) and PUSCH with 20 MHz RF bandwidth for UL and DL.</w:t>
      </w:r>
    </w:p>
    <w:p w14:paraId="441534D0" w14:textId="77777777" w:rsidR="00CD2C2C" w:rsidRPr="00CD2C2C" w:rsidRDefault="00CD2C2C" w:rsidP="00CD2C2C">
      <w:pPr>
        <w:pStyle w:val="ListParagraph"/>
        <w:numPr>
          <w:ilvl w:val="1"/>
          <w:numId w:val="12"/>
        </w:numPr>
        <w:spacing w:after="180" w:line="252" w:lineRule="auto"/>
        <w:jc w:val="both"/>
        <w:rPr>
          <w:rFonts w:ascii="Times New Roman" w:hAnsi="Times New Roman" w:cs="Times New Roman"/>
          <w:sz w:val="20"/>
          <w:szCs w:val="20"/>
        </w:rPr>
      </w:pPr>
      <w:r w:rsidRPr="00CD2C2C">
        <w:rPr>
          <w:rFonts w:ascii="Times New Roman" w:hAnsi="Times New Roman" w:cs="Times New Roman"/>
          <w:sz w:val="20"/>
          <w:szCs w:val="20"/>
        </w:rPr>
        <w:t>The other physical channels and signals are still allowed to use a BWP up to the 20 MHz maximum UE RF+BB bandwidth.</w:t>
      </w:r>
    </w:p>
    <w:p w14:paraId="7C97F935" w14:textId="77777777" w:rsidR="00CD2C2C" w:rsidRPr="00CD2C2C" w:rsidRDefault="00CD2C2C" w:rsidP="00CD2C2C">
      <w:pPr>
        <w:pStyle w:val="ListParagraph"/>
        <w:numPr>
          <w:ilvl w:val="0"/>
          <w:numId w:val="12"/>
        </w:numPr>
        <w:spacing w:after="180" w:line="252" w:lineRule="auto"/>
        <w:jc w:val="both"/>
        <w:rPr>
          <w:rFonts w:ascii="Times New Roman" w:hAnsi="Times New Roman" w:cs="Times New Roman"/>
          <w:sz w:val="20"/>
          <w:szCs w:val="20"/>
        </w:rPr>
      </w:pPr>
      <w:r w:rsidRPr="00CD2C2C">
        <w:rPr>
          <w:rFonts w:ascii="Times New Roman" w:hAnsi="Times New Roman" w:cs="Times New Roman"/>
          <w:sz w:val="20"/>
          <w:szCs w:val="20"/>
        </w:rPr>
        <w:t>Option PR3:</w:t>
      </w:r>
    </w:p>
    <w:p w14:paraId="6D406ACD" w14:textId="77777777" w:rsidR="00CD2C2C" w:rsidRPr="00CD2C2C" w:rsidRDefault="00CD2C2C" w:rsidP="00CD2C2C">
      <w:pPr>
        <w:pStyle w:val="ListParagraph"/>
        <w:numPr>
          <w:ilvl w:val="1"/>
          <w:numId w:val="12"/>
        </w:numPr>
        <w:spacing w:after="180" w:line="252" w:lineRule="auto"/>
        <w:jc w:val="both"/>
        <w:rPr>
          <w:rFonts w:ascii="Times New Roman" w:hAnsi="Times New Roman" w:cs="Times New Roman"/>
          <w:sz w:val="20"/>
          <w:szCs w:val="20"/>
        </w:rPr>
      </w:pPr>
      <w:r w:rsidRPr="00CD2C2C">
        <w:rPr>
          <w:rFonts w:ascii="Times New Roman" w:hAnsi="Times New Roman" w:cs="Times New Roman"/>
          <w:sz w:val="20"/>
          <w:szCs w:val="20"/>
        </w:rPr>
        <w:t>Restriction of maximum number of PRBs for PDSCH and PUSCH.</w:t>
      </w:r>
    </w:p>
    <w:p w14:paraId="5B4E20C0" w14:textId="77777777" w:rsidR="00CD2C2C" w:rsidRPr="00CD2C2C" w:rsidRDefault="00CD2C2C" w:rsidP="00CD2C2C">
      <w:pPr>
        <w:pStyle w:val="ListParagraph"/>
        <w:numPr>
          <w:ilvl w:val="1"/>
          <w:numId w:val="12"/>
        </w:numPr>
        <w:spacing w:after="180" w:line="252" w:lineRule="auto"/>
        <w:jc w:val="both"/>
        <w:rPr>
          <w:rFonts w:ascii="Times New Roman" w:hAnsi="Times New Roman" w:cs="Times New Roman"/>
          <w:sz w:val="20"/>
          <w:szCs w:val="20"/>
        </w:rPr>
      </w:pPr>
      <w:r w:rsidRPr="00CD2C2C">
        <w:rPr>
          <w:rFonts w:ascii="Times New Roman" w:hAnsi="Times New Roman" w:cs="Times New Roman"/>
          <w:sz w:val="20"/>
          <w:szCs w:val="20"/>
        </w:rPr>
        <w:t>For 15 kHz SCS, the maximum number of RBs is 25.</w:t>
      </w:r>
    </w:p>
    <w:p w14:paraId="5F4B3D57" w14:textId="77777777" w:rsidR="00CD2C2C" w:rsidRPr="00CD2C2C" w:rsidRDefault="00CD2C2C" w:rsidP="00CD2C2C">
      <w:pPr>
        <w:pStyle w:val="ListParagraph"/>
        <w:numPr>
          <w:ilvl w:val="1"/>
          <w:numId w:val="12"/>
        </w:numPr>
        <w:spacing w:after="180" w:line="252" w:lineRule="auto"/>
        <w:jc w:val="both"/>
        <w:rPr>
          <w:rFonts w:ascii="Times New Roman" w:hAnsi="Times New Roman" w:cs="Times New Roman"/>
          <w:sz w:val="20"/>
          <w:szCs w:val="20"/>
        </w:rPr>
      </w:pPr>
      <w:r w:rsidRPr="00CD2C2C">
        <w:rPr>
          <w:rFonts w:ascii="Times New Roman" w:hAnsi="Times New Roman" w:cs="Times New Roman"/>
          <w:sz w:val="20"/>
          <w:szCs w:val="20"/>
        </w:rPr>
        <w:t>For 30 kHz SCS, the maximum number of RBs is 11 or 12.</w:t>
      </w:r>
    </w:p>
    <w:p w14:paraId="647D1968" w14:textId="77777777" w:rsidR="00CD2C2C" w:rsidRPr="00CD2C2C" w:rsidRDefault="00CD2C2C" w:rsidP="00CD2C2C">
      <w:pPr>
        <w:pStyle w:val="ListParagraph"/>
        <w:numPr>
          <w:ilvl w:val="1"/>
          <w:numId w:val="12"/>
        </w:numPr>
        <w:spacing w:after="180" w:line="252" w:lineRule="auto"/>
        <w:jc w:val="both"/>
        <w:rPr>
          <w:rFonts w:ascii="Times New Roman" w:hAnsi="Times New Roman" w:cs="Times New Roman"/>
          <w:sz w:val="20"/>
          <w:szCs w:val="20"/>
        </w:rPr>
      </w:pPr>
      <w:r w:rsidRPr="00CD2C2C">
        <w:rPr>
          <w:rFonts w:ascii="Times New Roman" w:hAnsi="Times New Roman" w:cs="Times New Roman"/>
          <w:sz w:val="20"/>
          <w:szCs w:val="20"/>
        </w:rPr>
        <w:t>The restricted number of PRBs in Option PR3 is a hardcoded limit.</w:t>
      </w:r>
    </w:p>
    <w:p w14:paraId="2E448CB7" w14:textId="77777777" w:rsidR="00CD2C2C" w:rsidRPr="00CD2C2C" w:rsidRDefault="00CD2C2C" w:rsidP="00CD2C2C">
      <w:pPr>
        <w:rPr>
          <w:rFonts w:ascii="Times New Roman" w:hAnsi="Times New Roman" w:cs="Times New Roman"/>
          <w:sz w:val="20"/>
          <w:szCs w:val="20"/>
        </w:rPr>
      </w:pPr>
      <w:r w:rsidRPr="00CD2C2C">
        <w:rPr>
          <w:rFonts w:ascii="Times New Roman" w:hAnsi="Times New Roman" w:cs="Times New Roman"/>
          <w:sz w:val="20"/>
          <w:szCs w:val="20"/>
        </w:rPr>
        <w:t>Some of the companies who participated in the study also wanted to include one or both of the following options in the above list, for RAN plenary to assess the trade-off between degree of complexity reduction and specification impact.</w:t>
      </w:r>
    </w:p>
    <w:p w14:paraId="16D70B78" w14:textId="77777777" w:rsidR="00CD2C2C" w:rsidRPr="00CD2C2C" w:rsidRDefault="00CD2C2C" w:rsidP="00CD2C2C">
      <w:pPr>
        <w:pStyle w:val="ListParagraph"/>
        <w:numPr>
          <w:ilvl w:val="0"/>
          <w:numId w:val="12"/>
        </w:numPr>
        <w:spacing w:after="180" w:line="252" w:lineRule="auto"/>
        <w:jc w:val="both"/>
        <w:rPr>
          <w:rFonts w:ascii="Times New Roman" w:hAnsi="Times New Roman" w:cs="Times New Roman"/>
          <w:sz w:val="20"/>
          <w:szCs w:val="20"/>
        </w:rPr>
      </w:pPr>
      <w:r w:rsidRPr="00CD2C2C">
        <w:rPr>
          <w:rFonts w:ascii="Times New Roman" w:eastAsia="Microsoft YaHei UI" w:hAnsi="Times New Roman" w:cs="Times New Roman"/>
          <w:sz w:val="20"/>
          <w:szCs w:val="20"/>
          <w:lang w:eastAsia="zh-CN"/>
        </w:rPr>
        <w:t>Option PR1:</w:t>
      </w:r>
    </w:p>
    <w:p w14:paraId="52DFBCE8" w14:textId="77777777" w:rsidR="00CD2C2C" w:rsidRPr="00CD2C2C" w:rsidRDefault="00CD2C2C" w:rsidP="00CD2C2C">
      <w:pPr>
        <w:pStyle w:val="ListParagraph"/>
        <w:numPr>
          <w:ilvl w:val="1"/>
          <w:numId w:val="12"/>
        </w:numPr>
        <w:shd w:val="clear" w:color="auto" w:fill="FFFFFF"/>
        <w:tabs>
          <w:tab w:val="left" w:pos="720"/>
        </w:tabs>
        <w:spacing w:after="0" w:line="231" w:lineRule="atLeast"/>
        <w:jc w:val="both"/>
        <w:rPr>
          <w:rFonts w:ascii="Times New Roman" w:eastAsia="Microsoft YaHei UI" w:hAnsi="Times New Roman" w:cs="Times New Roman"/>
          <w:sz w:val="20"/>
          <w:szCs w:val="20"/>
          <w:lang w:eastAsia="zh-CN"/>
        </w:rPr>
      </w:pPr>
      <w:r w:rsidRPr="00CD2C2C">
        <w:rPr>
          <w:rFonts w:ascii="Times New Roman" w:eastAsia="Microsoft YaHei UI" w:hAnsi="Times New Roman" w:cs="Times New Roman"/>
          <w:sz w:val="20"/>
          <w:szCs w:val="20"/>
          <w:lang w:eastAsia="zh-CN"/>
        </w:rPr>
        <w:t>Relaxation of the constraint  </w:t>
      </w:r>
      <m:oMath>
        <m:r>
          <w:rPr>
            <w:rFonts w:ascii="Cambria Math" w:hAnsi="Cambria Math" w:cs="Times New Roman"/>
            <w:sz w:val="20"/>
            <w:szCs w:val="20"/>
          </w:rPr>
          <m:t>(</m:t>
        </m:r>
        <m:sSubSup>
          <m:sSubSupPr>
            <m:ctrlPr>
              <w:rPr>
                <w:rFonts w:ascii="Cambria Math" w:eastAsia="SimSun" w:hAnsi="Cambria Math" w:cs="Times New Roman"/>
                <w:i/>
                <w:iCs/>
                <w:sz w:val="20"/>
                <w:szCs w:val="20"/>
                <w:lang w:eastAsia="ja-JP"/>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eastAsia="SimSun" w:hAnsi="Cambria Math" w:cs="Times New Roman"/>
                    <w:i/>
                    <w:sz w:val="20"/>
                    <w:szCs w:val="20"/>
                    <w:lang w:eastAsia="ja-JP"/>
                  </w:rPr>
                </m:ctrlPr>
              </m:dPr>
              <m:e>
                <m:r>
                  <w:rPr>
                    <w:rFonts w:ascii="Cambria Math" w:hAnsi="Cambria Math" w:cs="Times New Roman"/>
                    <w:sz w:val="20"/>
                    <w:szCs w:val="20"/>
                  </w:rPr>
                  <m:t>j</m:t>
                </m:r>
              </m:e>
            </m:d>
          </m:sup>
        </m:sSubSup>
        <m:r>
          <w:rPr>
            <w:rFonts w:ascii="Cambria Math" w:hAnsi="Cambria Math" w:cs="Times New Roman"/>
            <w:sz w:val="20"/>
            <w:szCs w:val="20"/>
          </w:rPr>
          <m:t>⋅</m:t>
        </m:r>
        <m:sSubSup>
          <m:sSubSupPr>
            <m:ctrlPr>
              <w:rPr>
                <w:rFonts w:ascii="Cambria Math" w:eastAsia="SimSun" w:hAnsi="Cambria Math" w:cs="Times New Roman"/>
                <w:i/>
                <w:iCs/>
                <w:sz w:val="20"/>
                <w:szCs w:val="20"/>
                <w:lang w:eastAsia="ja-JP"/>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eastAsia="SimSun" w:hAnsi="Cambria Math" w:cs="Times New Roman"/>
                    <w:i/>
                    <w:iCs/>
                    <w:sz w:val="20"/>
                    <w:szCs w:val="20"/>
                    <w:lang w:eastAsia="ja-JP"/>
                  </w:rPr>
                </m:ctrlPr>
              </m:dPr>
              <m:e>
                <m:r>
                  <w:rPr>
                    <w:rFonts w:ascii="Cambria Math" w:hAnsi="Cambria Math" w:cs="Times New Roman"/>
                    <w:sz w:val="20"/>
                    <w:szCs w:val="20"/>
                  </w:rPr>
                  <m:t>j</m:t>
                </m:r>
              </m:e>
            </m:d>
          </m:sup>
        </m:sSubSup>
        <m:r>
          <w:rPr>
            <w:rFonts w:ascii="Cambria Math" w:hAnsi="Cambria Math" w:cs="Times New Roman"/>
            <w:sz w:val="20"/>
            <w:szCs w:val="20"/>
          </w:rPr>
          <m:t>⋅</m:t>
        </m:r>
        <m:sSup>
          <m:sSupPr>
            <m:ctrlPr>
              <w:rPr>
                <w:rFonts w:ascii="Cambria Math" w:eastAsia="SimSun" w:hAnsi="Cambria Math" w:cs="Times New Roman"/>
                <w:iCs/>
                <w:sz w:val="20"/>
                <w:szCs w:val="20"/>
                <w:lang w:eastAsia="ja-JP"/>
              </w:rPr>
            </m:ctrlPr>
          </m:sSupPr>
          <m:e>
            <m:r>
              <w:rPr>
                <w:rFonts w:ascii="Cambria Math" w:hAnsi="Cambria Math" w:cs="Times New Roman"/>
                <w:sz w:val="20"/>
                <w:szCs w:val="20"/>
              </w:rPr>
              <m:t>f</m:t>
            </m:r>
          </m:e>
          <m:sup>
            <m:d>
              <m:dPr>
                <m:ctrlPr>
                  <w:rPr>
                    <w:rFonts w:ascii="Cambria Math" w:eastAsia="SimSun" w:hAnsi="Cambria Math" w:cs="Times New Roman"/>
                    <w:i/>
                    <w:iCs/>
                    <w:sz w:val="20"/>
                    <w:szCs w:val="20"/>
                    <w:lang w:eastAsia="ja-JP"/>
                  </w:rPr>
                </m:ctrlPr>
              </m:dPr>
              <m:e>
                <m:r>
                  <w:rPr>
                    <w:rFonts w:ascii="Cambria Math" w:hAnsi="Cambria Math" w:cs="Times New Roman"/>
                    <w:sz w:val="20"/>
                    <w:szCs w:val="20"/>
                  </w:rPr>
                  <m:t>j</m:t>
                </m:r>
              </m:e>
            </m:d>
          </m:sup>
        </m:sSup>
        <m:r>
          <w:rPr>
            <w:rFonts w:ascii="Cambria Math" w:hAnsi="Cambria Math" w:cs="Times New Roman"/>
            <w:sz w:val="20"/>
            <w:szCs w:val="20"/>
          </w:rPr>
          <m:t>≥4)</m:t>
        </m:r>
      </m:oMath>
      <w:r w:rsidRPr="00CD2C2C">
        <w:rPr>
          <w:rFonts w:ascii="Times New Roman" w:hAnsi="Times New Roman" w:cs="Times New Roman"/>
          <w:iCs/>
          <w:sz w:val="20"/>
          <w:szCs w:val="20"/>
        </w:rPr>
        <w:t xml:space="preserve"> </w:t>
      </w:r>
      <w:r w:rsidRPr="00CD2C2C">
        <w:rPr>
          <w:rFonts w:ascii="Times New Roman" w:eastAsia="Microsoft YaHei UI" w:hAnsi="Times New Roman" w:cs="Times New Roman"/>
          <w:sz w:val="20"/>
          <w:szCs w:val="20"/>
          <w:lang w:eastAsia="zh-CN"/>
        </w:rPr>
        <w:t>for peak data rate reduction.</w:t>
      </w:r>
    </w:p>
    <w:p w14:paraId="6C5EE09A" w14:textId="77777777" w:rsidR="00CD2C2C" w:rsidRPr="00CD2C2C" w:rsidRDefault="00CD2C2C" w:rsidP="00CD2C2C">
      <w:pPr>
        <w:pStyle w:val="ListParagraph"/>
        <w:numPr>
          <w:ilvl w:val="1"/>
          <w:numId w:val="12"/>
        </w:numPr>
        <w:tabs>
          <w:tab w:val="left" w:pos="1440"/>
        </w:tabs>
        <w:spacing w:after="0" w:line="231" w:lineRule="atLeast"/>
        <w:rPr>
          <w:rFonts w:ascii="Times New Roman" w:eastAsia="Microsoft YaHei UI" w:hAnsi="Times New Roman" w:cs="Times New Roman"/>
          <w:sz w:val="20"/>
          <w:szCs w:val="20"/>
          <w:lang w:eastAsia="zh-CN"/>
        </w:rPr>
      </w:pPr>
      <w:r w:rsidRPr="00CD2C2C">
        <w:rPr>
          <w:rFonts w:ascii="Times New Roman" w:eastAsia="Microsoft YaHei UI" w:hAnsi="Times New Roman" w:cs="Times New Roman"/>
          <w:sz w:val="20"/>
          <w:szCs w:val="20"/>
          <w:lang w:eastAsia="zh-CN"/>
        </w:rPr>
        <w:t>The relaxed constraint is</w:t>
      </w:r>
      <w:r w:rsidRPr="00E30117">
        <w:rPr>
          <w:rFonts w:ascii="Times New Roman" w:eastAsia="Microsoft YaHei UI" w:hAnsi="Times New Roman" w:cs="Times New Roman"/>
          <w:sz w:val="20"/>
          <w:szCs w:val="20"/>
          <w:lang w:eastAsia="zh-CN"/>
        </w:rPr>
        <w:t>, e.g.,</w:t>
      </w:r>
      <w:r w:rsidRPr="00CD2C2C">
        <w:rPr>
          <w:rFonts w:ascii="Times New Roman" w:eastAsia="Microsoft YaHei UI" w:hAnsi="Times New Roman" w:cs="Times New Roman"/>
          <w:sz w:val="20"/>
          <w:szCs w:val="20"/>
          <w:lang w:eastAsia="zh-CN"/>
        </w:rPr>
        <w:t xml:space="preserve"> 1 (instead of 4).</w:t>
      </w:r>
    </w:p>
    <w:p w14:paraId="0EDB695C" w14:textId="177DE4B6" w:rsidR="00CD2C2C" w:rsidRPr="00CD2C2C" w:rsidRDefault="00CD2C2C" w:rsidP="00CD2C2C">
      <w:pPr>
        <w:pStyle w:val="ListParagraph"/>
        <w:numPr>
          <w:ilvl w:val="1"/>
          <w:numId w:val="12"/>
        </w:numPr>
        <w:tabs>
          <w:tab w:val="left" w:pos="1440"/>
        </w:tabs>
        <w:spacing w:after="0" w:line="231" w:lineRule="atLeast"/>
        <w:rPr>
          <w:rFonts w:ascii="Times New Roman" w:eastAsia="Microsoft YaHei UI" w:hAnsi="Times New Roman" w:cs="Times New Roman"/>
          <w:sz w:val="20"/>
          <w:szCs w:val="20"/>
          <w:lang w:eastAsia="zh-CN"/>
        </w:rPr>
      </w:pPr>
      <w:r w:rsidRPr="00CD2C2C">
        <w:rPr>
          <w:rFonts w:ascii="Times New Roman" w:eastAsia="Microsoft YaHei UI" w:hAnsi="Times New Roman" w:cs="Times New Roman"/>
          <w:sz w:val="20"/>
          <w:szCs w:val="20"/>
          <w:lang w:eastAsia="zh-CN"/>
        </w:rPr>
        <w:t>The parameters (</w:t>
      </w:r>
      <m:oMath>
        <m:sSubSup>
          <m:sSubSupPr>
            <m:ctrlPr>
              <w:rPr>
                <w:rFonts w:ascii="Cambria Math" w:eastAsia="SimSun" w:hAnsi="Cambria Math" w:cs="Times New Roman"/>
                <w:i/>
                <w:iCs/>
                <w:sz w:val="20"/>
                <w:szCs w:val="20"/>
                <w:lang w:eastAsia="ja-JP"/>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eastAsia="SimSun" w:hAnsi="Cambria Math" w:cs="Times New Roman"/>
                    <w:i/>
                    <w:sz w:val="20"/>
                    <w:szCs w:val="20"/>
                    <w:lang w:eastAsia="ja-JP"/>
                  </w:rPr>
                </m:ctrlPr>
              </m:dPr>
              <m:e>
                <m:r>
                  <w:rPr>
                    <w:rFonts w:ascii="Cambria Math" w:hAnsi="Cambria Math" w:cs="Times New Roman"/>
                    <w:sz w:val="20"/>
                    <w:szCs w:val="20"/>
                  </w:rPr>
                  <m:t>1</m:t>
                </m:r>
              </m:e>
            </m:d>
          </m:sup>
        </m:sSubSup>
        <m:r>
          <w:rPr>
            <w:rFonts w:ascii="Cambria Math" w:hAnsi="Cambria Math" w:cs="Times New Roman"/>
            <w:sz w:val="20"/>
            <w:szCs w:val="20"/>
          </w:rPr>
          <m:t>,</m:t>
        </m:r>
        <m:sSubSup>
          <m:sSubSupPr>
            <m:ctrlPr>
              <w:rPr>
                <w:rFonts w:ascii="Cambria Math" w:eastAsia="SimSun" w:hAnsi="Cambria Math" w:cs="Times New Roman"/>
                <w:i/>
                <w:iCs/>
                <w:sz w:val="20"/>
                <w:szCs w:val="20"/>
                <w:lang w:eastAsia="ja-JP"/>
              </w:rPr>
            </m:ctrlPr>
          </m:sSubSupPr>
          <m:e>
            <m:r>
              <w:rPr>
                <w:rFonts w:ascii="Cambria Math" w:hAnsi="Cambria Math" w:cs="Times New Roman"/>
                <w:sz w:val="20"/>
                <w:szCs w:val="20"/>
              </w:rPr>
              <m:t xml:space="preserve"> Q</m:t>
            </m:r>
          </m:e>
          <m:sub>
            <m:r>
              <w:rPr>
                <w:rFonts w:ascii="Cambria Math" w:hAnsi="Cambria Math" w:cs="Times New Roman"/>
                <w:sz w:val="20"/>
                <w:szCs w:val="20"/>
              </w:rPr>
              <m:t>m</m:t>
            </m:r>
          </m:sub>
          <m:sup>
            <m:d>
              <m:dPr>
                <m:ctrlPr>
                  <w:rPr>
                    <w:rFonts w:ascii="Cambria Math" w:eastAsia="SimSun" w:hAnsi="Cambria Math" w:cs="Times New Roman"/>
                    <w:i/>
                    <w:iCs/>
                    <w:sz w:val="20"/>
                    <w:szCs w:val="20"/>
                    <w:lang w:eastAsia="ja-JP"/>
                  </w:rPr>
                </m:ctrlPr>
              </m:dPr>
              <m:e>
                <m:r>
                  <w:rPr>
                    <w:rFonts w:ascii="Cambria Math" w:hAnsi="Cambria Math" w:cs="Times New Roman"/>
                    <w:sz w:val="20"/>
                    <w:szCs w:val="20"/>
                  </w:rPr>
                  <m:t>1</m:t>
                </m:r>
              </m:e>
            </m:d>
          </m:sup>
        </m:sSubSup>
        <m:r>
          <w:rPr>
            <w:rFonts w:ascii="Cambria Math" w:hAnsi="Cambria Math" w:cs="Times New Roman"/>
            <w:sz w:val="20"/>
            <w:szCs w:val="20"/>
          </w:rPr>
          <m:t>,</m:t>
        </m:r>
        <m:sSup>
          <m:sSupPr>
            <m:ctrlPr>
              <w:rPr>
                <w:rFonts w:ascii="Cambria Math" w:eastAsia="SimSun" w:hAnsi="Cambria Math" w:cs="Times New Roman"/>
                <w:iCs/>
                <w:sz w:val="20"/>
                <w:szCs w:val="20"/>
                <w:lang w:eastAsia="ja-JP"/>
              </w:rPr>
            </m:ctrlPr>
          </m:sSupPr>
          <m:e>
            <m:r>
              <w:rPr>
                <w:rFonts w:ascii="Cambria Math" w:hAnsi="Cambria Math" w:cs="Times New Roman"/>
                <w:sz w:val="20"/>
                <w:szCs w:val="20"/>
              </w:rPr>
              <m:t xml:space="preserve"> f</m:t>
            </m:r>
          </m:e>
          <m:sup>
            <m:d>
              <m:dPr>
                <m:ctrlPr>
                  <w:rPr>
                    <w:rFonts w:ascii="Cambria Math" w:eastAsia="SimSun" w:hAnsi="Cambria Math" w:cs="Times New Roman"/>
                    <w:i/>
                    <w:iCs/>
                    <w:sz w:val="20"/>
                    <w:szCs w:val="20"/>
                    <w:lang w:eastAsia="ja-JP"/>
                  </w:rPr>
                </m:ctrlPr>
              </m:dPr>
              <m:e>
                <m:r>
                  <w:rPr>
                    <w:rFonts w:ascii="Cambria Math" w:hAnsi="Cambria Math" w:cs="Times New Roman"/>
                    <w:sz w:val="20"/>
                    <w:szCs w:val="20"/>
                  </w:rPr>
                  <m:t>1</m:t>
                </m:r>
              </m:e>
            </m:d>
          </m:sup>
        </m:sSup>
      </m:oMath>
      <w:r w:rsidRPr="00CD2C2C">
        <w:rPr>
          <w:rFonts w:ascii="Times New Roman" w:eastAsia="Microsoft YaHei UI" w:hAnsi="Times New Roman" w:cs="Times New Roman"/>
          <w:sz w:val="20"/>
          <w:szCs w:val="20"/>
          <w:lang w:eastAsia="zh-CN"/>
        </w:rPr>
        <w:t>) [38.306] can be as in Rel-17 RedCap.</w:t>
      </w:r>
    </w:p>
    <w:p w14:paraId="61DD3A9E" w14:textId="77777777" w:rsidR="00184ABB" w:rsidRPr="00184ABB" w:rsidRDefault="00CD2C2C" w:rsidP="00184ABB">
      <w:pPr>
        <w:pStyle w:val="ListParagraph"/>
        <w:numPr>
          <w:ilvl w:val="0"/>
          <w:numId w:val="12"/>
        </w:numPr>
        <w:spacing w:after="180" w:line="252" w:lineRule="auto"/>
        <w:jc w:val="both"/>
        <w:rPr>
          <w:rFonts w:ascii="Times New Roman" w:eastAsia="SimSun" w:hAnsi="Times New Roman" w:cs="Times New Roman"/>
          <w:sz w:val="20"/>
          <w:szCs w:val="20"/>
          <w:lang w:eastAsia="ja-JP"/>
        </w:rPr>
      </w:pPr>
      <w:r w:rsidRPr="00CD2C2C">
        <w:rPr>
          <w:rFonts w:ascii="Times New Roman" w:eastAsia="Times New Roman" w:hAnsi="Times New Roman" w:cs="Times New Roman"/>
          <w:sz w:val="20"/>
          <w:szCs w:val="20"/>
          <w:lang w:eastAsia="zh-CN"/>
        </w:rPr>
        <w:t>Option BW1:</w:t>
      </w:r>
    </w:p>
    <w:p w14:paraId="4F5DC504" w14:textId="3B55B3BD" w:rsidR="00CD2C2C" w:rsidRPr="00184ABB" w:rsidRDefault="00CD2C2C" w:rsidP="00184ABB">
      <w:pPr>
        <w:pStyle w:val="ListParagraph"/>
        <w:numPr>
          <w:ilvl w:val="1"/>
          <w:numId w:val="12"/>
        </w:numPr>
        <w:spacing w:after="180" w:line="252" w:lineRule="auto"/>
        <w:jc w:val="both"/>
        <w:rPr>
          <w:rFonts w:ascii="Times New Roman" w:eastAsia="SimSun" w:hAnsi="Times New Roman" w:cs="Times New Roman"/>
          <w:sz w:val="20"/>
          <w:szCs w:val="20"/>
          <w:lang w:eastAsia="ja-JP"/>
        </w:rPr>
      </w:pPr>
      <w:r w:rsidRPr="00184ABB">
        <w:rPr>
          <w:rFonts w:ascii="Times New Roman" w:eastAsia="Times New Roman" w:hAnsi="Times New Roman" w:cs="Times New Roman"/>
          <w:sz w:val="20"/>
          <w:szCs w:val="20"/>
          <w:lang w:eastAsia="zh-CN"/>
        </w:rPr>
        <w:t>Both RF and BB bandwidths are 5 MHz for UL and DL.</w:t>
      </w:r>
    </w:p>
    <w:p w14:paraId="0146B1FF" w14:textId="5050E3BD" w:rsidR="009572C4" w:rsidRDefault="004132E2" w:rsidP="007E547C">
      <w:pPr>
        <w:spacing w:after="0"/>
        <w:jc w:val="both"/>
        <w:rPr>
          <w:rFonts w:ascii="Times New Roman" w:hAnsi="Times New Roman" w:cs="Times New Roman"/>
          <w:sz w:val="20"/>
          <w:szCs w:val="20"/>
          <w:lang w:eastAsia="en-GB"/>
        </w:rPr>
      </w:pPr>
      <w:r w:rsidRPr="004132E2">
        <w:rPr>
          <w:rFonts w:ascii="Times New Roman" w:hAnsi="Times New Roman" w:cs="Times New Roman"/>
          <w:sz w:val="20"/>
          <w:szCs w:val="20"/>
        </w:rPr>
        <w:t>Furthermore, RAN1 recommends that Option PR1 is considered as a potential add-on. Whether to adopt this potential add-on can be decided during WI phase.</w:t>
      </w:r>
    </w:p>
    <w:p w14:paraId="3B31A61A" w14:textId="77777777" w:rsidR="004132E2" w:rsidRDefault="004132E2" w:rsidP="007E547C">
      <w:pPr>
        <w:spacing w:after="0"/>
        <w:jc w:val="both"/>
        <w:rPr>
          <w:rFonts w:ascii="Times New Roman" w:hAnsi="Times New Roman" w:cs="Times New Roman"/>
          <w:sz w:val="20"/>
          <w:szCs w:val="20"/>
          <w:lang w:eastAsia="en-GB"/>
        </w:rPr>
      </w:pPr>
    </w:p>
    <w:p w14:paraId="73312CC8" w14:textId="77777777" w:rsidR="00AB09F9" w:rsidRPr="00AB09F9" w:rsidRDefault="00AB09F9" w:rsidP="00B013C2">
      <w:pPr>
        <w:jc w:val="both"/>
        <w:rPr>
          <w:rFonts w:ascii="Times New Roman" w:eastAsia="Batang" w:hAnsi="Times New Roman" w:cs="Times New Roman"/>
          <w:sz w:val="20"/>
          <w:szCs w:val="20"/>
        </w:rPr>
      </w:pPr>
      <w:r w:rsidRPr="00AB09F9">
        <w:rPr>
          <w:rFonts w:ascii="Times New Roman" w:hAnsi="Times New Roman" w:cs="Times New Roman"/>
          <w:sz w:val="20"/>
          <w:szCs w:val="20"/>
        </w:rPr>
        <w:t>Whether or not to also introduce support for option PT1 and/or PT2 for a Rel-18 RedCap UE can be decided at RAN plenary.</w:t>
      </w:r>
    </w:p>
    <w:p w14:paraId="408FE74C" w14:textId="77777777" w:rsidR="00AB09F9" w:rsidRPr="00AB09F9" w:rsidRDefault="00AB09F9" w:rsidP="00AB09F9">
      <w:pPr>
        <w:pStyle w:val="ListParagraph"/>
        <w:numPr>
          <w:ilvl w:val="0"/>
          <w:numId w:val="12"/>
        </w:numPr>
        <w:spacing w:after="180" w:line="252" w:lineRule="auto"/>
        <w:jc w:val="both"/>
        <w:rPr>
          <w:rFonts w:ascii="Times New Roman" w:hAnsi="Times New Roman" w:cs="Times New Roman"/>
          <w:sz w:val="20"/>
          <w:szCs w:val="20"/>
        </w:rPr>
      </w:pPr>
      <w:r w:rsidRPr="00AB09F9">
        <w:rPr>
          <w:rFonts w:ascii="Times New Roman" w:hAnsi="Times New Roman" w:cs="Times New Roman"/>
          <w:sz w:val="20"/>
          <w:szCs w:val="20"/>
        </w:rPr>
        <w:t>Option PT1:</w:t>
      </w:r>
    </w:p>
    <w:p w14:paraId="6BA92526" w14:textId="77777777" w:rsidR="00AB09F9" w:rsidRPr="00AB09F9" w:rsidRDefault="00AB09F9" w:rsidP="00AB09F9">
      <w:pPr>
        <w:pStyle w:val="ListParagraph"/>
        <w:numPr>
          <w:ilvl w:val="1"/>
          <w:numId w:val="12"/>
        </w:numPr>
        <w:spacing w:after="180" w:line="252" w:lineRule="auto"/>
        <w:jc w:val="both"/>
        <w:rPr>
          <w:rFonts w:ascii="Times New Roman" w:hAnsi="Times New Roman" w:cs="Times New Roman"/>
          <w:sz w:val="20"/>
          <w:szCs w:val="20"/>
        </w:rPr>
      </w:pPr>
      <w:r w:rsidRPr="00AB09F9">
        <w:rPr>
          <w:rFonts w:ascii="Times New Roman" w:hAnsi="Times New Roman" w:cs="Times New Roman"/>
          <w:sz w:val="20"/>
          <w:szCs w:val="20"/>
        </w:rPr>
        <w:t>Relaxation of UE processing time for PDSCH/PUSCH in terms of N1 and N2 (as defined in TS 38.214) compared to those of UE processing time capability 1</w:t>
      </w:r>
    </w:p>
    <w:p w14:paraId="53031B24" w14:textId="77777777" w:rsidR="00AB09F9" w:rsidRPr="00AB09F9" w:rsidRDefault="00AB09F9" w:rsidP="00AB09F9">
      <w:pPr>
        <w:pStyle w:val="ListParagraph"/>
        <w:numPr>
          <w:ilvl w:val="1"/>
          <w:numId w:val="12"/>
        </w:numPr>
        <w:spacing w:after="180" w:line="252" w:lineRule="auto"/>
        <w:jc w:val="both"/>
        <w:rPr>
          <w:rFonts w:ascii="Times New Roman" w:hAnsi="Times New Roman" w:cs="Times New Roman"/>
          <w:sz w:val="20"/>
          <w:szCs w:val="20"/>
        </w:rPr>
      </w:pPr>
      <w:r w:rsidRPr="00AB09F9">
        <w:rPr>
          <w:rFonts w:ascii="Times New Roman" w:hAnsi="Times New Roman" w:cs="Times New Roman"/>
          <w:sz w:val="20"/>
          <w:szCs w:val="20"/>
        </w:rPr>
        <w:lastRenderedPageBreak/>
        <w:t>The relaxation factor for N1 and N2 is assumed to be 2 in the study.</w:t>
      </w:r>
    </w:p>
    <w:p w14:paraId="39350321" w14:textId="77777777" w:rsidR="00AB09F9" w:rsidRPr="00AB09F9" w:rsidRDefault="00AB09F9" w:rsidP="00AB09F9">
      <w:pPr>
        <w:pStyle w:val="ListParagraph"/>
        <w:numPr>
          <w:ilvl w:val="0"/>
          <w:numId w:val="12"/>
        </w:numPr>
        <w:spacing w:after="180" w:line="252" w:lineRule="auto"/>
        <w:jc w:val="both"/>
        <w:rPr>
          <w:rFonts w:ascii="Times New Roman" w:hAnsi="Times New Roman" w:cs="Times New Roman"/>
          <w:sz w:val="20"/>
          <w:szCs w:val="20"/>
        </w:rPr>
      </w:pPr>
      <w:r w:rsidRPr="00AB09F9">
        <w:rPr>
          <w:rFonts w:ascii="Times New Roman" w:hAnsi="Times New Roman" w:cs="Times New Roman"/>
          <w:sz w:val="20"/>
          <w:szCs w:val="20"/>
        </w:rPr>
        <w:t>Option PT2:</w:t>
      </w:r>
    </w:p>
    <w:p w14:paraId="7C41D1EC" w14:textId="77777777" w:rsidR="00AB09F9" w:rsidRDefault="00AB09F9" w:rsidP="0017405F">
      <w:pPr>
        <w:pStyle w:val="ListParagraph"/>
        <w:numPr>
          <w:ilvl w:val="1"/>
          <w:numId w:val="12"/>
        </w:numPr>
        <w:spacing w:after="0" w:line="252" w:lineRule="auto"/>
        <w:jc w:val="both"/>
        <w:rPr>
          <w:rFonts w:ascii="Times New Roman" w:hAnsi="Times New Roman" w:cs="Times New Roman"/>
          <w:sz w:val="20"/>
          <w:szCs w:val="20"/>
          <w:lang w:eastAsia="en-GB"/>
        </w:rPr>
      </w:pPr>
      <w:r w:rsidRPr="00AB09F9">
        <w:rPr>
          <w:rFonts w:ascii="Times New Roman" w:hAnsi="Times New Roman" w:cs="Times New Roman"/>
          <w:sz w:val="20"/>
          <w:szCs w:val="20"/>
        </w:rPr>
        <w:t>Relaxation of UE processing time for CSI in terms of Z and Z’ compared to the values defined in TS 38.214 clause 5.4</w:t>
      </w:r>
    </w:p>
    <w:p w14:paraId="01DEB804" w14:textId="2A222DBF" w:rsidR="00AB09F9" w:rsidRPr="00AB09F9" w:rsidRDefault="00AB09F9" w:rsidP="0017405F">
      <w:pPr>
        <w:pStyle w:val="ListParagraph"/>
        <w:numPr>
          <w:ilvl w:val="1"/>
          <w:numId w:val="12"/>
        </w:numPr>
        <w:spacing w:after="0" w:line="252" w:lineRule="auto"/>
        <w:jc w:val="both"/>
        <w:rPr>
          <w:rFonts w:ascii="Times New Roman" w:hAnsi="Times New Roman" w:cs="Times New Roman"/>
          <w:sz w:val="20"/>
          <w:szCs w:val="20"/>
          <w:lang w:eastAsia="en-GB"/>
        </w:rPr>
      </w:pPr>
      <w:r w:rsidRPr="00AB09F9">
        <w:rPr>
          <w:rFonts w:ascii="Times New Roman" w:hAnsi="Times New Roman" w:cs="Times New Roman"/>
          <w:sz w:val="20"/>
          <w:szCs w:val="20"/>
        </w:rPr>
        <w:t>The relaxation factor for Z and Z’ is assumed to be 2 in the study.</w:t>
      </w:r>
    </w:p>
    <w:p w14:paraId="71928B95" w14:textId="50535249" w:rsidR="007905A9" w:rsidRPr="00E71E0B" w:rsidRDefault="007905A9" w:rsidP="007905A9">
      <w:pPr>
        <w:pStyle w:val="Heading1"/>
        <w:tabs>
          <w:tab w:val="clear" w:pos="1134"/>
          <w:tab w:val="num" w:pos="709"/>
        </w:tabs>
        <w:ind w:left="709" w:hanging="709"/>
        <w:rPr>
          <w:rFonts w:cs="Arial"/>
          <w:lang w:val="en-US"/>
        </w:rPr>
      </w:pPr>
      <w:r>
        <w:rPr>
          <w:rFonts w:cs="Arial"/>
          <w:lang w:val="en-US"/>
        </w:rPr>
        <w:t>Discussion</w:t>
      </w:r>
      <w:r w:rsidR="001C2AFB">
        <w:rPr>
          <w:rFonts w:cs="Arial"/>
          <w:lang w:val="en-US"/>
        </w:rPr>
        <w:t xml:space="preserve"> on WI Scope</w:t>
      </w:r>
    </w:p>
    <w:p w14:paraId="167993E5" w14:textId="45C07906" w:rsidR="0071482E" w:rsidRDefault="00494C6D" w:rsidP="00CD5EB0">
      <w:pPr>
        <w:spacing w:after="120" w:line="240" w:lineRule="auto"/>
        <w:jc w:val="both"/>
        <w:rPr>
          <w:rFonts w:ascii="Times New Roman" w:hAnsi="Times New Roman" w:cs="Times New Roman"/>
          <w:sz w:val="20"/>
          <w:szCs w:val="20"/>
          <w:lang w:eastAsia="en-GB"/>
        </w:rPr>
      </w:pPr>
      <w:r w:rsidRPr="00C51FAA">
        <w:rPr>
          <w:rFonts w:ascii="Times New Roman" w:hAnsi="Times New Roman" w:cs="Times New Roman"/>
          <w:sz w:val="20"/>
          <w:szCs w:val="20"/>
          <w:lang w:eastAsia="en-GB"/>
        </w:rPr>
        <w:fldChar w:fldCharType="begin"/>
      </w:r>
      <w:r w:rsidRPr="00C51FAA">
        <w:rPr>
          <w:rFonts w:ascii="Times New Roman" w:hAnsi="Times New Roman" w:cs="Times New Roman"/>
          <w:sz w:val="20"/>
          <w:szCs w:val="20"/>
          <w:lang w:eastAsia="en-GB"/>
        </w:rPr>
        <w:instrText xml:space="preserve"> REF _Ref112915265 \h  \* MERGEFORMAT </w:instrText>
      </w:r>
      <w:r w:rsidRPr="00C51FAA">
        <w:rPr>
          <w:rFonts w:ascii="Times New Roman" w:hAnsi="Times New Roman" w:cs="Times New Roman"/>
          <w:sz w:val="20"/>
          <w:szCs w:val="20"/>
          <w:lang w:eastAsia="en-GB"/>
        </w:rPr>
      </w:r>
      <w:r w:rsidRPr="00C51FAA">
        <w:rPr>
          <w:rFonts w:ascii="Times New Roman" w:hAnsi="Times New Roman" w:cs="Times New Roman"/>
          <w:sz w:val="20"/>
          <w:szCs w:val="20"/>
          <w:lang w:eastAsia="en-GB"/>
        </w:rPr>
        <w:fldChar w:fldCharType="separate"/>
      </w:r>
      <w:r w:rsidR="0017405F" w:rsidRPr="009D6782">
        <w:rPr>
          <w:rFonts w:ascii="Times New Roman" w:hAnsi="Times New Roman" w:cs="Times New Roman"/>
          <w:sz w:val="20"/>
          <w:szCs w:val="20"/>
        </w:rPr>
        <w:t xml:space="preserve">Table </w:t>
      </w:r>
      <w:r w:rsidR="0017405F">
        <w:rPr>
          <w:rFonts w:ascii="Times New Roman" w:hAnsi="Times New Roman" w:cs="Times New Roman"/>
          <w:noProof/>
          <w:sz w:val="20"/>
          <w:szCs w:val="20"/>
        </w:rPr>
        <w:t>1</w:t>
      </w:r>
      <w:r w:rsidRPr="00C51FAA">
        <w:rPr>
          <w:rFonts w:ascii="Times New Roman" w:hAnsi="Times New Roman" w:cs="Times New Roman"/>
          <w:sz w:val="20"/>
          <w:szCs w:val="20"/>
          <w:lang w:eastAsia="en-GB"/>
        </w:rPr>
        <w:fldChar w:fldCharType="end"/>
      </w:r>
      <w:r w:rsidR="00C278C0" w:rsidRPr="00C51FAA">
        <w:rPr>
          <w:rFonts w:ascii="Times New Roman" w:hAnsi="Times New Roman" w:cs="Times New Roman"/>
          <w:sz w:val="20"/>
          <w:szCs w:val="20"/>
          <w:lang w:eastAsia="en-GB"/>
        </w:rPr>
        <w:t xml:space="preserve"> summarizes the average complexity reduction </w:t>
      </w:r>
      <w:r w:rsidR="00C51FAA" w:rsidRPr="00C51FAA">
        <w:rPr>
          <w:rFonts w:ascii="Times New Roman" w:hAnsi="Times New Roman" w:cs="Times New Roman"/>
          <w:sz w:val="20"/>
          <w:szCs w:val="20"/>
          <w:lang w:eastAsia="en-GB"/>
        </w:rPr>
        <w:t>relative to Rel-17 RedCap UE</w:t>
      </w:r>
      <w:r w:rsidR="00C51FAA">
        <w:rPr>
          <w:rFonts w:ascii="Times New Roman" w:hAnsi="Times New Roman" w:cs="Times New Roman"/>
          <w:sz w:val="20"/>
          <w:szCs w:val="20"/>
          <w:lang w:eastAsia="en-GB"/>
        </w:rPr>
        <w:t xml:space="preserve"> </w:t>
      </w:r>
      <w:r w:rsidR="00C30D27">
        <w:rPr>
          <w:rFonts w:ascii="Times New Roman" w:hAnsi="Times New Roman" w:cs="Times New Roman"/>
          <w:sz w:val="20"/>
          <w:szCs w:val="20"/>
          <w:lang w:eastAsia="en-GB"/>
        </w:rPr>
        <w:t>for</w:t>
      </w:r>
      <w:r w:rsidR="00C51FAA">
        <w:rPr>
          <w:rFonts w:ascii="Times New Roman" w:hAnsi="Times New Roman" w:cs="Times New Roman"/>
          <w:sz w:val="20"/>
          <w:szCs w:val="20"/>
          <w:lang w:eastAsia="en-GB"/>
        </w:rPr>
        <w:t xml:space="preserve"> the</w:t>
      </w:r>
      <w:r w:rsidR="00C278C0" w:rsidRPr="00C51FAA">
        <w:rPr>
          <w:rFonts w:ascii="Times New Roman" w:hAnsi="Times New Roman" w:cs="Times New Roman"/>
          <w:sz w:val="20"/>
          <w:szCs w:val="20"/>
          <w:lang w:eastAsia="en-GB"/>
        </w:rPr>
        <w:t xml:space="preserve"> techniques </w:t>
      </w:r>
      <w:r w:rsidR="00C51FAA" w:rsidRPr="00C51FAA">
        <w:rPr>
          <w:rFonts w:ascii="Times New Roman" w:hAnsi="Times New Roman" w:cs="Times New Roman"/>
          <w:sz w:val="20"/>
          <w:szCs w:val="20"/>
          <w:lang w:eastAsia="en-GB"/>
        </w:rPr>
        <w:t>studied in Rel-18</w:t>
      </w:r>
      <w:r w:rsidR="007905A9" w:rsidRPr="00C51FAA">
        <w:rPr>
          <w:rFonts w:ascii="Times New Roman" w:hAnsi="Times New Roman" w:cs="Times New Roman"/>
          <w:sz w:val="20"/>
          <w:szCs w:val="20"/>
          <w:lang w:eastAsia="en-GB"/>
        </w:rPr>
        <w:t>.</w:t>
      </w:r>
      <w:r w:rsidR="000827F8">
        <w:rPr>
          <w:rFonts w:ascii="Times New Roman" w:hAnsi="Times New Roman" w:cs="Times New Roman"/>
          <w:sz w:val="20"/>
          <w:szCs w:val="20"/>
          <w:lang w:eastAsia="en-GB"/>
        </w:rPr>
        <w:t xml:space="preserve"> </w:t>
      </w:r>
      <w:r w:rsidR="0071482E">
        <w:rPr>
          <w:rFonts w:ascii="Times New Roman" w:hAnsi="Times New Roman" w:cs="Times New Roman"/>
          <w:sz w:val="20"/>
          <w:szCs w:val="20"/>
          <w:lang w:eastAsia="en-GB"/>
        </w:rPr>
        <w:t xml:space="preserve">The </w:t>
      </w:r>
      <w:r w:rsidR="00DA2EEF">
        <w:rPr>
          <w:rFonts w:ascii="Times New Roman" w:hAnsi="Times New Roman" w:cs="Times New Roman"/>
          <w:sz w:val="20"/>
          <w:szCs w:val="20"/>
          <w:lang w:eastAsia="en-GB"/>
        </w:rPr>
        <w:t xml:space="preserve">endorsed </w:t>
      </w:r>
      <w:r w:rsidR="0071482E">
        <w:rPr>
          <w:rFonts w:ascii="Times New Roman" w:hAnsi="Times New Roman" w:cs="Times New Roman"/>
          <w:sz w:val="20"/>
          <w:szCs w:val="20"/>
          <w:lang w:eastAsia="en-GB"/>
        </w:rPr>
        <w:t>impact</w:t>
      </w:r>
      <w:r w:rsidR="000827F8">
        <w:rPr>
          <w:rFonts w:ascii="Times New Roman" w:hAnsi="Times New Roman" w:cs="Times New Roman"/>
          <w:sz w:val="20"/>
          <w:szCs w:val="20"/>
          <w:lang w:eastAsia="en-GB"/>
        </w:rPr>
        <w:t xml:space="preserve">s </w:t>
      </w:r>
      <w:r w:rsidR="00FC67D7">
        <w:rPr>
          <w:rFonts w:ascii="Times New Roman" w:hAnsi="Times New Roman" w:cs="Times New Roman"/>
          <w:sz w:val="20"/>
          <w:szCs w:val="20"/>
          <w:lang w:eastAsia="en-GB"/>
        </w:rPr>
        <w:t>of the various options</w:t>
      </w:r>
      <w:r w:rsidR="000827F8">
        <w:rPr>
          <w:rFonts w:ascii="Times New Roman" w:hAnsi="Times New Roman" w:cs="Times New Roman"/>
          <w:sz w:val="20"/>
          <w:szCs w:val="20"/>
          <w:lang w:eastAsia="en-GB"/>
        </w:rPr>
        <w:t xml:space="preserve"> are summarized in </w:t>
      </w:r>
      <w:r w:rsidR="000827F8">
        <w:rPr>
          <w:rFonts w:ascii="Times New Roman" w:hAnsi="Times New Roman" w:cs="Times New Roman"/>
          <w:sz w:val="20"/>
          <w:szCs w:val="20"/>
          <w:lang w:eastAsia="en-GB"/>
        </w:rPr>
        <w:fldChar w:fldCharType="begin"/>
      </w:r>
      <w:r w:rsidR="000827F8">
        <w:rPr>
          <w:rFonts w:ascii="Times New Roman" w:hAnsi="Times New Roman" w:cs="Times New Roman"/>
          <w:sz w:val="20"/>
          <w:szCs w:val="20"/>
          <w:lang w:eastAsia="en-GB"/>
        </w:rPr>
        <w:instrText xml:space="preserve"> REF _Ref112916074 \h </w:instrText>
      </w:r>
      <w:r w:rsidR="000827F8">
        <w:rPr>
          <w:rFonts w:ascii="Times New Roman" w:hAnsi="Times New Roman" w:cs="Times New Roman"/>
          <w:sz w:val="20"/>
          <w:szCs w:val="20"/>
          <w:lang w:eastAsia="en-GB"/>
        </w:rPr>
      </w:r>
      <w:r w:rsidR="000827F8">
        <w:rPr>
          <w:rFonts w:ascii="Times New Roman" w:hAnsi="Times New Roman" w:cs="Times New Roman"/>
          <w:sz w:val="20"/>
          <w:szCs w:val="20"/>
          <w:lang w:eastAsia="en-GB"/>
        </w:rPr>
        <w:fldChar w:fldCharType="separate"/>
      </w:r>
      <w:r w:rsidR="0017405F" w:rsidRPr="009D6782">
        <w:rPr>
          <w:rFonts w:ascii="Times New Roman" w:hAnsi="Times New Roman" w:cs="Times New Roman"/>
          <w:sz w:val="20"/>
          <w:szCs w:val="20"/>
        </w:rPr>
        <w:t xml:space="preserve">Table </w:t>
      </w:r>
      <w:r w:rsidR="0017405F">
        <w:rPr>
          <w:rFonts w:ascii="Times New Roman" w:hAnsi="Times New Roman" w:cs="Times New Roman"/>
          <w:noProof/>
          <w:sz w:val="20"/>
          <w:szCs w:val="20"/>
        </w:rPr>
        <w:t>2</w:t>
      </w:r>
      <w:r w:rsidR="000827F8">
        <w:rPr>
          <w:rFonts w:ascii="Times New Roman" w:hAnsi="Times New Roman" w:cs="Times New Roman"/>
          <w:sz w:val="20"/>
          <w:szCs w:val="20"/>
          <w:lang w:eastAsia="en-GB"/>
        </w:rPr>
        <w:fldChar w:fldCharType="end"/>
      </w:r>
      <w:r w:rsidR="00FC67D7">
        <w:rPr>
          <w:rFonts w:ascii="Times New Roman" w:hAnsi="Times New Roman" w:cs="Times New Roman"/>
          <w:sz w:val="20"/>
          <w:szCs w:val="20"/>
          <w:lang w:eastAsia="en-GB"/>
        </w:rPr>
        <w:t xml:space="preserve"> </w:t>
      </w:r>
      <w:r w:rsidR="00E4315E">
        <w:rPr>
          <w:rFonts w:ascii="Times New Roman" w:hAnsi="Times New Roman" w:cs="Times New Roman"/>
          <w:sz w:val="20"/>
          <w:szCs w:val="20"/>
          <w:lang w:eastAsia="en-GB"/>
        </w:rPr>
        <w:fldChar w:fldCharType="begin"/>
      </w:r>
      <w:r w:rsidR="00E4315E">
        <w:rPr>
          <w:rFonts w:ascii="Times New Roman" w:hAnsi="Times New Roman" w:cs="Times New Roman"/>
          <w:sz w:val="20"/>
          <w:szCs w:val="20"/>
          <w:lang w:eastAsia="en-GB"/>
        </w:rPr>
        <w:instrText xml:space="preserve"> REF _Ref112916205 \n \h </w:instrText>
      </w:r>
      <w:r w:rsidR="00E4315E">
        <w:rPr>
          <w:rFonts w:ascii="Times New Roman" w:hAnsi="Times New Roman" w:cs="Times New Roman"/>
          <w:sz w:val="20"/>
          <w:szCs w:val="20"/>
          <w:lang w:eastAsia="en-GB"/>
        </w:rPr>
      </w:r>
      <w:r w:rsidR="00E4315E">
        <w:rPr>
          <w:rFonts w:ascii="Times New Roman" w:hAnsi="Times New Roman" w:cs="Times New Roman"/>
          <w:sz w:val="20"/>
          <w:szCs w:val="20"/>
          <w:lang w:eastAsia="en-GB"/>
        </w:rPr>
        <w:fldChar w:fldCharType="separate"/>
      </w:r>
      <w:r w:rsidR="0017405F">
        <w:rPr>
          <w:rFonts w:ascii="Times New Roman" w:hAnsi="Times New Roman" w:cs="Times New Roman"/>
          <w:sz w:val="20"/>
          <w:szCs w:val="20"/>
          <w:lang w:eastAsia="en-GB"/>
        </w:rPr>
        <w:t>[1]</w:t>
      </w:r>
      <w:r w:rsidR="00E4315E">
        <w:rPr>
          <w:rFonts w:ascii="Times New Roman" w:hAnsi="Times New Roman" w:cs="Times New Roman"/>
          <w:sz w:val="20"/>
          <w:szCs w:val="20"/>
          <w:lang w:eastAsia="en-GB"/>
        </w:rPr>
        <w:fldChar w:fldCharType="end"/>
      </w:r>
      <w:r w:rsidR="0071482E" w:rsidRPr="00C51FAA">
        <w:rPr>
          <w:rFonts w:ascii="Times New Roman" w:hAnsi="Times New Roman" w:cs="Times New Roman"/>
          <w:sz w:val="20"/>
          <w:szCs w:val="20"/>
          <w:lang w:eastAsia="en-GB"/>
        </w:rPr>
        <w:t>.</w:t>
      </w:r>
      <w:r w:rsidR="001431E5">
        <w:rPr>
          <w:rFonts w:ascii="Times New Roman" w:hAnsi="Times New Roman" w:cs="Times New Roman"/>
          <w:sz w:val="20"/>
          <w:szCs w:val="20"/>
          <w:lang w:eastAsia="en-GB"/>
        </w:rPr>
        <w:t xml:space="preserve"> </w:t>
      </w:r>
      <w:r w:rsidR="00D56375">
        <w:rPr>
          <w:rFonts w:ascii="Times New Roman" w:hAnsi="Times New Roman" w:cs="Times New Roman"/>
          <w:sz w:val="20"/>
          <w:szCs w:val="20"/>
          <w:lang w:eastAsia="en-GB"/>
        </w:rPr>
        <w:t xml:space="preserve">Coverage evaluations for the options are summarized in </w:t>
      </w:r>
      <w:r w:rsidR="009621D3">
        <w:rPr>
          <w:rFonts w:ascii="Times New Roman" w:hAnsi="Times New Roman" w:cs="Times New Roman"/>
          <w:sz w:val="20"/>
          <w:szCs w:val="20"/>
          <w:lang w:eastAsia="en-GB"/>
        </w:rPr>
        <w:fldChar w:fldCharType="begin"/>
      </w:r>
      <w:r w:rsidR="009621D3">
        <w:rPr>
          <w:rFonts w:ascii="Times New Roman" w:hAnsi="Times New Roman" w:cs="Times New Roman"/>
          <w:sz w:val="20"/>
          <w:szCs w:val="20"/>
          <w:lang w:eastAsia="en-GB"/>
        </w:rPr>
        <w:instrText xml:space="preserve"> REF _Ref112919718 \h </w:instrText>
      </w:r>
      <w:r w:rsidR="009621D3">
        <w:rPr>
          <w:rFonts w:ascii="Times New Roman" w:hAnsi="Times New Roman" w:cs="Times New Roman"/>
          <w:sz w:val="20"/>
          <w:szCs w:val="20"/>
          <w:lang w:eastAsia="en-GB"/>
        </w:rPr>
      </w:r>
      <w:r w:rsidR="009621D3">
        <w:rPr>
          <w:rFonts w:ascii="Times New Roman" w:hAnsi="Times New Roman" w:cs="Times New Roman"/>
          <w:sz w:val="20"/>
          <w:szCs w:val="20"/>
          <w:lang w:eastAsia="en-GB"/>
        </w:rPr>
        <w:fldChar w:fldCharType="separate"/>
      </w:r>
      <w:r w:rsidR="0017405F" w:rsidRPr="009D6782">
        <w:rPr>
          <w:rFonts w:ascii="Times New Roman" w:hAnsi="Times New Roman" w:cs="Times New Roman"/>
          <w:sz w:val="20"/>
          <w:szCs w:val="20"/>
        </w:rPr>
        <w:t xml:space="preserve">Table </w:t>
      </w:r>
      <w:r w:rsidR="0017405F">
        <w:rPr>
          <w:rFonts w:ascii="Times New Roman" w:hAnsi="Times New Roman" w:cs="Times New Roman"/>
          <w:noProof/>
          <w:sz w:val="20"/>
          <w:szCs w:val="20"/>
        </w:rPr>
        <w:t>3</w:t>
      </w:r>
      <w:r w:rsidR="009621D3">
        <w:rPr>
          <w:rFonts w:ascii="Times New Roman" w:hAnsi="Times New Roman" w:cs="Times New Roman"/>
          <w:sz w:val="20"/>
          <w:szCs w:val="20"/>
          <w:lang w:eastAsia="en-GB"/>
        </w:rPr>
        <w:fldChar w:fldCharType="end"/>
      </w:r>
      <w:r w:rsidR="00E4315E">
        <w:rPr>
          <w:rFonts w:ascii="Times New Roman" w:hAnsi="Times New Roman" w:cs="Times New Roman"/>
          <w:sz w:val="20"/>
          <w:szCs w:val="20"/>
          <w:lang w:eastAsia="en-GB"/>
        </w:rPr>
        <w:t xml:space="preserve"> </w:t>
      </w:r>
      <w:r w:rsidR="00E4315E">
        <w:rPr>
          <w:rFonts w:ascii="Times New Roman" w:hAnsi="Times New Roman" w:cs="Times New Roman"/>
          <w:sz w:val="20"/>
          <w:szCs w:val="20"/>
          <w:lang w:eastAsia="en-GB"/>
        </w:rPr>
        <w:fldChar w:fldCharType="begin"/>
      </w:r>
      <w:r w:rsidR="00E4315E">
        <w:rPr>
          <w:rFonts w:ascii="Times New Roman" w:hAnsi="Times New Roman" w:cs="Times New Roman"/>
          <w:sz w:val="20"/>
          <w:szCs w:val="20"/>
          <w:lang w:eastAsia="en-GB"/>
        </w:rPr>
        <w:instrText xml:space="preserve"> REF _Ref112919807 \n \h </w:instrText>
      </w:r>
      <w:r w:rsidR="00E4315E">
        <w:rPr>
          <w:rFonts w:ascii="Times New Roman" w:hAnsi="Times New Roman" w:cs="Times New Roman"/>
          <w:sz w:val="20"/>
          <w:szCs w:val="20"/>
          <w:lang w:eastAsia="en-GB"/>
        </w:rPr>
      </w:r>
      <w:r w:rsidR="00E4315E">
        <w:rPr>
          <w:rFonts w:ascii="Times New Roman" w:hAnsi="Times New Roman" w:cs="Times New Roman"/>
          <w:sz w:val="20"/>
          <w:szCs w:val="20"/>
          <w:lang w:eastAsia="en-GB"/>
        </w:rPr>
        <w:fldChar w:fldCharType="separate"/>
      </w:r>
      <w:r w:rsidR="0017405F">
        <w:rPr>
          <w:rFonts w:ascii="Times New Roman" w:hAnsi="Times New Roman" w:cs="Times New Roman"/>
          <w:sz w:val="20"/>
          <w:szCs w:val="20"/>
          <w:lang w:eastAsia="en-GB"/>
        </w:rPr>
        <w:t>[4]</w:t>
      </w:r>
      <w:r w:rsidR="00E4315E">
        <w:rPr>
          <w:rFonts w:ascii="Times New Roman" w:hAnsi="Times New Roman" w:cs="Times New Roman"/>
          <w:sz w:val="20"/>
          <w:szCs w:val="20"/>
          <w:lang w:eastAsia="en-GB"/>
        </w:rPr>
        <w:fldChar w:fldCharType="end"/>
      </w:r>
      <w:r w:rsidR="00D56375">
        <w:rPr>
          <w:rFonts w:ascii="Times New Roman" w:hAnsi="Times New Roman" w:cs="Times New Roman"/>
          <w:sz w:val="20"/>
          <w:szCs w:val="20"/>
          <w:lang w:eastAsia="en-GB"/>
        </w:rPr>
        <w:t xml:space="preserve">. </w:t>
      </w:r>
      <w:r w:rsidR="001431E5">
        <w:rPr>
          <w:rFonts w:ascii="Times New Roman" w:hAnsi="Times New Roman" w:cs="Times New Roman"/>
          <w:sz w:val="20"/>
          <w:szCs w:val="20"/>
          <w:lang w:eastAsia="en-GB"/>
        </w:rPr>
        <w:t xml:space="preserve">From </w:t>
      </w:r>
      <w:r w:rsidR="001431E5" w:rsidRPr="00C51FAA">
        <w:rPr>
          <w:rFonts w:ascii="Times New Roman" w:hAnsi="Times New Roman" w:cs="Times New Roman"/>
          <w:sz w:val="20"/>
          <w:szCs w:val="20"/>
          <w:lang w:eastAsia="en-GB"/>
        </w:rPr>
        <w:fldChar w:fldCharType="begin"/>
      </w:r>
      <w:r w:rsidR="001431E5" w:rsidRPr="00C51FAA">
        <w:rPr>
          <w:rFonts w:ascii="Times New Roman" w:hAnsi="Times New Roman" w:cs="Times New Roman"/>
          <w:sz w:val="20"/>
          <w:szCs w:val="20"/>
          <w:lang w:eastAsia="en-GB"/>
        </w:rPr>
        <w:instrText xml:space="preserve"> REF _Ref112915265 \h  \* MERGEFORMAT </w:instrText>
      </w:r>
      <w:r w:rsidR="001431E5" w:rsidRPr="00C51FAA">
        <w:rPr>
          <w:rFonts w:ascii="Times New Roman" w:hAnsi="Times New Roman" w:cs="Times New Roman"/>
          <w:sz w:val="20"/>
          <w:szCs w:val="20"/>
          <w:lang w:eastAsia="en-GB"/>
        </w:rPr>
      </w:r>
      <w:r w:rsidR="001431E5" w:rsidRPr="00C51FAA">
        <w:rPr>
          <w:rFonts w:ascii="Times New Roman" w:hAnsi="Times New Roman" w:cs="Times New Roman"/>
          <w:sz w:val="20"/>
          <w:szCs w:val="20"/>
          <w:lang w:eastAsia="en-GB"/>
        </w:rPr>
        <w:fldChar w:fldCharType="separate"/>
      </w:r>
      <w:r w:rsidR="0017405F" w:rsidRPr="009D6782">
        <w:rPr>
          <w:rFonts w:ascii="Times New Roman" w:hAnsi="Times New Roman" w:cs="Times New Roman"/>
          <w:sz w:val="20"/>
          <w:szCs w:val="20"/>
        </w:rPr>
        <w:t xml:space="preserve">Table </w:t>
      </w:r>
      <w:r w:rsidR="0017405F">
        <w:rPr>
          <w:rFonts w:ascii="Times New Roman" w:hAnsi="Times New Roman" w:cs="Times New Roman"/>
          <w:noProof/>
          <w:sz w:val="20"/>
          <w:szCs w:val="20"/>
        </w:rPr>
        <w:t>1</w:t>
      </w:r>
      <w:r w:rsidR="001431E5" w:rsidRPr="00C51FAA">
        <w:rPr>
          <w:rFonts w:ascii="Times New Roman" w:hAnsi="Times New Roman" w:cs="Times New Roman"/>
          <w:sz w:val="20"/>
          <w:szCs w:val="20"/>
          <w:lang w:eastAsia="en-GB"/>
        </w:rPr>
        <w:fldChar w:fldCharType="end"/>
      </w:r>
      <w:r w:rsidR="001431E5">
        <w:rPr>
          <w:rFonts w:ascii="Times New Roman" w:hAnsi="Times New Roman" w:cs="Times New Roman"/>
          <w:sz w:val="20"/>
          <w:szCs w:val="20"/>
          <w:lang w:eastAsia="en-GB"/>
        </w:rPr>
        <w:t xml:space="preserve"> </w:t>
      </w:r>
      <w:r w:rsidR="00626355">
        <w:rPr>
          <w:rFonts w:ascii="Times New Roman" w:hAnsi="Times New Roman" w:cs="Times New Roman"/>
          <w:sz w:val="20"/>
          <w:szCs w:val="20"/>
          <w:lang w:eastAsia="en-GB"/>
        </w:rPr>
        <w:t xml:space="preserve">– </w:t>
      </w:r>
      <w:r w:rsidR="00626355">
        <w:rPr>
          <w:rFonts w:ascii="Times New Roman" w:hAnsi="Times New Roman" w:cs="Times New Roman"/>
          <w:sz w:val="20"/>
          <w:szCs w:val="20"/>
          <w:lang w:eastAsia="en-GB"/>
        </w:rPr>
        <w:fldChar w:fldCharType="begin"/>
      </w:r>
      <w:r w:rsidR="00626355">
        <w:rPr>
          <w:rFonts w:ascii="Times New Roman" w:hAnsi="Times New Roman" w:cs="Times New Roman"/>
          <w:sz w:val="20"/>
          <w:szCs w:val="20"/>
          <w:lang w:eastAsia="en-GB"/>
        </w:rPr>
        <w:instrText xml:space="preserve"> REF _Ref112919718 \h </w:instrText>
      </w:r>
      <w:r w:rsidR="00626355">
        <w:rPr>
          <w:rFonts w:ascii="Times New Roman" w:hAnsi="Times New Roman" w:cs="Times New Roman"/>
          <w:sz w:val="20"/>
          <w:szCs w:val="20"/>
          <w:lang w:eastAsia="en-GB"/>
        </w:rPr>
      </w:r>
      <w:r w:rsidR="00626355">
        <w:rPr>
          <w:rFonts w:ascii="Times New Roman" w:hAnsi="Times New Roman" w:cs="Times New Roman"/>
          <w:sz w:val="20"/>
          <w:szCs w:val="20"/>
          <w:lang w:eastAsia="en-GB"/>
        </w:rPr>
        <w:fldChar w:fldCharType="separate"/>
      </w:r>
      <w:r w:rsidR="0017405F" w:rsidRPr="009D6782">
        <w:rPr>
          <w:rFonts w:ascii="Times New Roman" w:hAnsi="Times New Roman" w:cs="Times New Roman"/>
          <w:sz w:val="20"/>
          <w:szCs w:val="20"/>
        </w:rPr>
        <w:t xml:space="preserve">Table </w:t>
      </w:r>
      <w:r w:rsidR="0017405F">
        <w:rPr>
          <w:rFonts w:ascii="Times New Roman" w:hAnsi="Times New Roman" w:cs="Times New Roman"/>
          <w:noProof/>
          <w:sz w:val="20"/>
          <w:szCs w:val="20"/>
        </w:rPr>
        <w:t>3</w:t>
      </w:r>
      <w:r w:rsidR="00626355">
        <w:rPr>
          <w:rFonts w:ascii="Times New Roman" w:hAnsi="Times New Roman" w:cs="Times New Roman"/>
          <w:sz w:val="20"/>
          <w:szCs w:val="20"/>
          <w:lang w:eastAsia="en-GB"/>
        </w:rPr>
        <w:fldChar w:fldCharType="end"/>
      </w:r>
      <w:r w:rsidR="001431E5">
        <w:rPr>
          <w:rFonts w:ascii="Times New Roman" w:hAnsi="Times New Roman" w:cs="Times New Roman"/>
          <w:sz w:val="20"/>
          <w:szCs w:val="20"/>
          <w:lang w:eastAsia="en-GB"/>
        </w:rPr>
        <w:t>, it can be seen that –</w:t>
      </w:r>
    </w:p>
    <w:p w14:paraId="1B55FD13" w14:textId="2BED7E70" w:rsidR="001431E5" w:rsidRDefault="00117D52" w:rsidP="00CD5EB0">
      <w:pPr>
        <w:pStyle w:val="ListParagraph"/>
        <w:numPr>
          <w:ilvl w:val="0"/>
          <w:numId w:val="16"/>
        </w:numPr>
        <w:spacing w:after="0" w:line="240" w:lineRule="auto"/>
        <w:jc w:val="both"/>
        <w:rPr>
          <w:rFonts w:ascii="Times New Roman" w:hAnsi="Times New Roman" w:cs="Times New Roman"/>
          <w:sz w:val="20"/>
          <w:szCs w:val="20"/>
          <w:lang w:eastAsia="en-GB"/>
        </w:rPr>
      </w:pPr>
      <w:r>
        <w:rPr>
          <w:rFonts w:ascii="Times New Roman" w:hAnsi="Times New Roman" w:cs="Times New Roman"/>
          <w:sz w:val="20"/>
          <w:szCs w:val="20"/>
          <w:lang w:eastAsia="en-GB"/>
        </w:rPr>
        <w:t xml:space="preserve">BW1 provides the largest complexity reduction but it has </w:t>
      </w:r>
      <w:r w:rsidR="005709DA" w:rsidRPr="005709DA">
        <w:rPr>
          <w:rFonts w:ascii="Times New Roman" w:hAnsi="Times New Roman" w:cs="Times New Roman"/>
          <w:sz w:val="20"/>
          <w:szCs w:val="20"/>
          <w:lang w:eastAsia="en-GB"/>
        </w:rPr>
        <w:t xml:space="preserve">large coexistence impact </w:t>
      </w:r>
      <w:r w:rsidR="00506B4D">
        <w:rPr>
          <w:rFonts w:ascii="Times New Roman" w:hAnsi="Times New Roman" w:cs="Times New Roman"/>
          <w:sz w:val="20"/>
          <w:szCs w:val="20"/>
          <w:lang w:eastAsia="en-GB"/>
        </w:rPr>
        <w:t>including</w:t>
      </w:r>
      <w:r w:rsidR="005709DA" w:rsidRPr="005709DA">
        <w:rPr>
          <w:rFonts w:ascii="Times New Roman" w:hAnsi="Times New Roman" w:cs="Times New Roman"/>
          <w:sz w:val="20"/>
          <w:szCs w:val="20"/>
          <w:lang w:eastAsia="en-GB"/>
        </w:rPr>
        <w:t xml:space="preserve"> support of SSB/CORESET #0 configurations</w:t>
      </w:r>
      <w:r w:rsidR="00506B4D">
        <w:rPr>
          <w:rFonts w:ascii="Times New Roman" w:hAnsi="Times New Roman" w:cs="Times New Roman"/>
          <w:sz w:val="20"/>
          <w:szCs w:val="20"/>
          <w:lang w:eastAsia="en-GB"/>
        </w:rPr>
        <w:t xml:space="preserve">, </w:t>
      </w:r>
      <w:r w:rsidR="005709DA" w:rsidRPr="005709DA">
        <w:rPr>
          <w:rFonts w:ascii="Times New Roman" w:hAnsi="Times New Roman" w:cs="Times New Roman"/>
          <w:sz w:val="20"/>
          <w:szCs w:val="20"/>
          <w:lang w:eastAsia="en-GB"/>
        </w:rPr>
        <w:t>limitations of RACH configurations and PRACH sharing procedure</w:t>
      </w:r>
      <w:r w:rsidR="00506B4D">
        <w:rPr>
          <w:rFonts w:ascii="Times New Roman" w:hAnsi="Times New Roman" w:cs="Times New Roman"/>
          <w:sz w:val="20"/>
          <w:szCs w:val="20"/>
          <w:lang w:eastAsia="en-GB"/>
        </w:rPr>
        <w:t xml:space="preserve">, </w:t>
      </w:r>
      <w:r w:rsidR="005709DA" w:rsidRPr="005709DA">
        <w:rPr>
          <w:rFonts w:ascii="Times New Roman" w:hAnsi="Times New Roman" w:cs="Times New Roman"/>
          <w:sz w:val="20"/>
          <w:szCs w:val="20"/>
          <w:lang w:eastAsia="en-GB"/>
        </w:rPr>
        <w:t>SSB transmissions and BWP operation</w:t>
      </w:r>
      <w:r w:rsidR="00FD5276">
        <w:rPr>
          <w:rFonts w:ascii="Times New Roman" w:hAnsi="Times New Roman" w:cs="Times New Roman"/>
          <w:sz w:val="20"/>
          <w:szCs w:val="20"/>
          <w:lang w:eastAsia="en-GB"/>
        </w:rPr>
        <w:t>.</w:t>
      </w:r>
      <w:r w:rsidR="00C16BBA">
        <w:rPr>
          <w:rFonts w:ascii="Times New Roman" w:hAnsi="Times New Roman" w:cs="Times New Roman"/>
          <w:sz w:val="20"/>
          <w:szCs w:val="20"/>
          <w:lang w:eastAsia="en-GB"/>
        </w:rPr>
        <w:t xml:space="preserve"> </w:t>
      </w:r>
      <w:r w:rsidR="00B922F0">
        <w:rPr>
          <w:rFonts w:ascii="Times New Roman" w:hAnsi="Times New Roman" w:cs="Times New Roman"/>
          <w:sz w:val="20"/>
          <w:szCs w:val="20"/>
          <w:lang w:eastAsia="en-GB"/>
        </w:rPr>
        <w:t>As a result</w:t>
      </w:r>
      <w:r w:rsidR="00C16BBA">
        <w:rPr>
          <w:rFonts w:ascii="Times New Roman" w:hAnsi="Times New Roman" w:cs="Times New Roman"/>
          <w:sz w:val="20"/>
          <w:szCs w:val="20"/>
          <w:lang w:eastAsia="en-GB"/>
        </w:rPr>
        <w:t xml:space="preserve">, BW1 </w:t>
      </w:r>
      <w:r w:rsidR="00B922F0">
        <w:rPr>
          <w:rFonts w:ascii="Times New Roman" w:hAnsi="Times New Roman" w:cs="Times New Roman"/>
          <w:sz w:val="20"/>
          <w:szCs w:val="20"/>
          <w:lang w:eastAsia="en-GB"/>
        </w:rPr>
        <w:t xml:space="preserve">may </w:t>
      </w:r>
      <w:r w:rsidR="00C16BBA">
        <w:rPr>
          <w:rFonts w:ascii="Times New Roman" w:hAnsi="Times New Roman" w:cs="Times New Roman"/>
          <w:sz w:val="20"/>
          <w:szCs w:val="20"/>
          <w:lang w:eastAsia="en-GB"/>
        </w:rPr>
        <w:t>have large specification impact.</w:t>
      </w:r>
    </w:p>
    <w:p w14:paraId="71A4D224" w14:textId="2DD51CDE" w:rsidR="00FD5276" w:rsidRPr="00BF6F3B" w:rsidRDefault="000501E7" w:rsidP="00CD5EB0">
      <w:pPr>
        <w:pStyle w:val="ListParagraph"/>
        <w:numPr>
          <w:ilvl w:val="0"/>
          <w:numId w:val="16"/>
        </w:numPr>
        <w:spacing w:after="0" w:line="240" w:lineRule="auto"/>
        <w:jc w:val="both"/>
        <w:rPr>
          <w:rFonts w:ascii="Times New Roman" w:hAnsi="Times New Roman" w:cs="Times New Roman"/>
          <w:sz w:val="20"/>
          <w:szCs w:val="20"/>
          <w:lang w:eastAsia="en-GB"/>
        </w:rPr>
      </w:pPr>
      <w:r>
        <w:rPr>
          <w:rFonts w:ascii="Times New Roman" w:hAnsi="Times New Roman" w:cs="Times New Roman"/>
          <w:sz w:val="20"/>
          <w:szCs w:val="20"/>
          <w:lang w:eastAsia="en-GB"/>
        </w:rPr>
        <w:t>BW3 and PR3</w:t>
      </w:r>
      <w:r w:rsidR="009A78F0">
        <w:rPr>
          <w:rFonts w:ascii="Times New Roman" w:hAnsi="Times New Roman" w:cs="Times New Roman"/>
          <w:sz w:val="20"/>
          <w:szCs w:val="20"/>
          <w:lang w:eastAsia="en-GB"/>
        </w:rPr>
        <w:t xml:space="preserve"> provide </w:t>
      </w:r>
      <w:r w:rsidR="00881CBA">
        <w:rPr>
          <w:rFonts w:ascii="Times New Roman" w:hAnsi="Times New Roman" w:cs="Times New Roman"/>
          <w:sz w:val="20"/>
          <w:szCs w:val="20"/>
          <w:lang w:eastAsia="en-GB"/>
        </w:rPr>
        <w:t>good</w:t>
      </w:r>
      <w:r w:rsidR="009A78F0">
        <w:rPr>
          <w:rFonts w:ascii="Times New Roman" w:hAnsi="Times New Roman" w:cs="Times New Roman"/>
          <w:sz w:val="20"/>
          <w:szCs w:val="20"/>
          <w:lang w:eastAsia="en-GB"/>
        </w:rPr>
        <w:t xml:space="preserve"> complexity reduction.</w:t>
      </w:r>
      <w:r w:rsidR="00881CBA">
        <w:rPr>
          <w:rFonts w:ascii="Times New Roman" w:hAnsi="Times New Roman" w:cs="Times New Roman"/>
          <w:sz w:val="20"/>
          <w:szCs w:val="20"/>
          <w:lang w:eastAsia="en-GB"/>
        </w:rPr>
        <w:t xml:space="preserve"> </w:t>
      </w:r>
      <w:r w:rsidR="003B4008">
        <w:rPr>
          <w:rFonts w:ascii="Times New Roman" w:hAnsi="Times New Roman" w:cs="Times New Roman"/>
          <w:sz w:val="20"/>
          <w:szCs w:val="20"/>
          <w:lang w:eastAsia="en-GB"/>
        </w:rPr>
        <w:t>The</w:t>
      </w:r>
      <w:r w:rsidR="004330D0">
        <w:rPr>
          <w:rFonts w:ascii="Times New Roman" w:hAnsi="Times New Roman" w:cs="Times New Roman"/>
          <w:sz w:val="20"/>
          <w:szCs w:val="20"/>
          <w:lang w:eastAsia="en-GB"/>
        </w:rPr>
        <w:t xml:space="preserve"> two </w:t>
      </w:r>
      <w:r w:rsidR="003B4008">
        <w:rPr>
          <w:rFonts w:ascii="Times New Roman" w:hAnsi="Times New Roman" w:cs="Times New Roman"/>
          <w:sz w:val="20"/>
          <w:szCs w:val="20"/>
          <w:lang w:eastAsia="en-GB"/>
        </w:rPr>
        <w:t xml:space="preserve">options are </w:t>
      </w:r>
      <w:r w:rsidR="004330D0">
        <w:rPr>
          <w:rFonts w:ascii="Times New Roman" w:hAnsi="Times New Roman" w:cs="Times New Roman"/>
          <w:sz w:val="20"/>
          <w:szCs w:val="20"/>
          <w:lang w:eastAsia="en-GB"/>
        </w:rPr>
        <w:t xml:space="preserve">very </w:t>
      </w:r>
      <w:r w:rsidR="003B4008">
        <w:rPr>
          <w:rFonts w:ascii="Times New Roman" w:hAnsi="Times New Roman" w:cs="Times New Roman"/>
          <w:sz w:val="20"/>
          <w:szCs w:val="20"/>
          <w:lang w:eastAsia="en-GB"/>
        </w:rPr>
        <w:t xml:space="preserve">similar </w:t>
      </w:r>
      <w:r w:rsidR="003D6CF6">
        <w:rPr>
          <w:rFonts w:ascii="Times New Roman" w:hAnsi="Times New Roman" w:cs="Times New Roman"/>
          <w:sz w:val="20"/>
          <w:szCs w:val="20"/>
          <w:lang w:eastAsia="en-GB"/>
        </w:rPr>
        <w:t xml:space="preserve">with the key </w:t>
      </w:r>
      <w:r w:rsidR="009F5142" w:rsidRPr="009F5142">
        <w:rPr>
          <w:rFonts w:ascii="Times New Roman" w:hAnsi="Times New Roman" w:cs="Times New Roman"/>
          <w:sz w:val="20"/>
          <w:szCs w:val="20"/>
          <w:lang w:eastAsia="en-GB"/>
        </w:rPr>
        <w:t>difference</w:t>
      </w:r>
      <w:r w:rsidR="007914D5">
        <w:rPr>
          <w:rFonts w:ascii="Times New Roman" w:hAnsi="Times New Roman" w:cs="Times New Roman"/>
          <w:sz w:val="20"/>
          <w:szCs w:val="20"/>
          <w:lang w:eastAsia="en-GB"/>
        </w:rPr>
        <w:t xml:space="preserve"> </w:t>
      </w:r>
      <w:r w:rsidR="003D6CF6">
        <w:rPr>
          <w:rFonts w:ascii="Times New Roman" w:hAnsi="Times New Roman" w:cs="Times New Roman"/>
          <w:sz w:val="20"/>
          <w:szCs w:val="20"/>
          <w:lang w:eastAsia="en-GB"/>
        </w:rPr>
        <w:t>being</w:t>
      </w:r>
      <w:r w:rsidR="009F5142" w:rsidRPr="009F5142">
        <w:rPr>
          <w:rFonts w:ascii="Times New Roman" w:hAnsi="Times New Roman" w:cs="Times New Roman"/>
          <w:sz w:val="20"/>
          <w:szCs w:val="20"/>
          <w:lang w:eastAsia="en-GB"/>
        </w:rPr>
        <w:t xml:space="preserve"> whether the allocated RBs are within 5 MHz (BW3) or within 20 MHz (PR3)</w:t>
      </w:r>
      <w:r w:rsidR="003B4008">
        <w:rPr>
          <w:rFonts w:ascii="Times New Roman" w:hAnsi="Times New Roman" w:cs="Times New Roman"/>
          <w:sz w:val="20"/>
          <w:szCs w:val="20"/>
          <w:lang w:eastAsia="en-GB"/>
        </w:rPr>
        <w:t xml:space="preserve">. </w:t>
      </w:r>
      <w:r w:rsidR="00881CBA">
        <w:rPr>
          <w:rFonts w:ascii="Times New Roman" w:hAnsi="Times New Roman" w:cs="Times New Roman"/>
          <w:sz w:val="20"/>
          <w:szCs w:val="20"/>
          <w:lang w:eastAsia="en-GB"/>
        </w:rPr>
        <w:t xml:space="preserve">The </w:t>
      </w:r>
      <w:r w:rsidR="00D37570">
        <w:rPr>
          <w:rFonts w:ascii="Times New Roman" w:hAnsi="Times New Roman" w:cs="Times New Roman"/>
          <w:sz w:val="20"/>
          <w:szCs w:val="20"/>
          <w:lang w:eastAsia="en-GB"/>
        </w:rPr>
        <w:t xml:space="preserve">coexistence </w:t>
      </w:r>
      <w:r w:rsidR="00881CBA">
        <w:rPr>
          <w:rFonts w:ascii="Times New Roman" w:hAnsi="Times New Roman" w:cs="Times New Roman"/>
          <w:sz w:val="20"/>
          <w:szCs w:val="20"/>
          <w:lang w:eastAsia="en-GB"/>
        </w:rPr>
        <w:t xml:space="preserve">impact </w:t>
      </w:r>
      <w:r w:rsidR="00742551">
        <w:rPr>
          <w:rFonts w:ascii="Times New Roman" w:hAnsi="Times New Roman" w:cs="Times New Roman"/>
          <w:sz w:val="20"/>
          <w:szCs w:val="20"/>
          <w:lang w:eastAsia="en-GB"/>
        </w:rPr>
        <w:t xml:space="preserve">from both options are related to </w:t>
      </w:r>
      <w:r w:rsidR="00F04729" w:rsidRPr="00E56E6E">
        <w:rPr>
          <w:rFonts w:ascii="Times New Roman" w:hAnsi="Times New Roman" w:cs="Times New Roman"/>
          <w:sz w:val="20"/>
          <w:szCs w:val="20"/>
        </w:rPr>
        <w:t xml:space="preserve">common channels </w:t>
      </w:r>
      <w:r w:rsidR="00742551">
        <w:rPr>
          <w:rFonts w:ascii="Times New Roman" w:hAnsi="Times New Roman" w:cs="Times New Roman"/>
          <w:sz w:val="20"/>
          <w:szCs w:val="20"/>
        </w:rPr>
        <w:t>that must be scheduled with restricted number of PRBs</w:t>
      </w:r>
      <w:r w:rsidR="00E4174D">
        <w:rPr>
          <w:rFonts w:ascii="Times New Roman" w:hAnsi="Times New Roman" w:cs="Times New Roman"/>
          <w:sz w:val="20"/>
          <w:szCs w:val="20"/>
        </w:rPr>
        <w:t xml:space="preserve">. </w:t>
      </w:r>
      <w:r w:rsidR="00EF536B">
        <w:rPr>
          <w:rFonts w:ascii="Times New Roman" w:hAnsi="Times New Roman" w:cs="Times New Roman"/>
          <w:sz w:val="20"/>
          <w:szCs w:val="20"/>
        </w:rPr>
        <w:t>However, b</w:t>
      </w:r>
      <w:r w:rsidR="00683DA2">
        <w:rPr>
          <w:rFonts w:ascii="Times New Roman" w:hAnsi="Times New Roman" w:cs="Times New Roman"/>
          <w:sz w:val="20"/>
          <w:szCs w:val="20"/>
        </w:rPr>
        <w:t xml:space="preserve">oth options are expected to have </w:t>
      </w:r>
      <w:r w:rsidR="00683DA2" w:rsidRPr="009316C5">
        <w:rPr>
          <w:rFonts w:ascii="Times New Roman" w:eastAsia="Times New Roman" w:hAnsi="Times New Roman" w:cs="Times New Roman"/>
          <w:sz w:val="20"/>
          <w:szCs w:val="20"/>
        </w:rPr>
        <w:t>minimal specification impact</w:t>
      </w:r>
      <w:r w:rsidR="00683DA2">
        <w:rPr>
          <w:rFonts w:ascii="Times New Roman" w:eastAsia="Times New Roman" w:hAnsi="Times New Roman" w:cs="Times New Roman"/>
          <w:sz w:val="20"/>
          <w:szCs w:val="20"/>
        </w:rPr>
        <w:t>.</w:t>
      </w:r>
    </w:p>
    <w:p w14:paraId="7E856CB6" w14:textId="7DDEA251" w:rsidR="00BF6F3B" w:rsidRDefault="00BF6F3B" w:rsidP="00CD5EB0">
      <w:pPr>
        <w:pStyle w:val="ListParagraph"/>
        <w:numPr>
          <w:ilvl w:val="0"/>
          <w:numId w:val="16"/>
        </w:numPr>
        <w:spacing w:after="0" w:line="240" w:lineRule="auto"/>
        <w:jc w:val="both"/>
        <w:rPr>
          <w:rFonts w:ascii="Times New Roman" w:hAnsi="Times New Roman" w:cs="Times New Roman"/>
          <w:sz w:val="20"/>
          <w:szCs w:val="20"/>
          <w:lang w:eastAsia="en-GB"/>
        </w:rPr>
      </w:pPr>
      <w:r>
        <w:rPr>
          <w:rFonts w:ascii="Times New Roman" w:hAnsi="Times New Roman" w:cs="Times New Roman"/>
          <w:sz w:val="20"/>
          <w:szCs w:val="20"/>
          <w:lang w:eastAsia="en-GB"/>
        </w:rPr>
        <w:t>Coverage evaluation</w:t>
      </w:r>
      <w:r w:rsidR="00410EA3">
        <w:rPr>
          <w:rFonts w:ascii="Times New Roman" w:hAnsi="Times New Roman" w:cs="Times New Roman"/>
          <w:sz w:val="20"/>
          <w:szCs w:val="20"/>
          <w:lang w:eastAsia="en-GB"/>
        </w:rPr>
        <w:t>s</w:t>
      </w:r>
      <w:r w:rsidR="0038207F">
        <w:rPr>
          <w:rFonts w:ascii="Times New Roman" w:hAnsi="Times New Roman" w:cs="Times New Roman"/>
          <w:sz w:val="20"/>
          <w:szCs w:val="20"/>
          <w:lang w:eastAsia="en-GB"/>
        </w:rPr>
        <w:t xml:space="preserve"> </w:t>
      </w:r>
      <w:r w:rsidR="00725ECF">
        <w:rPr>
          <w:rFonts w:ascii="Times New Roman" w:hAnsi="Times New Roman" w:cs="Times New Roman"/>
          <w:sz w:val="20"/>
          <w:szCs w:val="20"/>
          <w:lang w:eastAsia="en-GB"/>
        </w:rPr>
        <w:t xml:space="preserve">show that, </w:t>
      </w:r>
      <w:r w:rsidR="00947D4E">
        <w:rPr>
          <w:rFonts w:ascii="Times New Roman" w:hAnsi="Times New Roman" w:cs="Times New Roman"/>
          <w:sz w:val="20"/>
          <w:szCs w:val="20"/>
          <w:lang w:eastAsia="en-GB"/>
        </w:rPr>
        <w:t xml:space="preserve">in all except </w:t>
      </w:r>
      <w:r w:rsidR="00982743">
        <w:rPr>
          <w:rFonts w:ascii="Times New Roman" w:hAnsi="Times New Roman" w:cs="Times New Roman"/>
          <w:sz w:val="20"/>
          <w:szCs w:val="20"/>
          <w:lang w:eastAsia="en-GB"/>
        </w:rPr>
        <w:t>one deployment scenario</w:t>
      </w:r>
      <w:r w:rsidR="00725ECF">
        <w:rPr>
          <w:rFonts w:ascii="Times New Roman" w:hAnsi="Times New Roman" w:cs="Times New Roman"/>
          <w:sz w:val="20"/>
          <w:szCs w:val="20"/>
          <w:lang w:eastAsia="en-GB"/>
        </w:rPr>
        <w:t>,</w:t>
      </w:r>
      <w:r>
        <w:rPr>
          <w:rFonts w:ascii="Times New Roman" w:hAnsi="Times New Roman" w:cs="Times New Roman"/>
          <w:sz w:val="20"/>
          <w:szCs w:val="20"/>
          <w:lang w:eastAsia="en-GB"/>
        </w:rPr>
        <w:t xml:space="preserve"> </w:t>
      </w:r>
      <w:r w:rsidR="00C5624D">
        <w:rPr>
          <w:rFonts w:ascii="Times New Roman" w:hAnsi="Times New Roman" w:cs="Times New Roman"/>
          <w:sz w:val="20"/>
          <w:szCs w:val="20"/>
          <w:lang w:eastAsia="en-GB"/>
        </w:rPr>
        <w:t xml:space="preserve">there </w:t>
      </w:r>
      <w:r w:rsidR="00D3583A">
        <w:rPr>
          <w:rFonts w:ascii="Times New Roman" w:hAnsi="Times New Roman" w:cs="Times New Roman"/>
          <w:sz w:val="20"/>
          <w:szCs w:val="20"/>
          <w:lang w:eastAsia="en-GB"/>
        </w:rPr>
        <w:t>is</w:t>
      </w:r>
      <w:r w:rsidR="00C5624D">
        <w:rPr>
          <w:rFonts w:ascii="Times New Roman" w:hAnsi="Times New Roman" w:cs="Times New Roman"/>
          <w:sz w:val="20"/>
          <w:szCs w:val="20"/>
          <w:lang w:eastAsia="en-GB"/>
        </w:rPr>
        <w:t xml:space="preserve"> no coverage issue with </w:t>
      </w:r>
      <w:r w:rsidR="00827AAC">
        <w:rPr>
          <w:rFonts w:ascii="Times New Roman" w:hAnsi="Times New Roman" w:cs="Times New Roman"/>
          <w:sz w:val="20"/>
          <w:szCs w:val="20"/>
          <w:lang w:eastAsia="en-GB"/>
        </w:rPr>
        <w:t xml:space="preserve">BW1, </w:t>
      </w:r>
      <w:r>
        <w:rPr>
          <w:rFonts w:ascii="Times New Roman" w:hAnsi="Times New Roman" w:cs="Times New Roman"/>
          <w:sz w:val="20"/>
          <w:szCs w:val="20"/>
          <w:lang w:eastAsia="en-GB"/>
        </w:rPr>
        <w:t>BW3 and PR3</w:t>
      </w:r>
      <w:r w:rsidR="00827AAC">
        <w:rPr>
          <w:rFonts w:ascii="Times New Roman" w:hAnsi="Times New Roman" w:cs="Times New Roman"/>
          <w:sz w:val="20"/>
          <w:szCs w:val="20"/>
          <w:lang w:eastAsia="en-GB"/>
        </w:rPr>
        <w:t xml:space="preserve"> </w:t>
      </w:r>
      <w:r w:rsidR="002315F2">
        <w:rPr>
          <w:rFonts w:ascii="Times New Roman" w:hAnsi="Times New Roman" w:cs="Times New Roman"/>
          <w:sz w:val="20"/>
          <w:szCs w:val="20"/>
          <w:lang w:eastAsia="en-GB"/>
        </w:rPr>
        <w:t>for UE with no antenna efficiency loss</w:t>
      </w:r>
      <w:r w:rsidR="00F12C89">
        <w:rPr>
          <w:rFonts w:ascii="Times New Roman" w:hAnsi="Times New Roman" w:cs="Times New Roman"/>
          <w:sz w:val="20"/>
          <w:szCs w:val="20"/>
          <w:lang w:eastAsia="en-GB"/>
        </w:rPr>
        <w:t xml:space="preserve">. </w:t>
      </w:r>
      <w:r w:rsidR="00584028">
        <w:rPr>
          <w:rFonts w:ascii="Times New Roman" w:hAnsi="Times New Roman" w:cs="Times New Roman"/>
          <w:sz w:val="20"/>
          <w:szCs w:val="20"/>
          <w:lang w:eastAsia="en-GB"/>
        </w:rPr>
        <w:t xml:space="preserve">When 3dB antenna efficiency loss is considered, </w:t>
      </w:r>
      <w:r w:rsidR="003F5ED0">
        <w:rPr>
          <w:rFonts w:ascii="Times New Roman" w:hAnsi="Times New Roman" w:cs="Times New Roman"/>
          <w:sz w:val="20"/>
          <w:szCs w:val="20"/>
          <w:lang w:eastAsia="en-GB"/>
        </w:rPr>
        <w:t>there may be a slight coverage loss</w:t>
      </w:r>
      <w:r w:rsidR="004905C6">
        <w:rPr>
          <w:rFonts w:ascii="Times New Roman" w:hAnsi="Times New Roman" w:cs="Times New Roman"/>
          <w:sz w:val="20"/>
          <w:szCs w:val="20"/>
          <w:lang w:eastAsia="en-GB"/>
        </w:rPr>
        <w:t xml:space="preserve"> (&lt;1dB)</w:t>
      </w:r>
      <w:r w:rsidR="00F12C89">
        <w:rPr>
          <w:rFonts w:ascii="Times New Roman" w:hAnsi="Times New Roman" w:cs="Times New Roman"/>
          <w:sz w:val="20"/>
          <w:szCs w:val="20"/>
          <w:lang w:eastAsia="en-GB"/>
        </w:rPr>
        <w:t>.</w:t>
      </w:r>
    </w:p>
    <w:p w14:paraId="09211918" w14:textId="5EADF20F" w:rsidR="000501E7" w:rsidRPr="001431E5" w:rsidRDefault="000501E7" w:rsidP="00CD5EB0">
      <w:pPr>
        <w:pStyle w:val="ListParagraph"/>
        <w:numPr>
          <w:ilvl w:val="0"/>
          <w:numId w:val="16"/>
        </w:numPr>
        <w:spacing w:after="0" w:line="240" w:lineRule="auto"/>
        <w:jc w:val="both"/>
        <w:rPr>
          <w:rFonts w:ascii="Times New Roman" w:hAnsi="Times New Roman" w:cs="Times New Roman"/>
          <w:sz w:val="20"/>
          <w:szCs w:val="20"/>
          <w:lang w:eastAsia="en-GB"/>
        </w:rPr>
      </w:pPr>
      <w:r>
        <w:rPr>
          <w:rFonts w:ascii="Times New Roman" w:hAnsi="Times New Roman" w:cs="Times New Roman"/>
          <w:sz w:val="20"/>
          <w:szCs w:val="20"/>
          <w:lang w:eastAsia="en-GB"/>
        </w:rPr>
        <w:t xml:space="preserve">PR1 </w:t>
      </w:r>
      <w:r w:rsidR="00C16BBA">
        <w:rPr>
          <w:rFonts w:ascii="Times New Roman" w:hAnsi="Times New Roman" w:cs="Times New Roman"/>
          <w:sz w:val="20"/>
          <w:szCs w:val="20"/>
        </w:rPr>
        <w:t>provides the smallest</w:t>
      </w:r>
      <w:r w:rsidR="00CF1392">
        <w:rPr>
          <w:rFonts w:ascii="Times New Roman" w:hAnsi="Times New Roman" w:cs="Times New Roman"/>
          <w:sz w:val="20"/>
          <w:szCs w:val="20"/>
        </w:rPr>
        <w:t xml:space="preserve"> complexity reduction among the BW and PR options. For PR1, there is</w:t>
      </w:r>
      <w:r w:rsidR="00C16BBA" w:rsidRPr="009316C5">
        <w:rPr>
          <w:rFonts w:ascii="Times New Roman" w:hAnsi="Times New Roman" w:cs="Times New Roman"/>
          <w:sz w:val="20"/>
          <w:szCs w:val="20"/>
        </w:rPr>
        <w:t xml:space="preserve"> no or small coexistence issue</w:t>
      </w:r>
      <w:r w:rsidR="00CF1392">
        <w:rPr>
          <w:rFonts w:ascii="Times New Roman" w:hAnsi="Times New Roman" w:cs="Times New Roman"/>
          <w:sz w:val="20"/>
          <w:szCs w:val="20"/>
        </w:rPr>
        <w:t xml:space="preserve"> and </w:t>
      </w:r>
      <w:r w:rsidR="00CF1392" w:rsidRPr="009316C5">
        <w:rPr>
          <w:rFonts w:ascii="Times New Roman" w:eastAsia="Times New Roman" w:hAnsi="Times New Roman" w:cs="Times New Roman"/>
          <w:sz w:val="20"/>
          <w:szCs w:val="20"/>
        </w:rPr>
        <w:t>minimal specification impact</w:t>
      </w:r>
      <w:r w:rsidR="00CF1392">
        <w:rPr>
          <w:rFonts w:ascii="Times New Roman" w:eastAsia="Times New Roman" w:hAnsi="Times New Roman" w:cs="Times New Roman"/>
          <w:sz w:val="20"/>
          <w:szCs w:val="20"/>
        </w:rPr>
        <w:t>.</w:t>
      </w:r>
    </w:p>
    <w:p w14:paraId="23FAC3F9" w14:textId="1EE69143" w:rsidR="007E0E93" w:rsidRDefault="005B53B3" w:rsidP="00CD5EB0">
      <w:pPr>
        <w:spacing w:before="120" w:after="0" w:line="240" w:lineRule="auto"/>
        <w:jc w:val="both"/>
        <w:rPr>
          <w:rFonts w:ascii="Times New Roman" w:hAnsi="Times New Roman" w:cs="Times New Roman"/>
          <w:sz w:val="20"/>
          <w:szCs w:val="20"/>
          <w:lang w:eastAsia="en-GB"/>
        </w:rPr>
      </w:pPr>
      <w:r>
        <w:rPr>
          <w:rFonts w:ascii="Times New Roman" w:hAnsi="Times New Roman" w:cs="Times New Roman"/>
          <w:sz w:val="20"/>
          <w:szCs w:val="20"/>
          <w:lang w:eastAsia="en-GB"/>
        </w:rPr>
        <w:t>Based on the above discussion, it is seen that</w:t>
      </w:r>
      <w:r w:rsidR="005200CC">
        <w:rPr>
          <w:rFonts w:ascii="Times New Roman" w:hAnsi="Times New Roman" w:cs="Times New Roman"/>
          <w:sz w:val="20"/>
          <w:szCs w:val="20"/>
          <w:lang w:eastAsia="en-GB"/>
        </w:rPr>
        <w:t xml:space="preserve"> both</w:t>
      </w:r>
      <w:r>
        <w:rPr>
          <w:rFonts w:ascii="Times New Roman" w:hAnsi="Times New Roman" w:cs="Times New Roman"/>
          <w:sz w:val="20"/>
          <w:szCs w:val="20"/>
          <w:lang w:eastAsia="en-GB"/>
        </w:rPr>
        <w:t xml:space="preserve"> BW3 and PR3 are good complexity reduction options</w:t>
      </w:r>
      <w:r w:rsidR="008C54FB">
        <w:rPr>
          <w:rFonts w:ascii="Times New Roman" w:hAnsi="Times New Roman" w:cs="Times New Roman"/>
          <w:sz w:val="20"/>
          <w:szCs w:val="20"/>
          <w:lang w:eastAsia="en-GB"/>
        </w:rPr>
        <w:t xml:space="preserve"> with small </w:t>
      </w:r>
      <w:r w:rsidR="00C2571F">
        <w:rPr>
          <w:rFonts w:ascii="Times New Roman" w:hAnsi="Times New Roman" w:cs="Times New Roman"/>
          <w:sz w:val="20"/>
          <w:szCs w:val="20"/>
          <w:lang w:eastAsia="en-GB"/>
        </w:rPr>
        <w:t xml:space="preserve">coexistence and specification </w:t>
      </w:r>
      <w:r w:rsidR="008C54FB">
        <w:rPr>
          <w:rFonts w:ascii="Times New Roman" w:hAnsi="Times New Roman" w:cs="Times New Roman"/>
          <w:sz w:val="20"/>
          <w:szCs w:val="20"/>
          <w:lang w:eastAsia="en-GB"/>
        </w:rPr>
        <w:t>impact</w:t>
      </w:r>
      <w:r w:rsidR="00A56D8C">
        <w:rPr>
          <w:rFonts w:ascii="Times New Roman" w:hAnsi="Times New Roman" w:cs="Times New Roman"/>
          <w:sz w:val="20"/>
          <w:szCs w:val="20"/>
          <w:lang w:eastAsia="en-GB"/>
        </w:rPr>
        <w:t xml:space="preserve">. From </w:t>
      </w:r>
      <w:r w:rsidR="00A56D8C" w:rsidRPr="00C51FAA">
        <w:rPr>
          <w:rFonts w:ascii="Times New Roman" w:hAnsi="Times New Roman" w:cs="Times New Roman"/>
          <w:sz w:val="20"/>
          <w:szCs w:val="20"/>
          <w:lang w:eastAsia="en-GB"/>
        </w:rPr>
        <w:fldChar w:fldCharType="begin"/>
      </w:r>
      <w:r w:rsidR="00A56D8C" w:rsidRPr="00C51FAA">
        <w:rPr>
          <w:rFonts w:ascii="Times New Roman" w:hAnsi="Times New Roman" w:cs="Times New Roman"/>
          <w:sz w:val="20"/>
          <w:szCs w:val="20"/>
          <w:lang w:eastAsia="en-GB"/>
        </w:rPr>
        <w:instrText xml:space="preserve"> REF _Ref112915265 \h  \* MERGEFORMAT </w:instrText>
      </w:r>
      <w:r w:rsidR="00A56D8C" w:rsidRPr="00C51FAA">
        <w:rPr>
          <w:rFonts w:ascii="Times New Roman" w:hAnsi="Times New Roman" w:cs="Times New Roman"/>
          <w:sz w:val="20"/>
          <w:szCs w:val="20"/>
          <w:lang w:eastAsia="en-GB"/>
        </w:rPr>
      </w:r>
      <w:r w:rsidR="00A56D8C" w:rsidRPr="00C51FAA">
        <w:rPr>
          <w:rFonts w:ascii="Times New Roman" w:hAnsi="Times New Roman" w:cs="Times New Roman"/>
          <w:sz w:val="20"/>
          <w:szCs w:val="20"/>
          <w:lang w:eastAsia="en-GB"/>
        </w:rPr>
        <w:fldChar w:fldCharType="separate"/>
      </w:r>
      <w:r w:rsidR="0017405F" w:rsidRPr="009D6782">
        <w:rPr>
          <w:rFonts w:ascii="Times New Roman" w:hAnsi="Times New Roman" w:cs="Times New Roman"/>
          <w:sz w:val="20"/>
          <w:szCs w:val="20"/>
        </w:rPr>
        <w:t xml:space="preserve">Table </w:t>
      </w:r>
      <w:r w:rsidR="0017405F">
        <w:rPr>
          <w:rFonts w:ascii="Times New Roman" w:hAnsi="Times New Roman" w:cs="Times New Roman"/>
          <w:noProof/>
          <w:sz w:val="20"/>
          <w:szCs w:val="20"/>
        </w:rPr>
        <w:t>1</w:t>
      </w:r>
      <w:r w:rsidR="00A56D8C" w:rsidRPr="00C51FAA">
        <w:rPr>
          <w:rFonts w:ascii="Times New Roman" w:hAnsi="Times New Roman" w:cs="Times New Roman"/>
          <w:sz w:val="20"/>
          <w:szCs w:val="20"/>
          <w:lang w:eastAsia="en-GB"/>
        </w:rPr>
        <w:fldChar w:fldCharType="end"/>
      </w:r>
      <w:r w:rsidR="00A56D8C">
        <w:rPr>
          <w:rFonts w:ascii="Times New Roman" w:hAnsi="Times New Roman" w:cs="Times New Roman"/>
          <w:sz w:val="20"/>
          <w:szCs w:val="20"/>
          <w:lang w:eastAsia="en-GB"/>
        </w:rPr>
        <w:t xml:space="preserve">, it is seen that </w:t>
      </w:r>
      <w:r w:rsidR="005E05F4">
        <w:rPr>
          <w:rFonts w:ascii="Times New Roman" w:hAnsi="Times New Roman" w:cs="Times New Roman"/>
          <w:sz w:val="20"/>
          <w:szCs w:val="20"/>
          <w:lang w:eastAsia="en-GB"/>
        </w:rPr>
        <w:t>BW3 has slightly larger complexity saving. Furthermore, BW</w:t>
      </w:r>
      <w:r w:rsidR="0086636E">
        <w:rPr>
          <w:rFonts w:ascii="Times New Roman" w:hAnsi="Times New Roman" w:cs="Times New Roman"/>
          <w:sz w:val="20"/>
          <w:szCs w:val="20"/>
          <w:lang w:eastAsia="en-GB"/>
        </w:rPr>
        <w:t>3</w:t>
      </w:r>
      <w:r w:rsidR="005E05F4">
        <w:rPr>
          <w:rFonts w:ascii="Times New Roman" w:hAnsi="Times New Roman" w:cs="Times New Roman"/>
          <w:sz w:val="20"/>
          <w:szCs w:val="20"/>
          <w:lang w:eastAsia="en-GB"/>
        </w:rPr>
        <w:t xml:space="preserve"> option has potentially lower power consumption since the PDSCH is confined to within 5 MHz</w:t>
      </w:r>
      <w:r w:rsidR="00A56D8C">
        <w:rPr>
          <w:rFonts w:ascii="Times New Roman" w:hAnsi="Times New Roman" w:cs="Times New Roman"/>
          <w:sz w:val="20"/>
          <w:szCs w:val="20"/>
          <w:lang w:eastAsia="en-GB"/>
        </w:rPr>
        <w:t>.</w:t>
      </w:r>
      <w:r w:rsidR="005E05F4">
        <w:rPr>
          <w:rFonts w:ascii="Times New Roman" w:hAnsi="Times New Roman" w:cs="Times New Roman"/>
          <w:sz w:val="20"/>
          <w:szCs w:val="20"/>
          <w:lang w:eastAsia="en-GB"/>
        </w:rPr>
        <w:t xml:space="preserve"> Therefore, it is proposed that BW3 is selected as the main Rel-18 complexity reduction technique.</w:t>
      </w:r>
    </w:p>
    <w:p w14:paraId="3FFCB041" w14:textId="77777777" w:rsidR="005B53B3" w:rsidRDefault="005B53B3" w:rsidP="00CD5EB0">
      <w:pPr>
        <w:spacing w:after="0" w:line="240" w:lineRule="auto"/>
        <w:jc w:val="both"/>
        <w:rPr>
          <w:rFonts w:ascii="Times New Roman" w:hAnsi="Times New Roman" w:cs="Times New Roman"/>
          <w:b/>
          <w:bCs/>
          <w:sz w:val="20"/>
          <w:szCs w:val="20"/>
          <w:lang w:eastAsia="en-GB"/>
        </w:rPr>
      </w:pPr>
    </w:p>
    <w:p w14:paraId="438039C7" w14:textId="3F33C440" w:rsidR="006D1754" w:rsidRPr="001E2E31" w:rsidRDefault="006D1754" w:rsidP="00CD5EB0">
      <w:pPr>
        <w:spacing w:after="0" w:line="240" w:lineRule="auto"/>
        <w:jc w:val="both"/>
        <w:rPr>
          <w:rFonts w:ascii="Times New Roman" w:hAnsi="Times New Roman" w:cs="Times New Roman"/>
          <w:b/>
          <w:bCs/>
          <w:sz w:val="20"/>
          <w:szCs w:val="20"/>
          <w:lang w:eastAsia="en-GB"/>
        </w:rPr>
      </w:pPr>
      <w:r w:rsidRPr="001E2E31">
        <w:rPr>
          <w:rFonts w:ascii="Times New Roman" w:hAnsi="Times New Roman" w:cs="Times New Roman"/>
          <w:b/>
          <w:bCs/>
          <w:sz w:val="20"/>
          <w:szCs w:val="20"/>
          <w:lang w:eastAsia="en-GB"/>
        </w:rPr>
        <w:t>Proposal 1:</w:t>
      </w:r>
      <w:r w:rsidR="00395E5C" w:rsidRPr="001E2E31">
        <w:rPr>
          <w:rFonts w:ascii="Times New Roman" w:hAnsi="Times New Roman" w:cs="Times New Roman"/>
          <w:b/>
          <w:bCs/>
          <w:sz w:val="20"/>
          <w:szCs w:val="20"/>
          <w:lang w:eastAsia="en-GB"/>
        </w:rPr>
        <w:t xml:space="preserve"> </w:t>
      </w:r>
      <w:r w:rsidR="00030ABF" w:rsidRPr="001E2E31">
        <w:rPr>
          <w:rFonts w:ascii="Times New Roman" w:hAnsi="Times New Roman" w:cs="Times New Roman"/>
          <w:b/>
          <w:bCs/>
          <w:sz w:val="20"/>
          <w:szCs w:val="20"/>
          <w:lang w:eastAsia="en-GB"/>
        </w:rPr>
        <w:t xml:space="preserve">Select BW3 </w:t>
      </w:r>
      <w:r w:rsidR="00255C71" w:rsidRPr="001E2E31">
        <w:rPr>
          <w:rFonts w:ascii="Times New Roman" w:hAnsi="Times New Roman" w:cs="Times New Roman"/>
          <w:b/>
          <w:bCs/>
          <w:sz w:val="20"/>
          <w:szCs w:val="20"/>
          <w:lang w:eastAsia="en-GB"/>
        </w:rPr>
        <w:t>as the main</w:t>
      </w:r>
      <w:r w:rsidR="007D4C3F" w:rsidRPr="001E2E31">
        <w:rPr>
          <w:rFonts w:ascii="Times New Roman" w:hAnsi="Times New Roman" w:cs="Times New Roman"/>
          <w:b/>
          <w:bCs/>
          <w:sz w:val="20"/>
          <w:szCs w:val="20"/>
          <w:lang w:eastAsia="en-GB"/>
        </w:rPr>
        <w:t xml:space="preserve"> </w:t>
      </w:r>
      <w:r w:rsidR="00255C71" w:rsidRPr="001E2E31">
        <w:rPr>
          <w:rFonts w:ascii="Times New Roman" w:hAnsi="Times New Roman" w:cs="Times New Roman"/>
          <w:b/>
          <w:bCs/>
          <w:sz w:val="20"/>
          <w:szCs w:val="20"/>
          <w:lang w:eastAsia="en-GB"/>
        </w:rPr>
        <w:t xml:space="preserve">Rel-18 </w:t>
      </w:r>
      <w:r w:rsidR="007D4C3F" w:rsidRPr="001E2E31">
        <w:rPr>
          <w:rFonts w:ascii="Times New Roman" w:hAnsi="Times New Roman" w:cs="Times New Roman"/>
          <w:b/>
          <w:bCs/>
          <w:sz w:val="20"/>
          <w:szCs w:val="20"/>
          <w:lang w:eastAsia="en-GB"/>
        </w:rPr>
        <w:t>complexity reduction technique</w:t>
      </w:r>
      <w:r w:rsidR="008C7E65" w:rsidRPr="001E2E31">
        <w:rPr>
          <w:rFonts w:ascii="Times New Roman" w:hAnsi="Times New Roman" w:cs="Times New Roman"/>
          <w:b/>
          <w:bCs/>
          <w:sz w:val="20"/>
          <w:szCs w:val="20"/>
          <w:lang w:eastAsia="en-GB"/>
        </w:rPr>
        <w:t>.</w:t>
      </w:r>
      <w:r w:rsidR="00395E5C" w:rsidRPr="001E2E31">
        <w:rPr>
          <w:rFonts w:ascii="Times New Roman" w:hAnsi="Times New Roman" w:cs="Times New Roman"/>
          <w:b/>
          <w:bCs/>
          <w:sz w:val="20"/>
          <w:szCs w:val="20"/>
          <w:lang w:eastAsia="en-GB"/>
        </w:rPr>
        <w:t xml:space="preserve"> </w:t>
      </w:r>
    </w:p>
    <w:p w14:paraId="4F57EBB5" w14:textId="1154E03B" w:rsidR="006D1754" w:rsidRDefault="006D1754" w:rsidP="00CD5EB0">
      <w:pPr>
        <w:spacing w:after="0" w:line="240" w:lineRule="auto"/>
        <w:jc w:val="both"/>
        <w:rPr>
          <w:rFonts w:ascii="Times New Roman" w:hAnsi="Times New Roman" w:cs="Times New Roman"/>
          <w:sz w:val="20"/>
          <w:szCs w:val="20"/>
          <w:lang w:eastAsia="en-GB"/>
        </w:rPr>
      </w:pPr>
    </w:p>
    <w:p w14:paraId="429739EE" w14:textId="7DBCC3A7" w:rsidR="00952C93" w:rsidRDefault="00743700" w:rsidP="00CD5EB0">
      <w:pPr>
        <w:spacing w:after="0" w:line="240" w:lineRule="auto"/>
        <w:jc w:val="both"/>
        <w:rPr>
          <w:rFonts w:ascii="Times New Roman" w:hAnsi="Times New Roman" w:cs="Times New Roman"/>
          <w:sz w:val="20"/>
          <w:szCs w:val="20"/>
          <w:lang w:eastAsia="en-GB"/>
        </w:rPr>
      </w:pPr>
      <w:r>
        <w:rPr>
          <w:rFonts w:ascii="Times New Roman" w:hAnsi="Times New Roman" w:cs="Times New Roman"/>
          <w:sz w:val="20"/>
          <w:szCs w:val="20"/>
          <w:lang w:eastAsia="en-GB"/>
        </w:rPr>
        <w:t xml:space="preserve">Furthermore, RAN1 recommended to consider PR1 as additional </w:t>
      </w:r>
      <w:r w:rsidRPr="004D7066">
        <w:rPr>
          <w:rFonts w:ascii="Times New Roman" w:hAnsi="Times New Roman" w:cs="Times New Roman"/>
          <w:sz w:val="20"/>
          <w:szCs w:val="20"/>
          <w:lang w:eastAsia="en-GB"/>
        </w:rPr>
        <w:t xml:space="preserve">add-on </w:t>
      </w:r>
      <w:r>
        <w:rPr>
          <w:rFonts w:ascii="Times New Roman" w:hAnsi="Times New Roman" w:cs="Times New Roman"/>
          <w:sz w:val="20"/>
          <w:szCs w:val="20"/>
          <w:lang w:eastAsia="en-GB"/>
        </w:rPr>
        <w:t xml:space="preserve">complexity reduction technique. This is because </w:t>
      </w:r>
      <w:r w:rsidR="006B2AF4">
        <w:rPr>
          <w:rFonts w:ascii="Times New Roman" w:hAnsi="Times New Roman" w:cs="Times New Roman"/>
          <w:sz w:val="20"/>
          <w:szCs w:val="20"/>
          <w:lang w:eastAsia="en-GB"/>
        </w:rPr>
        <w:t>the peak</w:t>
      </w:r>
      <w:r w:rsidR="00221E9D">
        <w:rPr>
          <w:rFonts w:ascii="Times New Roman" w:hAnsi="Times New Roman" w:cs="Times New Roman"/>
          <w:sz w:val="20"/>
          <w:szCs w:val="20"/>
          <w:lang w:eastAsia="en-GB"/>
        </w:rPr>
        <w:t xml:space="preserve"> data rates with BW3/PR3 option</w:t>
      </w:r>
      <w:r w:rsidR="006B2AF4">
        <w:rPr>
          <w:rFonts w:ascii="Times New Roman" w:hAnsi="Times New Roman" w:cs="Times New Roman"/>
          <w:sz w:val="20"/>
          <w:szCs w:val="20"/>
          <w:lang w:eastAsia="en-GB"/>
        </w:rPr>
        <w:t xml:space="preserve"> </w:t>
      </w:r>
      <w:r w:rsidR="00221E9D">
        <w:rPr>
          <w:rFonts w:ascii="Times New Roman" w:hAnsi="Times New Roman" w:cs="Times New Roman"/>
          <w:sz w:val="20"/>
          <w:szCs w:val="20"/>
          <w:lang w:eastAsia="en-GB"/>
        </w:rPr>
        <w:t>are still higher than the target 10 Mbps</w:t>
      </w:r>
      <w:r w:rsidR="001A4D46">
        <w:rPr>
          <w:rFonts w:ascii="Times New Roman" w:hAnsi="Times New Roman" w:cs="Times New Roman"/>
          <w:sz w:val="20"/>
          <w:szCs w:val="20"/>
          <w:lang w:eastAsia="en-GB"/>
        </w:rPr>
        <w:t xml:space="preserve"> specified in the SID</w:t>
      </w:r>
      <w:r w:rsidR="009B6351">
        <w:rPr>
          <w:rFonts w:ascii="Times New Roman" w:hAnsi="Times New Roman" w:cs="Times New Roman"/>
          <w:sz w:val="20"/>
          <w:szCs w:val="20"/>
          <w:lang w:eastAsia="en-GB"/>
        </w:rPr>
        <w:t xml:space="preserve"> </w:t>
      </w:r>
      <w:r w:rsidR="009B6351">
        <w:rPr>
          <w:rFonts w:ascii="Times New Roman" w:hAnsi="Times New Roman" w:cs="Times New Roman"/>
          <w:sz w:val="20"/>
          <w:szCs w:val="20"/>
          <w:lang w:eastAsia="en-GB"/>
        </w:rPr>
        <w:fldChar w:fldCharType="begin"/>
      </w:r>
      <w:r w:rsidR="009B6351">
        <w:rPr>
          <w:rFonts w:ascii="Times New Roman" w:hAnsi="Times New Roman" w:cs="Times New Roman"/>
          <w:sz w:val="20"/>
          <w:szCs w:val="20"/>
          <w:lang w:eastAsia="en-GB"/>
        </w:rPr>
        <w:instrText xml:space="preserve"> REF _Ref112921638 \n \h </w:instrText>
      </w:r>
      <w:r w:rsidR="009B6351">
        <w:rPr>
          <w:rFonts w:ascii="Times New Roman" w:hAnsi="Times New Roman" w:cs="Times New Roman"/>
          <w:sz w:val="20"/>
          <w:szCs w:val="20"/>
          <w:lang w:eastAsia="en-GB"/>
        </w:rPr>
      </w:r>
      <w:r w:rsidR="009B6351">
        <w:rPr>
          <w:rFonts w:ascii="Times New Roman" w:hAnsi="Times New Roman" w:cs="Times New Roman"/>
          <w:sz w:val="20"/>
          <w:szCs w:val="20"/>
          <w:lang w:eastAsia="en-GB"/>
        </w:rPr>
        <w:fldChar w:fldCharType="separate"/>
      </w:r>
      <w:r w:rsidR="0017405F">
        <w:rPr>
          <w:rFonts w:ascii="Times New Roman" w:hAnsi="Times New Roman" w:cs="Times New Roman"/>
          <w:sz w:val="20"/>
          <w:szCs w:val="20"/>
          <w:lang w:eastAsia="en-GB"/>
        </w:rPr>
        <w:t>[1]</w:t>
      </w:r>
      <w:r w:rsidR="009B6351">
        <w:rPr>
          <w:rFonts w:ascii="Times New Roman" w:hAnsi="Times New Roman" w:cs="Times New Roman"/>
          <w:sz w:val="20"/>
          <w:szCs w:val="20"/>
          <w:lang w:eastAsia="en-GB"/>
        </w:rPr>
        <w:fldChar w:fldCharType="end"/>
      </w:r>
      <w:r w:rsidR="006B2AF4">
        <w:rPr>
          <w:rFonts w:ascii="Times New Roman" w:hAnsi="Times New Roman" w:cs="Times New Roman"/>
          <w:sz w:val="20"/>
          <w:szCs w:val="20"/>
          <w:lang w:eastAsia="en-GB"/>
        </w:rPr>
        <w:t>. However,</w:t>
      </w:r>
      <w:r w:rsidR="00CB46D9">
        <w:rPr>
          <w:rFonts w:ascii="Times New Roman" w:hAnsi="Times New Roman" w:cs="Times New Roman"/>
          <w:sz w:val="20"/>
          <w:szCs w:val="20"/>
          <w:lang w:eastAsia="en-GB"/>
        </w:rPr>
        <w:t xml:space="preserve"> </w:t>
      </w:r>
      <w:r w:rsidR="00F46518">
        <w:rPr>
          <w:rFonts w:ascii="Times New Roman" w:hAnsi="Times New Roman" w:cs="Times New Roman"/>
          <w:sz w:val="20"/>
          <w:szCs w:val="20"/>
          <w:lang w:eastAsia="en-GB"/>
        </w:rPr>
        <w:t>additional</w:t>
      </w:r>
      <w:r w:rsidR="00CB46D9">
        <w:rPr>
          <w:rFonts w:ascii="Times New Roman" w:hAnsi="Times New Roman" w:cs="Times New Roman"/>
          <w:sz w:val="20"/>
          <w:szCs w:val="20"/>
          <w:lang w:eastAsia="en-GB"/>
        </w:rPr>
        <w:t xml:space="preserve"> complexity saving from introducing PR1 as add-on </w:t>
      </w:r>
      <w:r w:rsidR="0062222F">
        <w:rPr>
          <w:rFonts w:ascii="Times New Roman" w:hAnsi="Times New Roman" w:cs="Times New Roman"/>
          <w:sz w:val="20"/>
          <w:szCs w:val="20"/>
          <w:lang w:eastAsia="en-GB"/>
        </w:rPr>
        <w:t>is expected to be</w:t>
      </w:r>
      <w:r w:rsidR="00CB46D9">
        <w:rPr>
          <w:rFonts w:ascii="Times New Roman" w:hAnsi="Times New Roman" w:cs="Times New Roman"/>
          <w:sz w:val="20"/>
          <w:szCs w:val="20"/>
          <w:lang w:eastAsia="en-GB"/>
        </w:rPr>
        <w:t xml:space="preserve"> small</w:t>
      </w:r>
      <w:r w:rsidR="00933E1F">
        <w:rPr>
          <w:rFonts w:ascii="Times New Roman" w:hAnsi="Times New Roman" w:cs="Times New Roman"/>
          <w:sz w:val="20"/>
          <w:szCs w:val="20"/>
          <w:lang w:eastAsia="en-GB"/>
        </w:rPr>
        <w:t xml:space="preserve"> while specification and implementation impact</w:t>
      </w:r>
      <w:r w:rsidR="00D7099D">
        <w:rPr>
          <w:rFonts w:ascii="Times New Roman" w:hAnsi="Times New Roman" w:cs="Times New Roman"/>
          <w:sz w:val="20"/>
          <w:szCs w:val="20"/>
          <w:lang w:eastAsia="en-GB"/>
        </w:rPr>
        <w:t xml:space="preserve"> are</w:t>
      </w:r>
      <w:r w:rsidR="00933E1F">
        <w:rPr>
          <w:rFonts w:ascii="Times New Roman" w:hAnsi="Times New Roman" w:cs="Times New Roman"/>
          <w:sz w:val="20"/>
          <w:szCs w:val="20"/>
          <w:lang w:eastAsia="en-GB"/>
        </w:rPr>
        <w:t xml:space="preserve"> not negligible</w:t>
      </w:r>
      <w:r w:rsidR="006B2AF4">
        <w:rPr>
          <w:rFonts w:ascii="Times New Roman" w:hAnsi="Times New Roman" w:cs="Times New Roman"/>
          <w:sz w:val="20"/>
          <w:szCs w:val="20"/>
          <w:lang w:eastAsia="en-GB"/>
        </w:rPr>
        <w:t xml:space="preserve">. </w:t>
      </w:r>
      <w:r w:rsidR="00996AEB">
        <w:rPr>
          <w:rFonts w:ascii="Times New Roman" w:hAnsi="Times New Roman" w:cs="Times New Roman"/>
          <w:sz w:val="20"/>
          <w:szCs w:val="20"/>
          <w:lang w:eastAsia="en-GB"/>
        </w:rPr>
        <w:t xml:space="preserve">These </w:t>
      </w:r>
      <w:r w:rsidR="00974C59">
        <w:rPr>
          <w:rFonts w:ascii="Times New Roman" w:hAnsi="Times New Roman" w:cs="Times New Roman"/>
          <w:sz w:val="20"/>
          <w:szCs w:val="20"/>
          <w:lang w:eastAsia="en-GB"/>
        </w:rPr>
        <w:t>issue</w:t>
      </w:r>
      <w:r w:rsidR="009F7909">
        <w:rPr>
          <w:rFonts w:ascii="Times New Roman" w:hAnsi="Times New Roman" w:cs="Times New Roman"/>
          <w:sz w:val="20"/>
          <w:szCs w:val="20"/>
          <w:lang w:eastAsia="en-GB"/>
        </w:rPr>
        <w:t xml:space="preserve">s </w:t>
      </w:r>
      <w:r w:rsidR="00996AEB">
        <w:rPr>
          <w:rFonts w:ascii="Times New Roman" w:hAnsi="Times New Roman" w:cs="Times New Roman"/>
          <w:sz w:val="20"/>
          <w:szCs w:val="20"/>
          <w:lang w:eastAsia="en-GB"/>
        </w:rPr>
        <w:t xml:space="preserve">can be further </w:t>
      </w:r>
      <w:r w:rsidR="002E09DD">
        <w:rPr>
          <w:rFonts w:ascii="Times New Roman" w:hAnsi="Times New Roman" w:cs="Times New Roman"/>
          <w:sz w:val="20"/>
          <w:szCs w:val="20"/>
          <w:lang w:eastAsia="en-GB"/>
        </w:rPr>
        <w:t xml:space="preserve">discussed </w:t>
      </w:r>
      <w:r w:rsidR="009F7909">
        <w:rPr>
          <w:rFonts w:ascii="Times New Roman" w:hAnsi="Times New Roman" w:cs="Times New Roman"/>
          <w:sz w:val="20"/>
          <w:szCs w:val="20"/>
          <w:lang w:eastAsia="en-GB"/>
        </w:rPr>
        <w:t>during the WI phase</w:t>
      </w:r>
      <w:r w:rsidR="008C3BBB">
        <w:rPr>
          <w:rFonts w:ascii="Times New Roman" w:hAnsi="Times New Roman" w:cs="Times New Roman"/>
          <w:sz w:val="20"/>
          <w:szCs w:val="20"/>
          <w:lang w:eastAsia="en-GB"/>
        </w:rPr>
        <w:t xml:space="preserve"> where companies can provide more evaluation results</w:t>
      </w:r>
      <w:r w:rsidR="009F7909">
        <w:rPr>
          <w:rFonts w:ascii="Times New Roman" w:hAnsi="Times New Roman" w:cs="Times New Roman"/>
          <w:sz w:val="20"/>
          <w:szCs w:val="20"/>
          <w:lang w:eastAsia="en-GB"/>
        </w:rPr>
        <w:t xml:space="preserve">. </w:t>
      </w:r>
      <w:r w:rsidR="001E2E31">
        <w:rPr>
          <w:rFonts w:ascii="Times New Roman" w:hAnsi="Times New Roman" w:cs="Times New Roman"/>
          <w:sz w:val="20"/>
          <w:szCs w:val="20"/>
          <w:lang w:eastAsia="en-GB"/>
        </w:rPr>
        <w:t>Therefore, w</w:t>
      </w:r>
      <w:r w:rsidR="001E2E31" w:rsidRPr="004D7066">
        <w:rPr>
          <w:rFonts w:ascii="Times New Roman" w:hAnsi="Times New Roman" w:cs="Times New Roman"/>
          <w:sz w:val="20"/>
          <w:szCs w:val="20"/>
          <w:lang w:eastAsia="en-GB"/>
        </w:rPr>
        <w:t xml:space="preserve">hether to adopt </w:t>
      </w:r>
      <w:r w:rsidR="001E2E31">
        <w:rPr>
          <w:rFonts w:ascii="Times New Roman" w:hAnsi="Times New Roman" w:cs="Times New Roman"/>
          <w:sz w:val="20"/>
          <w:szCs w:val="20"/>
          <w:lang w:eastAsia="en-GB"/>
        </w:rPr>
        <w:t>PR1 option as</w:t>
      </w:r>
      <w:r w:rsidR="001E2E31" w:rsidRPr="004D7066">
        <w:rPr>
          <w:rFonts w:ascii="Times New Roman" w:hAnsi="Times New Roman" w:cs="Times New Roman"/>
          <w:sz w:val="20"/>
          <w:szCs w:val="20"/>
          <w:lang w:eastAsia="en-GB"/>
        </w:rPr>
        <w:t xml:space="preserve"> potential add-on </w:t>
      </w:r>
      <w:r w:rsidR="001E2E31">
        <w:rPr>
          <w:rFonts w:ascii="Times New Roman" w:hAnsi="Times New Roman" w:cs="Times New Roman"/>
          <w:sz w:val="20"/>
          <w:szCs w:val="20"/>
          <w:lang w:eastAsia="en-GB"/>
        </w:rPr>
        <w:t xml:space="preserve">complexity reduction technique </w:t>
      </w:r>
      <w:r w:rsidR="001E2E31" w:rsidRPr="004D7066">
        <w:rPr>
          <w:rFonts w:ascii="Times New Roman" w:hAnsi="Times New Roman" w:cs="Times New Roman"/>
          <w:sz w:val="20"/>
          <w:szCs w:val="20"/>
          <w:lang w:eastAsia="en-GB"/>
        </w:rPr>
        <w:t xml:space="preserve">can be </w:t>
      </w:r>
      <w:r w:rsidR="00E574BB">
        <w:rPr>
          <w:rFonts w:ascii="Times New Roman" w:hAnsi="Times New Roman" w:cs="Times New Roman"/>
          <w:sz w:val="20"/>
          <w:szCs w:val="20"/>
          <w:lang w:eastAsia="en-GB"/>
        </w:rPr>
        <w:t xml:space="preserve">further discussed and </w:t>
      </w:r>
      <w:r w:rsidR="001E2E31" w:rsidRPr="004D7066">
        <w:rPr>
          <w:rFonts w:ascii="Times New Roman" w:hAnsi="Times New Roman" w:cs="Times New Roman"/>
          <w:sz w:val="20"/>
          <w:szCs w:val="20"/>
          <w:lang w:eastAsia="en-GB"/>
        </w:rPr>
        <w:t>decided during WI phase</w:t>
      </w:r>
      <w:r w:rsidR="001E2E31">
        <w:rPr>
          <w:rFonts w:ascii="Times New Roman" w:hAnsi="Times New Roman" w:cs="Times New Roman"/>
          <w:sz w:val="20"/>
          <w:szCs w:val="20"/>
          <w:lang w:eastAsia="en-GB"/>
        </w:rPr>
        <w:t>.</w:t>
      </w:r>
    </w:p>
    <w:p w14:paraId="04FE2A7A" w14:textId="77777777" w:rsidR="001E2E31" w:rsidRDefault="001E2E31" w:rsidP="00CD5EB0">
      <w:pPr>
        <w:spacing w:after="0" w:line="240" w:lineRule="auto"/>
        <w:jc w:val="both"/>
        <w:rPr>
          <w:rFonts w:ascii="Times New Roman" w:hAnsi="Times New Roman" w:cs="Times New Roman"/>
          <w:sz w:val="20"/>
          <w:szCs w:val="20"/>
          <w:lang w:eastAsia="en-GB"/>
        </w:rPr>
      </w:pPr>
    </w:p>
    <w:p w14:paraId="002B0031" w14:textId="3FA83B58" w:rsidR="006D1754" w:rsidRPr="001E2E31" w:rsidRDefault="006D1754" w:rsidP="00CD5EB0">
      <w:pPr>
        <w:spacing w:after="0" w:line="240" w:lineRule="auto"/>
        <w:jc w:val="both"/>
        <w:rPr>
          <w:rFonts w:ascii="Times New Roman" w:hAnsi="Times New Roman" w:cs="Times New Roman"/>
          <w:b/>
          <w:bCs/>
          <w:sz w:val="20"/>
          <w:szCs w:val="20"/>
          <w:lang w:eastAsia="en-GB"/>
        </w:rPr>
      </w:pPr>
      <w:r w:rsidRPr="001E2E31">
        <w:rPr>
          <w:rFonts w:ascii="Times New Roman" w:hAnsi="Times New Roman" w:cs="Times New Roman"/>
          <w:b/>
          <w:bCs/>
          <w:sz w:val="20"/>
          <w:szCs w:val="20"/>
          <w:lang w:eastAsia="en-GB"/>
        </w:rPr>
        <w:t xml:space="preserve">Proposal 2: </w:t>
      </w:r>
      <w:r w:rsidR="004D7066" w:rsidRPr="001E2E31">
        <w:rPr>
          <w:rFonts w:ascii="Times New Roman" w:hAnsi="Times New Roman" w:cs="Times New Roman"/>
          <w:b/>
          <w:bCs/>
          <w:sz w:val="20"/>
          <w:szCs w:val="20"/>
          <w:lang w:eastAsia="en-GB"/>
        </w:rPr>
        <w:t>Whether to adopt PR1 option as potential add-on complexity reduction technique can be decided during WI phase.</w:t>
      </w:r>
    </w:p>
    <w:p w14:paraId="7358BEE4" w14:textId="39EC8A5F" w:rsidR="006D1754" w:rsidRDefault="006D1754" w:rsidP="00CD5EB0">
      <w:pPr>
        <w:spacing w:after="0" w:line="240" w:lineRule="auto"/>
        <w:jc w:val="both"/>
        <w:rPr>
          <w:rFonts w:ascii="Times New Roman" w:hAnsi="Times New Roman" w:cs="Times New Roman"/>
          <w:sz w:val="20"/>
          <w:szCs w:val="20"/>
          <w:lang w:eastAsia="en-GB"/>
        </w:rPr>
      </w:pPr>
    </w:p>
    <w:p w14:paraId="6A6F4DC1" w14:textId="26EEBCD0" w:rsidR="00277A80" w:rsidRDefault="00B1132D" w:rsidP="00CD5EB0">
      <w:pPr>
        <w:spacing w:after="120" w:line="240" w:lineRule="auto"/>
        <w:jc w:val="both"/>
        <w:rPr>
          <w:rFonts w:ascii="Times New Roman" w:hAnsi="Times New Roman" w:cs="Times New Roman"/>
          <w:sz w:val="20"/>
          <w:szCs w:val="20"/>
          <w:lang w:eastAsia="en-GB"/>
        </w:rPr>
      </w:pPr>
      <w:r>
        <w:rPr>
          <w:rFonts w:ascii="Times New Roman" w:hAnsi="Times New Roman" w:cs="Times New Roman"/>
          <w:sz w:val="20"/>
          <w:szCs w:val="20"/>
          <w:lang w:eastAsia="en-GB"/>
        </w:rPr>
        <w:t xml:space="preserve">RAN1 </w:t>
      </w:r>
      <w:r w:rsidR="00277A80">
        <w:rPr>
          <w:rFonts w:ascii="Times New Roman" w:hAnsi="Times New Roman" w:cs="Times New Roman"/>
          <w:sz w:val="20"/>
          <w:szCs w:val="20"/>
          <w:lang w:eastAsia="en-GB"/>
        </w:rPr>
        <w:t xml:space="preserve">also </w:t>
      </w:r>
      <w:r>
        <w:rPr>
          <w:rFonts w:ascii="Times New Roman" w:hAnsi="Times New Roman" w:cs="Times New Roman"/>
          <w:sz w:val="20"/>
          <w:szCs w:val="20"/>
          <w:lang w:eastAsia="en-GB"/>
        </w:rPr>
        <w:t xml:space="preserve">discussed processing time relaxation </w:t>
      </w:r>
      <w:r w:rsidR="00304842">
        <w:rPr>
          <w:rFonts w:ascii="Times New Roman" w:hAnsi="Times New Roman" w:cs="Times New Roman"/>
          <w:sz w:val="20"/>
          <w:szCs w:val="20"/>
          <w:lang w:eastAsia="en-GB"/>
        </w:rPr>
        <w:t xml:space="preserve">to reduce UE complexity. </w:t>
      </w:r>
      <w:r w:rsidR="00277A80">
        <w:rPr>
          <w:rFonts w:ascii="Times New Roman" w:hAnsi="Times New Roman" w:cs="Times New Roman"/>
          <w:sz w:val="20"/>
          <w:szCs w:val="20"/>
          <w:lang w:eastAsia="en-GB"/>
        </w:rPr>
        <w:t xml:space="preserve">From </w:t>
      </w:r>
      <w:r w:rsidR="00277A80" w:rsidRPr="00C51FAA">
        <w:rPr>
          <w:rFonts w:ascii="Times New Roman" w:hAnsi="Times New Roman" w:cs="Times New Roman"/>
          <w:sz w:val="20"/>
          <w:szCs w:val="20"/>
          <w:lang w:eastAsia="en-GB"/>
        </w:rPr>
        <w:fldChar w:fldCharType="begin"/>
      </w:r>
      <w:r w:rsidR="00277A80" w:rsidRPr="00C51FAA">
        <w:rPr>
          <w:rFonts w:ascii="Times New Roman" w:hAnsi="Times New Roman" w:cs="Times New Roman"/>
          <w:sz w:val="20"/>
          <w:szCs w:val="20"/>
          <w:lang w:eastAsia="en-GB"/>
        </w:rPr>
        <w:instrText xml:space="preserve"> REF _Ref112915265 \h  \* MERGEFORMAT </w:instrText>
      </w:r>
      <w:r w:rsidR="00277A80" w:rsidRPr="00C51FAA">
        <w:rPr>
          <w:rFonts w:ascii="Times New Roman" w:hAnsi="Times New Roman" w:cs="Times New Roman"/>
          <w:sz w:val="20"/>
          <w:szCs w:val="20"/>
          <w:lang w:eastAsia="en-GB"/>
        </w:rPr>
      </w:r>
      <w:r w:rsidR="00277A80" w:rsidRPr="00C51FAA">
        <w:rPr>
          <w:rFonts w:ascii="Times New Roman" w:hAnsi="Times New Roman" w:cs="Times New Roman"/>
          <w:sz w:val="20"/>
          <w:szCs w:val="20"/>
          <w:lang w:eastAsia="en-GB"/>
        </w:rPr>
        <w:fldChar w:fldCharType="separate"/>
      </w:r>
      <w:r w:rsidR="0017405F" w:rsidRPr="009D6782">
        <w:rPr>
          <w:rFonts w:ascii="Times New Roman" w:hAnsi="Times New Roman" w:cs="Times New Roman"/>
          <w:sz w:val="20"/>
          <w:szCs w:val="20"/>
        </w:rPr>
        <w:t xml:space="preserve">Table </w:t>
      </w:r>
      <w:r w:rsidR="0017405F">
        <w:rPr>
          <w:rFonts w:ascii="Times New Roman" w:hAnsi="Times New Roman" w:cs="Times New Roman"/>
          <w:noProof/>
          <w:sz w:val="20"/>
          <w:szCs w:val="20"/>
        </w:rPr>
        <w:t>1</w:t>
      </w:r>
      <w:r w:rsidR="00277A80" w:rsidRPr="00C51FAA">
        <w:rPr>
          <w:rFonts w:ascii="Times New Roman" w:hAnsi="Times New Roman" w:cs="Times New Roman"/>
          <w:sz w:val="20"/>
          <w:szCs w:val="20"/>
          <w:lang w:eastAsia="en-GB"/>
        </w:rPr>
        <w:fldChar w:fldCharType="end"/>
      </w:r>
      <w:r w:rsidR="00304842">
        <w:rPr>
          <w:rFonts w:ascii="Times New Roman" w:hAnsi="Times New Roman" w:cs="Times New Roman"/>
          <w:sz w:val="20"/>
          <w:szCs w:val="20"/>
          <w:lang w:eastAsia="en-GB"/>
        </w:rPr>
        <w:t>, it is seen that PT1 and PT2 options can provide</w:t>
      </w:r>
      <w:r w:rsidR="0018402F">
        <w:rPr>
          <w:rFonts w:ascii="Times New Roman" w:hAnsi="Times New Roman" w:cs="Times New Roman"/>
          <w:sz w:val="20"/>
          <w:szCs w:val="20"/>
          <w:lang w:eastAsia="en-GB"/>
        </w:rPr>
        <w:t xml:space="preserve"> reasonable complexity reduction on top of BW or PR options. However, as </w:t>
      </w:r>
      <w:r w:rsidR="008B5E6C">
        <w:rPr>
          <w:rFonts w:ascii="Times New Roman" w:hAnsi="Times New Roman" w:cs="Times New Roman"/>
          <w:sz w:val="20"/>
          <w:szCs w:val="20"/>
          <w:lang w:eastAsia="en-GB"/>
        </w:rPr>
        <w:t>shown</w:t>
      </w:r>
      <w:r w:rsidR="0018402F">
        <w:rPr>
          <w:rFonts w:ascii="Times New Roman" w:hAnsi="Times New Roman" w:cs="Times New Roman"/>
          <w:sz w:val="20"/>
          <w:szCs w:val="20"/>
          <w:lang w:eastAsia="en-GB"/>
        </w:rPr>
        <w:t xml:space="preserve"> in </w:t>
      </w:r>
      <w:r w:rsidR="00277A80">
        <w:rPr>
          <w:rFonts w:ascii="Times New Roman" w:hAnsi="Times New Roman" w:cs="Times New Roman"/>
          <w:sz w:val="20"/>
          <w:szCs w:val="20"/>
          <w:lang w:eastAsia="en-GB"/>
        </w:rPr>
        <w:fldChar w:fldCharType="begin"/>
      </w:r>
      <w:r w:rsidR="00277A80">
        <w:rPr>
          <w:rFonts w:ascii="Times New Roman" w:hAnsi="Times New Roman" w:cs="Times New Roman"/>
          <w:sz w:val="20"/>
          <w:szCs w:val="20"/>
          <w:lang w:eastAsia="en-GB"/>
        </w:rPr>
        <w:instrText xml:space="preserve"> REF _Ref112916074 \h </w:instrText>
      </w:r>
      <w:r w:rsidR="00277A80">
        <w:rPr>
          <w:rFonts w:ascii="Times New Roman" w:hAnsi="Times New Roman" w:cs="Times New Roman"/>
          <w:sz w:val="20"/>
          <w:szCs w:val="20"/>
          <w:lang w:eastAsia="en-GB"/>
        </w:rPr>
      </w:r>
      <w:r w:rsidR="00277A80">
        <w:rPr>
          <w:rFonts w:ascii="Times New Roman" w:hAnsi="Times New Roman" w:cs="Times New Roman"/>
          <w:sz w:val="20"/>
          <w:szCs w:val="20"/>
          <w:lang w:eastAsia="en-GB"/>
        </w:rPr>
        <w:fldChar w:fldCharType="separate"/>
      </w:r>
      <w:r w:rsidR="0017405F" w:rsidRPr="009D6782">
        <w:rPr>
          <w:rFonts w:ascii="Times New Roman" w:hAnsi="Times New Roman" w:cs="Times New Roman"/>
          <w:sz w:val="20"/>
          <w:szCs w:val="20"/>
        </w:rPr>
        <w:t xml:space="preserve">Table </w:t>
      </w:r>
      <w:r w:rsidR="0017405F">
        <w:rPr>
          <w:rFonts w:ascii="Times New Roman" w:hAnsi="Times New Roman" w:cs="Times New Roman"/>
          <w:noProof/>
          <w:sz w:val="20"/>
          <w:szCs w:val="20"/>
        </w:rPr>
        <w:t>2</w:t>
      </w:r>
      <w:r w:rsidR="00277A80">
        <w:rPr>
          <w:rFonts w:ascii="Times New Roman" w:hAnsi="Times New Roman" w:cs="Times New Roman"/>
          <w:sz w:val="20"/>
          <w:szCs w:val="20"/>
          <w:lang w:eastAsia="en-GB"/>
        </w:rPr>
        <w:fldChar w:fldCharType="end"/>
      </w:r>
      <w:r w:rsidR="00277A80">
        <w:rPr>
          <w:rFonts w:ascii="Times New Roman" w:hAnsi="Times New Roman" w:cs="Times New Roman"/>
          <w:sz w:val="20"/>
          <w:szCs w:val="20"/>
          <w:lang w:eastAsia="en-GB"/>
        </w:rPr>
        <w:t xml:space="preserve">, </w:t>
      </w:r>
      <w:r w:rsidR="0018402F">
        <w:rPr>
          <w:rFonts w:ascii="Times New Roman" w:hAnsi="Times New Roman" w:cs="Times New Roman"/>
          <w:sz w:val="20"/>
          <w:szCs w:val="20"/>
          <w:lang w:eastAsia="en-GB"/>
        </w:rPr>
        <w:t xml:space="preserve">PT1 and PT2 have </w:t>
      </w:r>
      <w:r w:rsidR="001C66C1">
        <w:rPr>
          <w:rFonts w:ascii="Times New Roman" w:hAnsi="Times New Roman" w:cs="Times New Roman"/>
          <w:sz w:val="20"/>
          <w:szCs w:val="20"/>
          <w:lang w:eastAsia="en-GB"/>
        </w:rPr>
        <w:t>large</w:t>
      </w:r>
      <w:r w:rsidR="008F0D6C">
        <w:rPr>
          <w:rFonts w:ascii="Times New Roman" w:hAnsi="Times New Roman" w:cs="Times New Roman"/>
          <w:sz w:val="20"/>
          <w:szCs w:val="20"/>
          <w:lang w:eastAsia="en-GB"/>
        </w:rPr>
        <w:t xml:space="preserve"> implementation</w:t>
      </w:r>
      <w:r w:rsidR="001C66C1">
        <w:rPr>
          <w:rFonts w:ascii="Times New Roman" w:hAnsi="Times New Roman" w:cs="Times New Roman"/>
          <w:sz w:val="20"/>
          <w:szCs w:val="20"/>
          <w:lang w:eastAsia="en-GB"/>
        </w:rPr>
        <w:t xml:space="preserve"> impact, specifically</w:t>
      </w:r>
      <w:r w:rsidR="00277A80">
        <w:rPr>
          <w:rFonts w:ascii="Times New Roman" w:hAnsi="Times New Roman" w:cs="Times New Roman"/>
          <w:sz w:val="20"/>
          <w:szCs w:val="20"/>
          <w:lang w:eastAsia="en-GB"/>
        </w:rPr>
        <w:t xml:space="preserve"> –</w:t>
      </w:r>
    </w:p>
    <w:p w14:paraId="3418B95B" w14:textId="77777777" w:rsidR="004D30C1" w:rsidRPr="004D30C1" w:rsidRDefault="004D30C1" w:rsidP="00CD5EB0">
      <w:pPr>
        <w:pStyle w:val="ListParagraph"/>
        <w:numPr>
          <w:ilvl w:val="0"/>
          <w:numId w:val="16"/>
        </w:numPr>
        <w:spacing w:after="0" w:line="240" w:lineRule="auto"/>
        <w:jc w:val="both"/>
        <w:rPr>
          <w:rFonts w:ascii="Times New Roman" w:hAnsi="Times New Roman" w:cs="Times New Roman"/>
          <w:sz w:val="20"/>
          <w:szCs w:val="20"/>
          <w:lang w:eastAsia="en-GB"/>
        </w:rPr>
      </w:pPr>
      <w:r w:rsidRPr="004D30C1">
        <w:rPr>
          <w:rFonts w:ascii="Times New Roman" w:hAnsi="Times New Roman" w:cs="Times New Roman"/>
          <w:sz w:val="20"/>
          <w:szCs w:val="20"/>
          <w:lang w:eastAsia="en-GB"/>
        </w:rPr>
        <w:t>In scenarios where Rel-18 RedCap UEs coexist with legacy UEs, PT1 may increase the complexity for the scheduling.</w:t>
      </w:r>
    </w:p>
    <w:p w14:paraId="338BA60F" w14:textId="77777777" w:rsidR="004D30C1" w:rsidRPr="004D30C1" w:rsidRDefault="004D30C1" w:rsidP="00CD5EB0">
      <w:pPr>
        <w:pStyle w:val="ListParagraph"/>
        <w:numPr>
          <w:ilvl w:val="0"/>
          <w:numId w:val="16"/>
        </w:numPr>
        <w:spacing w:after="0" w:line="240" w:lineRule="auto"/>
        <w:jc w:val="both"/>
        <w:rPr>
          <w:rFonts w:ascii="Times New Roman" w:hAnsi="Times New Roman" w:cs="Times New Roman"/>
          <w:sz w:val="20"/>
          <w:szCs w:val="20"/>
          <w:lang w:eastAsia="en-GB"/>
        </w:rPr>
      </w:pPr>
      <w:r w:rsidRPr="004D30C1">
        <w:rPr>
          <w:rFonts w:ascii="Times New Roman" w:hAnsi="Times New Roman" w:cs="Times New Roman"/>
          <w:sz w:val="20"/>
          <w:szCs w:val="20"/>
          <w:lang w:eastAsia="en-GB"/>
        </w:rPr>
        <w:t>PT1 may have an impact on scheduling flexibility as several timing requirements are related to N1/N2 values.</w:t>
      </w:r>
    </w:p>
    <w:p w14:paraId="0F6E6AAA" w14:textId="77777777" w:rsidR="004D30C1" w:rsidRPr="004D30C1" w:rsidRDefault="004D30C1" w:rsidP="00CD5EB0">
      <w:pPr>
        <w:pStyle w:val="ListParagraph"/>
        <w:numPr>
          <w:ilvl w:val="0"/>
          <w:numId w:val="16"/>
        </w:numPr>
        <w:spacing w:after="0" w:line="240" w:lineRule="auto"/>
        <w:jc w:val="both"/>
        <w:rPr>
          <w:rFonts w:ascii="Times New Roman" w:hAnsi="Times New Roman" w:cs="Times New Roman"/>
          <w:sz w:val="20"/>
          <w:szCs w:val="20"/>
          <w:lang w:eastAsia="en-GB"/>
        </w:rPr>
      </w:pPr>
      <w:r w:rsidRPr="004D30C1">
        <w:rPr>
          <w:rFonts w:ascii="Times New Roman" w:hAnsi="Times New Roman" w:cs="Times New Roman"/>
          <w:sz w:val="20"/>
          <w:szCs w:val="20"/>
          <w:lang w:eastAsia="en-GB"/>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126F292C" w14:textId="77777777" w:rsidR="004D30C1" w:rsidRPr="003F113A" w:rsidRDefault="004D30C1" w:rsidP="00CD5EB0">
      <w:pPr>
        <w:pStyle w:val="ListParagraph"/>
        <w:numPr>
          <w:ilvl w:val="0"/>
          <w:numId w:val="16"/>
        </w:numPr>
        <w:spacing w:after="0" w:line="240" w:lineRule="auto"/>
        <w:jc w:val="both"/>
        <w:textAlignment w:val="baseline"/>
        <w:rPr>
          <w:rStyle w:val="normaltextrun"/>
          <w:rFonts w:ascii="Times New Roman" w:hAnsi="Times New Roman" w:cs="Times New Roman"/>
          <w:sz w:val="20"/>
          <w:szCs w:val="20"/>
        </w:rPr>
      </w:pPr>
      <w:r w:rsidRPr="003F113A">
        <w:rPr>
          <w:rStyle w:val="normaltextrun"/>
          <w:rFonts w:ascii="Times New Roman" w:hAnsi="Times New Roman" w:cs="Times New Roman"/>
          <w:sz w:val="20"/>
          <w:szCs w:val="20"/>
        </w:rPr>
        <w:t>PT2 may have impacts on scheduling flexibility and potentially make the scheduler more complex.</w:t>
      </w:r>
    </w:p>
    <w:p w14:paraId="42853D12" w14:textId="418576F1" w:rsidR="00B1132D" w:rsidRDefault="00E65382" w:rsidP="00CD5EB0">
      <w:pPr>
        <w:spacing w:before="120" w:after="0" w:line="240" w:lineRule="auto"/>
        <w:jc w:val="both"/>
        <w:rPr>
          <w:rFonts w:ascii="Times New Roman" w:hAnsi="Times New Roman" w:cs="Times New Roman"/>
          <w:sz w:val="20"/>
          <w:szCs w:val="20"/>
          <w:lang w:eastAsia="en-GB"/>
        </w:rPr>
      </w:pPr>
      <w:r>
        <w:rPr>
          <w:rFonts w:ascii="Times New Roman" w:hAnsi="Times New Roman" w:cs="Times New Roman"/>
          <w:sz w:val="20"/>
          <w:szCs w:val="20"/>
          <w:lang w:eastAsia="en-GB"/>
        </w:rPr>
        <w:t xml:space="preserve">Therefore, it is proposed not to </w:t>
      </w:r>
      <w:r w:rsidRPr="00E65382">
        <w:rPr>
          <w:rFonts w:ascii="Times New Roman" w:hAnsi="Times New Roman" w:cs="Times New Roman"/>
          <w:sz w:val="20"/>
          <w:szCs w:val="20"/>
          <w:lang w:eastAsia="en-GB"/>
        </w:rPr>
        <w:t>introduce support for option PT1 or PT2 due to significant impact to scheduler complexity and flexibility, and potential coexistence issues with legacy UEs.</w:t>
      </w:r>
    </w:p>
    <w:p w14:paraId="6FFF9FDD" w14:textId="77777777" w:rsidR="00032AFE" w:rsidRDefault="00032AFE" w:rsidP="00CD5EB0">
      <w:pPr>
        <w:spacing w:after="0" w:line="240" w:lineRule="auto"/>
        <w:jc w:val="both"/>
        <w:rPr>
          <w:rFonts w:ascii="Times New Roman" w:hAnsi="Times New Roman" w:cs="Times New Roman"/>
          <w:sz w:val="20"/>
          <w:szCs w:val="20"/>
          <w:lang w:eastAsia="en-GB"/>
        </w:rPr>
      </w:pPr>
    </w:p>
    <w:p w14:paraId="065E120C" w14:textId="1EBDBCC5" w:rsidR="006D1754" w:rsidRPr="001E2E31" w:rsidRDefault="006D1754" w:rsidP="00CD5EB0">
      <w:pPr>
        <w:spacing w:after="0" w:line="240" w:lineRule="auto"/>
        <w:jc w:val="both"/>
        <w:rPr>
          <w:rFonts w:ascii="Times New Roman" w:hAnsi="Times New Roman" w:cs="Times New Roman"/>
          <w:b/>
          <w:bCs/>
          <w:sz w:val="20"/>
          <w:szCs w:val="20"/>
          <w:lang w:eastAsia="en-GB"/>
        </w:rPr>
      </w:pPr>
      <w:r w:rsidRPr="001E2E31">
        <w:rPr>
          <w:rFonts w:ascii="Times New Roman" w:hAnsi="Times New Roman" w:cs="Times New Roman"/>
          <w:b/>
          <w:bCs/>
          <w:sz w:val="20"/>
          <w:szCs w:val="20"/>
          <w:lang w:eastAsia="en-GB"/>
        </w:rPr>
        <w:t xml:space="preserve">Proposal 3: </w:t>
      </w:r>
      <w:r w:rsidR="00277C58" w:rsidRPr="001E2E31">
        <w:rPr>
          <w:rFonts w:ascii="Times New Roman" w:hAnsi="Times New Roman" w:cs="Times New Roman"/>
          <w:b/>
          <w:bCs/>
          <w:sz w:val="20"/>
          <w:szCs w:val="20"/>
          <w:lang w:eastAsia="en-GB"/>
        </w:rPr>
        <w:t xml:space="preserve">Do not introduce support for option PT1 or PT2 due to </w:t>
      </w:r>
      <w:r w:rsidR="00292C78" w:rsidRPr="001E2E31">
        <w:rPr>
          <w:rFonts w:ascii="Times New Roman" w:hAnsi="Times New Roman" w:cs="Times New Roman"/>
          <w:b/>
          <w:bCs/>
          <w:sz w:val="20"/>
          <w:szCs w:val="20"/>
          <w:lang w:eastAsia="en-GB"/>
        </w:rPr>
        <w:t xml:space="preserve">significant impact to scheduler complexity and flexibility, and </w:t>
      </w:r>
      <w:r w:rsidR="00DF1274" w:rsidRPr="001E2E31">
        <w:rPr>
          <w:rFonts w:ascii="Times New Roman" w:hAnsi="Times New Roman" w:cs="Times New Roman"/>
          <w:b/>
          <w:bCs/>
          <w:sz w:val="20"/>
          <w:szCs w:val="20"/>
          <w:lang w:eastAsia="en-GB"/>
        </w:rPr>
        <w:t>potential coexistence issues with legacy UEs</w:t>
      </w:r>
      <w:r w:rsidR="00277C58" w:rsidRPr="001E2E31">
        <w:rPr>
          <w:rFonts w:ascii="Times New Roman" w:hAnsi="Times New Roman" w:cs="Times New Roman"/>
          <w:b/>
          <w:bCs/>
          <w:sz w:val="20"/>
          <w:szCs w:val="20"/>
          <w:lang w:eastAsia="en-GB"/>
        </w:rPr>
        <w:t>.</w:t>
      </w:r>
    </w:p>
    <w:bookmarkEnd w:id="5"/>
    <w:bookmarkEnd w:id="6"/>
    <w:bookmarkEnd w:id="7"/>
    <w:p w14:paraId="49DBB2C8" w14:textId="77777777" w:rsidR="00FD3934" w:rsidRPr="00E71E0B" w:rsidRDefault="00FD3934" w:rsidP="00FD3934">
      <w:pPr>
        <w:pStyle w:val="Heading1"/>
        <w:tabs>
          <w:tab w:val="clear" w:pos="1134"/>
          <w:tab w:val="num" w:pos="709"/>
        </w:tabs>
        <w:ind w:left="709" w:hanging="709"/>
        <w:rPr>
          <w:rFonts w:cs="Arial"/>
          <w:lang w:val="en-US"/>
        </w:rPr>
      </w:pPr>
      <w:r w:rsidRPr="00E71E0B">
        <w:rPr>
          <w:rFonts w:cs="Arial"/>
          <w:lang w:val="en-US"/>
        </w:rPr>
        <w:t>References</w:t>
      </w:r>
    </w:p>
    <w:p w14:paraId="0B604FBB" w14:textId="16E7853E" w:rsidR="001A4D46" w:rsidRDefault="001B020B" w:rsidP="006F62D0">
      <w:pPr>
        <w:numPr>
          <w:ilvl w:val="0"/>
          <w:numId w:val="1"/>
        </w:numPr>
        <w:tabs>
          <w:tab w:val="left" w:pos="360"/>
        </w:tabs>
        <w:spacing w:after="120"/>
        <w:jc w:val="both"/>
        <w:rPr>
          <w:rFonts w:ascii="Times New Roman" w:eastAsia="MS Mincho" w:hAnsi="Times New Roman" w:cs="Times New Roman"/>
          <w:sz w:val="20"/>
          <w:szCs w:val="20"/>
          <w:lang w:eastAsia="ja-JP"/>
        </w:rPr>
      </w:pPr>
      <w:bookmarkStart w:id="8" w:name="_Ref112921638"/>
      <w:bookmarkStart w:id="9" w:name="_Ref112916205"/>
      <w:bookmarkStart w:id="10" w:name="_Ref110944988"/>
      <w:bookmarkStart w:id="11" w:name="_Ref60822310"/>
      <w:r w:rsidRPr="001B020B">
        <w:rPr>
          <w:rFonts w:ascii="Times New Roman" w:eastAsia="MS Mincho" w:hAnsi="Times New Roman" w:cs="Times New Roman"/>
          <w:sz w:val="20"/>
          <w:szCs w:val="20"/>
          <w:lang w:eastAsia="ja-JP"/>
        </w:rPr>
        <w:t>RP-221161</w:t>
      </w:r>
      <w:r w:rsidRPr="004276AD">
        <w:rPr>
          <w:rFonts w:ascii="Times New Roman" w:eastAsia="MS Mincho" w:hAnsi="Times New Roman" w:cs="Times New Roman"/>
          <w:sz w:val="20"/>
          <w:szCs w:val="20"/>
          <w:lang w:eastAsia="ja-JP"/>
        </w:rPr>
        <w:t>, “</w:t>
      </w:r>
      <w:r w:rsidR="001532F7" w:rsidRPr="001532F7">
        <w:rPr>
          <w:rFonts w:ascii="Times New Roman" w:hAnsi="Times New Roman" w:cs="Times New Roman"/>
          <w:sz w:val="20"/>
          <w:szCs w:val="20"/>
          <w:lang w:eastAsia="x-none"/>
        </w:rPr>
        <w:t>Revised SID for Study on further NR RedCap (reduced capability) UE complexity reduction</w:t>
      </w:r>
      <w:r w:rsidRPr="004276AD">
        <w:rPr>
          <w:rFonts w:ascii="Times New Roman" w:hAnsi="Times New Roman" w:cs="Times New Roman"/>
          <w:sz w:val="20"/>
          <w:szCs w:val="20"/>
          <w:lang w:eastAsia="x-none"/>
        </w:rPr>
        <w:t>,</w:t>
      </w:r>
      <w:r w:rsidRPr="004276AD">
        <w:rPr>
          <w:rFonts w:ascii="Times New Roman" w:eastAsia="MS Mincho" w:hAnsi="Times New Roman" w:cs="Times New Roman"/>
          <w:sz w:val="20"/>
          <w:szCs w:val="20"/>
          <w:lang w:eastAsia="ja-JP"/>
        </w:rPr>
        <w:t xml:space="preserve">” </w:t>
      </w:r>
      <w:r w:rsidR="001532F7">
        <w:rPr>
          <w:rFonts w:ascii="Times New Roman" w:hAnsi="Times New Roman" w:cs="Times New Roman"/>
          <w:sz w:val="20"/>
          <w:szCs w:val="20"/>
        </w:rPr>
        <w:t>Ericsson</w:t>
      </w:r>
      <w:r w:rsidRPr="004276AD">
        <w:rPr>
          <w:rFonts w:ascii="Times New Roman" w:hAnsi="Times New Roman" w:cs="Times New Roman"/>
          <w:sz w:val="20"/>
          <w:szCs w:val="20"/>
        </w:rPr>
        <w:t>, RAN#</w:t>
      </w:r>
      <w:r w:rsidR="00524F3D">
        <w:rPr>
          <w:rFonts w:ascii="Times New Roman" w:hAnsi="Times New Roman" w:cs="Times New Roman"/>
          <w:sz w:val="20"/>
          <w:szCs w:val="20"/>
        </w:rPr>
        <w:t>96</w:t>
      </w:r>
      <w:r w:rsidRPr="004276AD">
        <w:rPr>
          <w:rFonts w:ascii="Times New Roman" w:hAnsi="Times New Roman" w:cs="Times New Roman"/>
          <w:sz w:val="20"/>
          <w:szCs w:val="20"/>
        </w:rPr>
        <w:t xml:space="preserve">, </w:t>
      </w:r>
      <w:r w:rsidR="00E609CF" w:rsidRPr="00E609CF">
        <w:rPr>
          <w:rFonts w:ascii="Times New Roman" w:hAnsi="Times New Roman" w:cs="Times New Roman"/>
          <w:sz w:val="20"/>
          <w:szCs w:val="20"/>
        </w:rPr>
        <w:t>Budapest, Hungary</w:t>
      </w:r>
      <w:r w:rsidRPr="004276AD">
        <w:rPr>
          <w:rFonts w:ascii="Times New Roman" w:eastAsia="MS Mincho" w:hAnsi="Times New Roman" w:cs="Times New Roman"/>
          <w:sz w:val="20"/>
          <w:szCs w:val="20"/>
          <w:lang w:eastAsia="ja-JP"/>
        </w:rPr>
        <w:t>.</w:t>
      </w:r>
      <w:bookmarkEnd w:id="8"/>
    </w:p>
    <w:p w14:paraId="1A3931A2" w14:textId="6FD1F877" w:rsidR="006F62D0" w:rsidRDefault="006F62D0" w:rsidP="006F62D0">
      <w:pPr>
        <w:numPr>
          <w:ilvl w:val="0"/>
          <w:numId w:val="1"/>
        </w:numPr>
        <w:tabs>
          <w:tab w:val="left" w:pos="360"/>
        </w:tabs>
        <w:spacing w:after="120"/>
        <w:jc w:val="both"/>
        <w:rPr>
          <w:rFonts w:ascii="Times New Roman" w:eastAsia="MS Mincho" w:hAnsi="Times New Roman" w:cs="Times New Roman"/>
          <w:sz w:val="20"/>
          <w:szCs w:val="20"/>
          <w:lang w:eastAsia="ja-JP"/>
        </w:rPr>
      </w:pPr>
      <w:r w:rsidRPr="004276AD">
        <w:rPr>
          <w:rFonts w:ascii="Times New Roman" w:eastAsia="MS Mincho" w:hAnsi="Times New Roman" w:cs="Times New Roman"/>
          <w:sz w:val="20"/>
          <w:szCs w:val="20"/>
          <w:lang w:eastAsia="ja-JP"/>
        </w:rPr>
        <w:t>R1-22</w:t>
      </w:r>
      <w:r w:rsidR="00B21F8B">
        <w:rPr>
          <w:rFonts w:ascii="Times New Roman" w:eastAsia="MS Mincho" w:hAnsi="Times New Roman" w:cs="Times New Roman"/>
          <w:sz w:val="20"/>
          <w:szCs w:val="20"/>
          <w:lang w:eastAsia="ja-JP"/>
        </w:rPr>
        <w:t>08148</w:t>
      </w:r>
      <w:r w:rsidRPr="004276AD">
        <w:rPr>
          <w:rFonts w:ascii="Times New Roman" w:eastAsia="MS Mincho" w:hAnsi="Times New Roman" w:cs="Times New Roman"/>
          <w:sz w:val="20"/>
          <w:szCs w:val="20"/>
          <w:lang w:eastAsia="ja-JP"/>
        </w:rPr>
        <w:t>, “</w:t>
      </w:r>
      <w:r w:rsidRPr="00244D95">
        <w:rPr>
          <w:rFonts w:ascii="Times New Roman" w:hAnsi="Times New Roman" w:cs="Times New Roman"/>
          <w:sz w:val="20"/>
          <w:szCs w:val="20"/>
          <w:lang w:eastAsia="x-none"/>
        </w:rPr>
        <w:t>Session notes for 9.6 (Further NR RedCap UE complexity reduction)</w:t>
      </w:r>
      <w:r w:rsidRPr="004276AD">
        <w:rPr>
          <w:rFonts w:ascii="Times New Roman" w:hAnsi="Times New Roman" w:cs="Times New Roman"/>
          <w:sz w:val="20"/>
          <w:szCs w:val="20"/>
          <w:lang w:eastAsia="x-none"/>
        </w:rPr>
        <w:t>,</w:t>
      </w:r>
      <w:r w:rsidRPr="004276AD">
        <w:rPr>
          <w:rFonts w:ascii="Times New Roman" w:eastAsia="MS Mincho" w:hAnsi="Times New Roman" w:cs="Times New Roman"/>
          <w:sz w:val="20"/>
          <w:szCs w:val="20"/>
          <w:lang w:eastAsia="ja-JP"/>
        </w:rPr>
        <w:t xml:space="preserve">” </w:t>
      </w:r>
      <w:r w:rsidRPr="00A04B6F">
        <w:rPr>
          <w:rFonts w:ascii="Times New Roman" w:hAnsi="Times New Roman" w:cs="Times New Roman"/>
          <w:sz w:val="20"/>
          <w:szCs w:val="20"/>
        </w:rPr>
        <w:t>Ad-hoc Chair (CMCC)</w:t>
      </w:r>
      <w:r w:rsidRPr="004276AD">
        <w:rPr>
          <w:rFonts w:ascii="Times New Roman" w:hAnsi="Times New Roman" w:cs="Times New Roman"/>
          <w:sz w:val="20"/>
          <w:szCs w:val="20"/>
        </w:rPr>
        <w:t>, RAN1#110, Toulouse, France</w:t>
      </w:r>
      <w:r w:rsidRPr="004276AD">
        <w:rPr>
          <w:rFonts w:ascii="Times New Roman" w:eastAsia="MS Mincho" w:hAnsi="Times New Roman" w:cs="Times New Roman"/>
          <w:sz w:val="20"/>
          <w:szCs w:val="20"/>
          <w:lang w:eastAsia="ja-JP"/>
        </w:rPr>
        <w:t>.</w:t>
      </w:r>
      <w:bookmarkEnd w:id="9"/>
    </w:p>
    <w:p w14:paraId="48941A67" w14:textId="75B43006" w:rsidR="0077722C" w:rsidRDefault="0077722C" w:rsidP="0077722C">
      <w:pPr>
        <w:numPr>
          <w:ilvl w:val="0"/>
          <w:numId w:val="1"/>
        </w:numPr>
        <w:tabs>
          <w:tab w:val="left" w:pos="360"/>
        </w:tabs>
        <w:spacing w:after="120"/>
        <w:jc w:val="both"/>
        <w:rPr>
          <w:rFonts w:ascii="Times New Roman" w:eastAsia="MS Mincho" w:hAnsi="Times New Roman" w:cs="Times New Roman"/>
          <w:sz w:val="20"/>
          <w:szCs w:val="20"/>
          <w:lang w:eastAsia="ja-JP"/>
        </w:rPr>
      </w:pPr>
      <w:bookmarkStart w:id="12" w:name="_Ref112920665"/>
      <w:r w:rsidRPr="00436598">
        <w:rPr>
          <w:rFonts w:ascii="Times New Roman" w:eastAsia="MS Mincho" w:hAnsi="Times New Roman" w:cs="Times New Roman"/>
          <w:sz w:val="20"/>
          <w:szCs w:val="20"/>
          <w:lang w:eastAsia="ja-JP"/>
        </w:rPr>
        <w:t>R1-22</w:t>
      </w:r>
      <w:r w:rsidR="00DB6284">
        <w:rPr>
          <w:rFonts w:ascii="Times New Roman" w:eastAsia="MS Mincho" w:hAnsi="Times New Roman" w:cs="Times New Roman"/>
          <w:sz w:val="20"/>
          <w:szCs w:val="20"/>
          <w:lang w:eastAsia="ja-JP"/>
        </w:rPr>
        <w:t>08287</w:t>
      </w:r>
      <w:r w:rsidRPr="00436598">
        <w:rPr>
          <w:rFonts w:ascii="Times New Roman" w:eastAsia="MS Mincho" w:hAnsi="Times New Roman" w:cs="Times New Roman"/>
          <w:sz w:val="20"/>
          <w:szCs w:val="20"/>
          <w:lang w:eastAsia="ja-JP"/>
        </w:rPr>
        <w:t>, “</w:t>
      </w:r>
      <w:r w:rsidR="003E41E6" w:rsidRPr="003E41E6">
        <w:rPr>
          <w:rFonts w:ascii="Times New Roman" w:hAnsi="Times New Roman" w:cs="Times New Roman"/>
          <w:sz w:val="20"/>
          <w:szCs w:val="20"/>
          <w:lang w:eastAsia="x-none"/>
        </w:rPr>
        <w:t>FL summary #8 on potential solutions to further reduce RedCap UE complexity</w:t>
      </w:r>
      <w:r w:rsidRPr="00436598">
        <w:rPr>
          <w:rFonts w:ascii="Times New Roman" w:hAnsi="Times New Roman" w:cs="Times New Roman"/>
          <w:sz w:val="20"/>
          <w:szCs w:val="20"/>
          <w:lang w:eastAsia="x-none"/>
        </w:rPr>
        <w:t>,</w:t>
      </w:r>
      <w:r w:rsidRPr="00436598">
        <w:rPr>
          <w:rFonts w:ascii="Times New Roman" w:eastAsia="MS Mincho" w:hAnsi="Times New Roman" w:cs="Times New Roman"/>
          <w:sz w:val="20"/>
          <w:szCs w:val="20"/>
          <w:lang w:eastAsia="ja-JP"/>
        </w:rPr>
        <w:t xml:space="preserve">” </w:t>
      </w:r>
      <w:r w:rsidRPr="00436598">
        <w:rPr>
          <w:rFonts w:ascii="Times New Roman" w:hAnsi="Times New Roman" w:cs="Times New Roman"/>
          <w:sz w:val="20"/>
          <w:szCs w:val="20"/>
        </w:rPr>
        <w:t>Moderator (Ericsson), RAN1#</w:t>
      </w:r>
      <w:r w:rsidR="003E41E6">
        <w:rPr>
          <w:rFonts w:ascii="Times New Roman" w:hAnsi="Times New Roman" w:cs="Times New Roman"/>
          <w:sz w:val="20"/>
          <w:szCs w:val="20"/>
        </w:rPr>
        <w:t>110</w:t>
      </w:r>
      <w:r w:rsidRPr="00436598">
        <w:rPr>
          <w:rFonts w:ascii="Times New Roman" w:hAnsi="Times New Roman" w:cs="Times New Roman"/>
          <w:sz w:val="20"/>
          <w:szCs w:val="20"/>
        </w:rPr>
        <w:t xml:space="preserve">, </w:t>
      </w:r>
      <w:r w:rsidR="003E41E6" w:rsidRPr="003E41E6">
        <w:rPr>
          <w:rFonts w:ascii="Times New Roman" w:hAnsi="Times New Roman" w:cs="Times New Roman"/>
          <w:sz w:val="20"/>
          <w:szCs w:val="20"/>
        </w:rPr>
        <w:t>Toulouse, France</w:t>
      </w:r>
      <w:r w:rsidRPr="00436598">
        <w:rPr>
          <w:rFonts w:ascii="Times New Roman" w:eastAsia="MS Mincho" w:hAnsi="Times New Roman" w:cs="Times New Roman"/>
          <w:sz w:val="20"/>
          <w:szCs w:val="20"/>
          <w:lang w:eastAsia="ja-JP"/>
        </w:rPr>
        <w:t>.</w:t>
      </w:r>
      <w:bookmarkEnd w:id="10"/>
      <w:bookmarkEnd w:id="12"/>
    </w:p>
    <w:p w14:paraId="035F7EAE" w14:textId="5FD5739B" w:rsidR="006F62D0" w:rsidRDefault="0046287A" w:rsidP="006F62D0">
      <w:pPr>
        <w:numPr>
          <w:ilvl w:val="0"/>
          <w:numId w:val="1"/>
        </w:numPr>
        <w:tabs>
          <w:tab w:val="left" w:pos="360"/>
        </w:tabs>
        <w:spacing w:after="120"/>
        <w:jc w:val="both"/>
        <w:rPr>
          <w:rFonts w:ascii="Times New Roman" w:eastAsia="MS Mincho" w:hAnsi="Times New Roman" w:cs="Times New Roman"/>
          <w:sz w:val="20"/>
          <w:szCs w:val="20"/>
          <w:lang w:eastAsia="ja-JP"/>
        </w:rPr>
      </w:pPr>
      <w:bookmarkStart w:id="13" w:name="_Ref112919807"/>
      <w:r w:rsidRPr="0046287A">
        <w:rPr>
          <w:rFonts w:ascii="Times New Roman" w:eastAsia="MS Mincho" w:hAnsi="Times New Roman" w:cs="Times New Roman"/>
          <w:sz w:val="20"/>
          <w:szCs w:val="20"/>
          <w:lang w:eastAsia="ja-JP"/>
        </w:rPr>
        <w:t>R1-2208288</w:t>
      </w:r>
      <w:r w:rsidR="006F62D0" w:rsidRPr="00436598">
        <w:rPr>
          <w:rFonts w:ascii="Times New Roman" w:eastAsia="MS Mincho" w:hAnsi="Times New Roman" w:cs="Times New Roman"/>
          <w:sz w:val="20"/>
          <w:szCs w:val="20"/>
          <w:lang w:eastAsia="ja-JP"/>
        </w:rPr>
        <w:t>, “</w:t>
      </w:r>
      <w:r w:rsidR="004231CB" w:rsidRPr="004231CB">
        <w:rPr>
          <w:rFonts w:ascii="Times New Roman" w:hAnsi="Times New Roman" w:cs="Times New Roman"/>
          <w:sz w:val="20"/>
          <w:szCs w:val="20"/>
          <w:lang w:eastAsia="x-none"/>
        </w:rPr>
        <w:t>FL summary #7 on evaluation of coverage impact</w:t>
      </w:r>
      <w:r w:rsidR="006F62D0" w:rsidRPr="00436598">
        <w:rPr>
          <w:rFonts w:ascii="Times New Roman" w:hAnsi="Times New Roman" w:cs="Times New Roman"/>
          <w:sz w:val="20"/>
          <w:szCs w:val="20"/>
          <w:lang w:eastAsia="x-none"/>
        </w:rPr>
        <w:t>,</w:t>
      </w:r>
      <w:r w:rsidR="006F62D0" w:rsidRPr="00436598">
        <w:rPr>
          <w:rFonts w:ascii="Times New Roman" w:eastAsia="MS Mincho" w:hAnsi="Times New Roman" w:cs="Times New Roman"/>
          <w:sz w:val="20"/>
          <w:szCs w:val="20"/>
          <w:lang w:eastAsia="ja-JP"/>
        </w:rPr>
        <w:t xml:space="preserve">” </w:t>
      </w:r>
      <w:r w:rsidR="006F62D0" w:rsidRPr="00436598">
        <w:rPr>
          <w:rFonts w:ascii="Times New Roman" w:hAnsi="Times New Roman" w:cs="Times New Roman"/>
          <w:sz w:val="20"/>
          <w:szCs w:val="20"/>
        </w:rPr>
        <w:t>Moderator (</w:t>
      </w:r>
      <w:r w:rsidR="00BB0779" w:rsidRPr="00BB0779">
        <w:rPr>
          <w:rFonts w:ascii="Times New Roman" w:hAnsi="Times New Roman" w:cs="Times New Roman"/>
          <w:sz w:val="20"/>
          <w:szCs w:val="20"/>
        </w:rPr>
        <w:t>MediaTek</w:t>
      </w:r>
      <w:r w:rsidR="006F62D0" w:rsidRPr="00436598">
        <w:rPr>
          <w:rFonts w:ascii="Times New Roman" w:hAnsi="Times New Roman" w:cs="Times New Roman"/>
          <w:sz w:val="20"/>
          <w:szCs w:val="20"/>
        </w:rPr>
        <w:t>), RAN1#</w:t>
      </w:r>
      <w:r w:rsidR="006F62D0">
        <w:rPr>
          <w:rFonts w:ascii="Times New Roman" w:hAnsi="Times New Roman" w:cs="Times New Roman"/>
          <w:sz w:val="20"/>
          <w:szCs w:val="20"/>
        </w:rPr>
        <w:t>110</w:t>
      </w:r>
      <w:r w:rsidR="006F62D0" w:rsidRPr="00436598">
        <w:rPr>
          <w:rFonts w:ascii="Times New Roman" w:hAnsi="Times New Roman" w:cs="Times New Roman"/>
          <w:sz w:val="20"/>
          <w:szCs w:val="20"/>
        </w:rPr>
        <w:t xml:space="preserve">, </w:t>
      </w:r>
      <w:r w:rsidR="006F62D0" w:rsidRPr="003E41E6">
        <w:rPr>
          <w:rFonts w:ascii="Times New Roman" w:hAnsi="Times New Roman" w:cs="Times New Roman"/>
          <w:sz w:val="20"/>
          <w:szCs w:val="20"/>
        </w:rPr>
        <w:t>Toulouse, France</w:t>
      </w:r>
      <w:r w:rsidR="006F62D0" w:rsidRPr="00436598">
        <w:rPr>
          <w:rFonts w:ascii="Times New Roman" w:eastAsia="MS Mincho" w:hAnsi="Times New Roman" w:cs="Times New Roman"/>
          <w:sz w:val="20"/>
          <w:szCs w:val="20"/>
          <w:lang w:eastAsia="ja-JP"/>
        </w:rPr>
        <w:t>.</w:t>
      </w:r>
      <w:bookmarkEnd w:id="13"/>
    </w:p>
    <w:p w14:paraId="78AA07D1" w14:textId="4A48EFD9" w:rsidR="009D6782" w:rsidRDefault="009D6782" w:rsidP="009D6782">
      <w:pPr>
        <w:tabs>
          <w:tab w:val="left" w:pos="360"/>
        </w:tabs>
        <w:spacing w:after="120"/>
        <w:jc w:val="both"/>
        <w:rPr>
          <w:rFonts w:ascii="Times New Roman" w:eastAsia="MS Mincho" w:hAnsi="Times New Roman" w:cs="Times New Roman"/>
          <w:sz w:val="20"/>
          <w:szCs w:val="20"/>
          <w:lang w:eastAsia="ja-JP"/>
        </w:rPr>
      </w:pPr>
    </w:p>
    <w:p w14:paraId="0222672C" w14:textId="72B0659F" w:rsidR="009D6782" w:rsidRPr="009D6782" w:rsidRDefault="009D6782" w:rsidP="009D6782">
      <w:pPr>
        <w:pStyle w:val="Caption"/>
        <w:keepNext/>
        <w:jc w:val="center"/>
        <w:rPr>
          <w:rFonts w:ascii="Times New Roman" w:hAnsi="Times New Roman" w:cs="Times New Roman"/>
          <w:sz w:val="20"/>
          <w:szCs w:val="20"/>
          <w:lang w:val="en-US"/>
        </w:rPr>
      </w:pPr>
      <w:bookmarkStart w:id="14" w:name="_Ref112915265"/>
      <w:r w:rsidRPr="009D6782">
        <w:rPr>
          <w:rFonts w:ascii="Times New Roman" w:hAnsi="Times New Roman" w:cs="Times New Roman"/>
          <w:sz w:val="20"/>
          <w:szCs w:val="20"/>
        </w:rPr>
        <w:t xml:space="preserve">Table </w:t>
      </w:r>
      <w:r w:rsidRPr="009D6782">
        <w:rPr>
          <w:rFonts w:ascii="Times New Roman" w:hAnsi="Times New Roman" w:cs="Times New Roman"/>
          <w:sz w:val="20"/>
          <w:szCs w:val="20"/>
        </w:rPr>
        <w:fldChar w:fldCharType="begin"/>
      </w:r>
      <w:r w:rsidRPr="009D6782">
        <w:rPr>
          <w:rFonts w:ascii="Times New Roman" w:hAnsi="Times New Roman" w:cs="Times New Roman"/>
          <w:sz w:val="20"/>
          <w:szCs w:val="20"/>
        </w:rPr>
        <w:instrText xml:space="preserve"> SEQ Table \* ARABIC </w:instrText>
      </w:r>
      <w:r w:rsidRPr="009D6782">
        <w:rPr>
          <w:rFonts w:ascii="Times New Roman" w:hAnsi="Times New Roman" w:cs="Times New Roman"/>
          <w:sz w:val="20"/>
          <w:szCs w:val="20"/>
        </w:rPr>
        <w:fldChar w:fldCharType="separate"/>
      </w:r>
      <w:r w:rsidR="0017405F">
        <w:rPr>
          <w:rFonts w:ascii="Times New Roman" w:hAnsi="Times New Roman" w:cs="Times New Roman"/>
          <w:noProof/>
          <w:sz w:val="20"/>
          <w:szCs w:val="20"/>
        </w:rPr>
        <w:t>1</w:t>
      </w:r>
      <w:r w:rsidRPr="009D6782">
        <w:rPr>
          <w:rFonts w:ascii="Times New Roman" w:hAnsi="Times New Roman" w:cs="Times New Roman"/>
          <w:sz w:val="20"/>
          <w:szCs w:val="20"/>
        </w:rPr>
        <w:fldChar w:fldCharType="end"/>
      </w:r>
      <w:bookmarkEnd w:id="14"/>
      <w:r w:rsidRPr="009D6782">
        <w:rPr>
          <w:rFonts w:ascii="Times New Roman" w:hAnsi="Times New Roman" w:cs="Times New Roman"/>
          <w:sz w:val="20"/>
          <w:szCs w:val="20"/>
          <w:lang w:val="en-US"/>
        </w:rPr>
        <w:t>. Average complexity reduction relative to Rel-17 RedCap UE.</w:t>
      </w:r>
    </w:p>
    <w:tbl>
      <w:tblPr>
        <w:tblW w:w="9493" w:type="dxa"/>
        <w:jc w:val="center"/>
        <w:tblLayout w:type="fixed"/>
        <w:tblLook w:val="04A0" w:firstRow="1" w:lastRow="0" w:firstColumn="1" w:lastColumn="0" w:noHBand="0" w:noVBand="1"/>
      </w:tblPr>
      <w:tblGrid>
        <w:gridCol w:w="2122"/>
        <w:gridCol w:w="1228"/>
        <w:gridCol w:w="1229"/>
        <w:gridCol w:w="1228"/>
        <w:gridCol w:w="1229"/>
        <w:gridCol w:w="1228"/>
        <w:gridCol w:w="1229"/>
      </w:tblGrid>
      <w:tr w:rsidR="009D6782" w:rsidRPr="00875DC0" w14:paraId="4C28B577" w14:textId="77777777" w:rsidTr="00843CD4">
        <w:trPr>
          <w:trHeight w:val="300"/>
          <w:jc w:val="center"/>
        </w:trPr>
        <w:tc>
          <w:tcPr>
            <w:tcW w:w="212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CDCA779"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Option</w:t>
            </w:r>
          </w:p>
        </w:tc>
        <w:tc>
          <w:tcPr>
            <w:tcW w:w="1228" w:type="dxa"/>
            <w:tcBorders>
              <w:top w:val="single" w:sz="4" w:space="0" w:color="auto"/>
              <w:left w:val="nil"/>
              <w:bottom w:val="single" w:sz="4" w:space="0" w:color="auto"/>
              <w:right w:val="single" w:sz="4" w:space="0" w:color="auto"/>
            </w:tcBorders>
            <w:shd w:val="clear" w:color="000000" w:fill="D9D9D9"/>
            <w:vAlign w:val="center"/>
            <w:hideMark/>
          </w:tcPr>
          <w:p w14:paraId="3811B868" w14:textId="77777777" w:rsidR="009D6782" w:rsidRPr="00843CD4" w:rsidRDefault="009D6782" w:rsidP="00843CD4">
            <w:pPr>
              <w:spacing w:after="0" w:line="240" w:lineRule="auto"/>
              <w:jc w:val="center"/>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TDD 1Rx</w:t>
            </w:r>
          </w:p>
        </w:tc>
        <w:tc>
          <w:tcPr>
            <w:tcW w:w="1229" w:type="dxa"/>
            <w:tcBorders>
              <w:top w:val="single" w:sz="4" w:space="0" w:color="auto"/>
              <w:left w:val="nil"/>
              <w:bottom w:val="single" w:sz="4" w:space="0" w:color="auto"/>
              <w:right w:val="single" w:sz="4" w:space="0" w:color="auto"/>
            </w:tcBorders>
            <w:shd w:val="clear" w:color="000000" w:fill="D9D9D9"/>
            <w:vAlign w:val="center"/>
            <w:hideMark/>
          </w:tcPr>
          <w:p w14:paraId="1ADC4A78" w14:textId="77777777" w:rsidR="009D6782" w:rsidRPr="00843CD4" w:rsidRDefault="009D6782" w:rsidP="00843CD4">
            <w:pPr>
              <w:spacing w:after="0" w:line="240" w:lineRule="auto"/>
              <w:jc w:val="center"/>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FD-FDD 1Rx</w:t>
            </w:r>
          </w:p>
        </w:tc>
        <w:tc>
          <w:tcPr>
            <w:tcW w:w="1228" w:type="dxa"/>
            <w:tcBorders>
              <w:top w:val="single" w:sz="4" w:space="0" w:color="auto"/>
              <w:left w:val="nil"/>
              <w:bottom w:val="single" w:sz="4" w:space="0" w:color="auto"/>
              <w:right w:val="single" w:sz="4" w:space="0" w:color="auto"/>
            </w:tcBorders>
            <w:shd w:val="clear" w:color="000000" w:fill="D9D9D9"/>
            <w:vAlign w:val="center"/>
            <w:hideMark/>
          </w:tcPr>
          <w:p w14:paraId="1021AB86" w14:textId="77777777" w:rsidR="009D6782" w:rsidRPr="00843CD4" w:rsidRDefault="009D6782" w:rsidP="00843CD4">
            <w:pPr>
              <w:spacing w:after="0" w:line="240" w:lineRule="auto"/>
              <w:jc w:val="center"/>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HD-FDD 1Rx</w:t>
            </w:r>
          </w:p>
        </w:tc>
        <w:tc>
          <w:tcPr>
            <w:tcW w:w="1229" w:type="dxa"/>
            <w:tcBorders>
              <w:top w:val="single" w:sz="4" w:space="0" w:color="auto"/>
              <w:left w:val="nil"/>
              <w:bottom w:val="single" w:sz="4" w:space="0" w:color="auto"/>
              <w:right w:val="single" w:sz="4" w:space="0" w:color="auto"/>
            </w:tcBorders>
            <w:shd w:val="clear" w:color="000000" w:fill="D9D9D9"/>
            <w:vAlign w:val="center"/>
            <w:hideMark/>
          </w:tcPr>
          <w:p w14:paraId="76BDE38E" w14:textId="77777777" w:rsidR="009D6782" w:rsidRPr="00843CD4" w:rsidRDefault="009D6782" w:rsidP="00843CD4">
            <w:pPr>
              <w:spacing w:after="0" w:line="240" w:lineRule="auto"/>
              <w:jc w:val="center"/>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TDD 2Rx</w:t>
            </w:r>
          </w:p>
        </w:tc>
        <w:tc>
          <w:tcPr>
            <w:tcW w:w="1228" w:type="dxa"/>
            <w:tcBorders>
              <w:top w:val="single" w:sz="4" w:space="0" w:color="auto"/>
              <w:left w:val="nil"/>
              <w:bottom w:val="single" w:sz="4" w:space="0" w:color="auto"/>
              <w:right w:val="single" w:sz="4" w:space="0" w:color="auto"/>
            </w:tcBorders>
            <w:shd w:val="clear" w:color="000000" w:fill="D9D9D9"/>
            <w:vAlign w:val="center"/>
            <w:hideMark/>
          </w:tcPr>
          <w:p w14:paraId="6DCFC169" w14:textId="77777777" w:rsidR="009D6782" w:rsidRPr="00843CD4" w:rsidRDefault="009D6782" w:rsidP="00843CD4">
            <w:pPr>
              <w:spacing w:after="0" w:line="240" w:lineRule="auto"/>
              <w:jc w:val="center"/>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FD-FDD 2Rx</w:t>
            </w:r>
          </w:p>
        </w:tc>
        <w:tc>
          <w:tcPr>
            <w:tcW w:w="1229" w:type="dxa"/>
            <w:tcBorders>
              <w:top w:val="single" w:sz="4" w:space="0" w:color="auto"/>
              <w:left w:val="nil"/>
              <w:bottom w:val="single" w:sz="4" w:space="0" w:color="auto"/>
              <w:right w:val="single" w:sz="4" w:space="0" w:color="auto"/>
            </w:tcBorders>
            <w:shd w:val="clear" w:color="000000" w:fill="D9D9D9"/>
            <w:vAlign w:val="center"/>
            <w:hideMark/>
          </w:tcPr>
          <w:p w14:paraId="563BB8AD" w14:textId="77777777" w:rsidR="009D6782" w:rsidRPr="00843CD4" w:rsidRDefault="009D6782" w:rsidP="00843CD4">
            <w:pPr>
              <w:spacing w:after="0" w:line="240" w:lineRule="auto"/>
              <w:jc w:val="center"/>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HD-FDD 2Rx</w:t>
            </w:r>
          </w:p>
        </w:tc>
      </w:tr>
      <w:tr w:rsidR="009D6782" w:rsidRPr="00875DC0" w14:paraId="02FBF3A8"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50C6704B"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BW1</w:t>
            </w:r>
          </w:p>
        </w:tc>
        <w:tc>
          <w:tcPr>
            <w:tcW w:w="1228" w:type="dxa"/>
            <w:tcBorders>
              <w:top w:val="nil"/>
              <w:left w:val="nil"/>
              <w:bottom w:val="single" w:sz="4" w:space="0" w:color="auto"/>
              <w:right w:val="single" w:sz="4" w:space="0" w:color="auto"/>
            </w:tcBorders>
            <w:shd w:val="clear" w:color="000000" w:fill="A9D08E"/>
            <w:noWrap/>
            <w:vAlign w:val="bottom"/>
            <w:hideMark/>
          </w:tcPr>
          <w:p w14:paraId="67CED3D2"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11.25%</w:t>
            </w:r>
          </w:p>
        </w:tc>
        <w:tc>
          <w:tcPr>
            <w:tcW w:w="1229" w:type="dxa"/>
            <w:tcBorders>
              <w:top w:val="nil"/>
              <w:left w:val="nil"/>
              <w:bottom w:val="single" w:sz="4" w:space="0" w:color="auto"/>
              <w:right w:val="single" w:sz="4" w:space="0" w:color="auto"/>
            </w:tcBorders>
            <w:shd w:val="clear" w:color="000000" w:fill="A9D08E"/>
            <w:noWrap/>
            <w:vAlign w:val="bottom"/>
            <w:hideMark/>
          </w:tcPr>
          <w:p w14:paraId="04A112AF"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11.85%</w:t>
            </w:r>
          </w:p>
        </w:tc>
        <w:tc>
          <w:tcPr>
            <w:tcW w:w="1228" w:type="dxa"/>
            <w:tcBorders>
              <w:top w:val="nil"/>
              <w:left w:val="nil"/>
              <w:bottom w:val="single" w:sz="4" w:space="0" w:color="auto"/>
              <w:right w:val="single" w:sz="4" w:space="0" w:color="auto"/>
            </w:tcBorders>
            <w:shd w:val="clear" w:color="000000" w:fill="A9D08E"/>
            <w:noWrap/>
            <w:vAlign w:val="bottom"/>
            <w:hideMark/>
          </w:tcPr>
          <w:p w14:paraId="32566C90"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14.06%</w:t>
            </w:r>
          </w:p>
        </w:tc>
        <w:tc>
          <w:tcPr>
            <w:tcW w:w="1229" w:type="dxa"/>
            <w:tcBorders>
              <w:top w:val="nil"/>
              <w:left w:val="nil"/>
              <w:bottom w:val="single" w:sz="4" w:space="0" w:color="auto"/>
              <w:right w:val="single" w:sz="4" w:space="0" w:color="auto"/>
            </w:tcBorders>
            <w:shd w:val="clear" w:color="000000" w:fill="A9D08E"/>
            <w:noWrap/>
            <w:vAlign w:val="bottom"/>
            <w:hideMark/>
          </w:tcPr>
          <w:p w14:paraId="388F9180"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13.42%</w:t>
            </w:r>
          </w:p>
        </w:tc>
        <w:tc>
          <w:tcPr>
            <w:tcW w:w="1228" w:type="dxa"/>
            <w:tcBorders>
              <w:top w:val="nil"/>
              <w:left w:val="nil"/>
              <w:bottom w:val="single" w:sz="4" w:space="0" w:color="auto"/>
              <w:right w:val="single" w:sz="4" w:space="0" w:color="auto"/>
            </w:tcBorders>
            <w:shd w:val="clear" w:color="000000" w:fill="A9D08E"/>
            <w:noWrap/>
            <w:vAlign w:val="bottom"/>
            <w:hideMark/>
          </w:tcPr>
          <w:p w14:paraId="76CDB663"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14.31%</w:t>
            </w:r>
          </w:p>
        </w:tc>
        <w:tc>
          <w:tcPr>
            <w:tcW w:w="1229" w:type="dxa"/>
            <w:tcBorders>
              <w:top w:val="nil"/>
              <w:left w:val="nil"/>
              <w:bottom w:val="single" w:sz="4" w:space="0" w:color="auto"/>
              <w:right w:val="single" w:sz="4" w:space="0" w:color="auto"/>
            </w:tcBorders>
            <w:shd w:val="clear" w:color="000000" w:fill="A9D08E"/>
            <w:noWrap/>
            <w:vAlign w:val="bottom"/>
            <w:hideMark/>
          </w:tcPr>
          <w:p w14:paraId="4CDADA77"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14.79%</w:t>
            </w:r>
          </w:p>
        </w:tc>
      </w:tr>
      <w:tr w:rsidR="009D6782" w:rsidRPr="00875DC0" w14:paraId="2E3D5AE3"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16BF2124"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 xml:space="preserve">BW2 </w:t>
            </w:r>
          </w:p>
        </w:tc>
        <w:tc>
          <w:tcPr>
            <w:tcW w:w="1228" w:type="dxa"/>
            <w:tcBorders>
              <w:top w:val="nil"/>
              <w:left w:val="nil"/>
              <w:bottom w:val="single" w:sz="4" w:space="0" w:color="auto"/>
              <w:right w:val="single" w:sz="4" w:space="0" w:color="auto"/>
            </w:tcBorders>
            <w:shd w:val="clear" w:color="000000" w:fill="A9D08E"/>
            <w:noWrap/>
            <w:vAlign w:val="bottom"/>
            <w:hideMark/>
          </w:tcPr>
          <w:p w14:paraId="3D6722E5"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8.08%</w:t>
            </w:r>
          </w:p>
        </w:tc>
        <w:tc>
          <w:tcPr>
            <w:tcW w:w="1229" w:type="dxa"/>
            <w:tcBorders>
              <w:top w:val="nil"/>
              <w:left w:val="nil"/>
              <w:bottom w:val="single" w:sz="4" w:space="0" w:color="auto"/>
              <w:right w:val="single" w:sz="4" w:space="0" w:color="auto"/>
            </w:tcBorders>
            <w:shd w:val="clear" w:color="000000" w:fill="A9D08E"/>
            <w:noWrap/>
            <w:vAlign w:val="bottom"/>
            <w:hideMark/>
          </w:tcPr>
          <w:p w14:paraId="38B27A3E"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9.15%</w:t>
            </w:r>
          </w:p>
        </w:tc>
        <w:tc>
          <w:tcPr>
            <w:tcW w:w="1228" w:type="dxa"/>
            <w:tcBorders>
              <w:top w:val="nil"/>
              <w:left w:val="nil"/>
              <w:bottom w:val="single" w:sz="4" w:space="0" w:color="auto"/>
              <w:right w:val="single" w:sz="4" w:space="0" w:color="auto"/>
            </w:tcBorders>
            <w:shd w:val="clear" w:color="000000" w:fill="A9D08E"/>
            <w:noWrap/>
            <w:vAlign w:val="bottom"/>
            <w:hideMark/>
          </w:tcPr>
          <w:p w14:paraId="32086834"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11.92%</w:t>
            </w:r>
          </w:p>
        </w:tc>
        <w:tc>
          <w:tcPr>
            <w:tcW w:w="1229" w:type="dxa"/>
            <w:tcBorders>
              <w:top w:val="nil"/>
              <w:left w:val="nil"/>
              <w:bottom w:val="single" w:sz="4" w:space="0" w:color="auto"/>
              <w:right w:val="single" w:sz="4" w:space="0" w:color="auto"/>
            </w:tcBorders>
            <w:shd w:val="clear" w:color="000000" w:fill="A9D08E"/>
            <w:noWrap/>
            <w:vAlign w:val="bottom"/>
            <w:hideMark/>
          </w:tcPr>
          <w:p w14:paraId="079257E7"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8.81%</w:t>
            </w:r>
          </w:p>
        </w:tc>
        <w:tc>
          <w:tcPr>
            <w:tcW w:w="1228" w:type="dxa"/>
            <w:tcBorders>
              <w:top w:val="nil"/>
              <w:left w:val="nil"/>
              <w:bottom w:val="single" w:sz="4" w:space="0" w:color="auto"/>
              <w:right w:val="single" w:sz="4" w:space="0" w:color="auto"/>
            </w:tcBorders>
            <w:shd w:val="clear" w:color="000000" w:fill="A9D08E"/>
            <w:noWrap/>
            <w:vAlign w:val="bottom"/>
            <w:hideMark/>
          </w:tcPr>
          <w:p w14:paraId="1442F790"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11.46%</w:t>
            </w:r>
          </w:p>
        </w:tc>
        <w:tc>
          <w:tcPr>
            <w:tcW w:w="1229" w:type="dxa"/>
            <w:tcBorders>
              <w:top w:val="nil"/>
              <w:left w:val="nil"/>
              <w:bottom w:val="single" w:sz="4" w:space="0" w:color="auto"/>
              <w:right w:val="single" w:sz="4" w:space="0" w:color="auto"/>
            </w:tcBorders>
            <w:shd w:val="clear" w:color="000000" w:fill="A9D08E"/>
            <w:noWrap/>
            <w:vAlign w:val="bottom"/>
            <w:hideMark/>
          </w:tcPr>
          <w:p w14:paraId="681FFD17"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12.21%</w:t>
            </w:r>
          </w:p>
        </w:tc>
      </w:tr>
      <w:tr w:rsidR="009D6782" w:rsidRPr="00875DC0" w14:paraId="0537339D"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02D46FCA"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BW3</w:t>
            </w:r>
          </w:p>
        </w:tc>
        <w:tc>
          <w:tcPr>
            <w:tcW w:w="1228" w:type="dxa"/>
            <w:tcBorders>
              <w:top w:val="nil"/>
              <w:left w:val="nil"/>
              <w:bottom w:val="single" w:sz="4" w:space="0" w:color="auto"/>
              <w:right w:val="single" w:sz="4" w:space="0" w:color="auto"/>
            </w:tcBorders>
            <w:shd w:val="clear" w:color="000000" w:fill="A9D08E"/>
            <w:noWrap/>
            <w:vAlign w:val="bottom"/>
            <w:hideMark/>
          </w:tcPr>
          <w:p w14:paraId="2AD14A23"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7.66%</w:t>
            </w:r>
          </w:p>
        </w:tc>
        <w:tc>
          <w:tcPr>
            <w:tcW w:w="1229" w:type="dxa"/>
            <w:tcBorders>
              <w:top w:val="nil"/>
              <w:left w:val="nil"/>
              <w:bottom w:val="single" w:sz="4" w:space="0" w:color="auto"/>
              <w:right w:val="single" w:sz="4" w:space="0" w:color="auto"/>
            </w:tcBorders>
            <w:shd w:val="clear" w:color="000000" w:fill="A9D08E"/>
            <w:noWrap/>
            <w:vAlign w:val="bottom"/>
            <w:hideMark/>
          </w:tcPr>
          <w:p w14:paraId="3A15EB92"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8.02%</w:t>
            </w:r>
          </w:p>
        </w:tc>
        <w:tc>
          <w:tcPr>
            <w:tcW w:w="1228" w:type="dxa"/>
            <w:tcBorders>
              <w:top w:val="nil"/>
              <w:left w:val="nil"/>
              <w:bottom w:val="single" w:sz="4" w:space="0" w:color="auto"/>
              <w:right w:val="single" w:sz="4" w:space="0" w:color="auto"/>
            </w:tcBorders>
            <w:shd w:val="clear" w:color="000000" w:fill="A9D08E"/>
            <w:noWrap/>
            <w:vAlign w:val="bottom"/>
            <w:hideMark/>
          </w:tcPr>
          <w:p w14:paraId="75FB1C1F"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8.90%</w:t>
            </w:r>
          </w:p>
        </w:tc>
        <w:tc>
          <w:tcPr>
            <w:tcW w:w="1229" w:type="dxa"/>
            <w:tcBorders>
              <w:top w:val="nil"/>
              <w:left w:val="nil"/>
              <w:bottom w:val="single" w:sz="4" w:space="0" w:color="auto"/>
              <w:right w:val="single" w:sz="4" w:space="0" w:color="auto"/>
            </w:tcBorders>
            <w:shd w:val="clear" w:color="000000" w:fill="A9D08E"/>
            <w:noWrap/>
            <w:vAlign w:val="bottom"/>
            <w:hideMark/>
          </w:tcPr>
          <w:p w14:paraId="3D72DA88"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7.68%</w:t>
            </w:r>
          </w:p>
        </w:tc>
        <w:tc>
          <w:tcPr>
            <w:tcW w:w="1228" w:type="dxa"/>
            <w:tcBorders>
              <w:top w:val="nil"/>
              <w:left w:val="nil"/>
              <w:bottom w:val="single" w:sz="4" w:space="0" w:color="auto"/>
              <w:right w:val="single" w:sz="4" w:space="0" w:color="auto"/>
            </w:tcBorders>
            <w:shd w:val="clear" w:color="000000" w:fill="A9D08E"/>
            <w:noWrap/>
            <w:vAlign w:val="bottom"/>
            <w:hideMark/>
          </w:tcPr>
          <w:p w14:paraId="7A366440"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8.72%</w:t>
            </w:r>
          </w:p>
        </w:tc>
        <w:tc>
          <w:tcPr>
            <w:tcW w:w="1229" w:type="dxa"/>
            <w:tcBorders>
              <w:top w:val="nil"/>
              <w:left w:val="nil"/>
              <w:bottom w:val="single" w:sz="4" w:space="0" w:color="auto"/>
              <w:right w:val="single" w:sz="4" w:space="0" w:color="auto"/>
            </w:tcBorders>
            <w:shd w:val="clear" w:color="000000" w:fill="A9D08E"/>
            <w:noWrap/>
            <w:vAlign w:val="bottom"/>
            <w:hideMark/>
          </w:tcPr>
          <w:p w14:paraId="13B0EB15"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9.19%</w:t>
            </w:r>
          </w:p>
        </w:tc>
      </w:tr>
      <w:tr w:rsidR="009D6782" w:rsidRPr="00875DC0" w14:paraId="5DB8F989"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31C3BD3E"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PR1</w:t>
            </w:r>
          </w:p>
        </w:tc>
        <w:tc>
          <w:tcPr>
            <w:tcW w:w="1228" w:type="dxa"/>
            <w:tcBorders>
              <w:top w:val="nil"/>
              <w:left w:val="nil"/>
              <w:bottom w:val="single" w:sz="4" w:space="0" w:color="auto"/>
              <w:right w:val="single" w:sz="4" w:space="0" w:color="auto"/>
            </w:tcBorders>
            <w:shd w:val="clear" w:color="000000" w:fill="A9D08E"/>
            <w:noWrap/>
            <w:vAlign w:val="bottom"/>
            <w:hideMark/>
          </w:tcPr>
          <w:p w14:paraId="3D3FB7A2"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4.02%</w:t>
            </w:r>
          </w:p>
        </w:tc>
        <w:tc>
          <w:tcPr>
            <w:tcW w:w="1229" w:type="dxa"/>
            <w:tcBorders>
              <w:top w:val="nil"/>
              <w:left w:val="nil"/>
              <w:bottom w:val="single" w:sz="4" w:space="0" w:color="auto"/>
              <w:right w:val="single" w:sz="4" w:space="0" w:color="auto"/>
            </w:tcBorders>
            <w:shd w:val="clear" w:color="000000" w:fill="A9D08E"/>
            <w:noWrap/>
            <w:vAlign w:val="bottom"/>
            <w:hideMark/>
          </w:tcPr>
          <w:p w14:paraId="50749FF6"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4.13%</w:t>
            </w:r>
          </w:p>
        </w:tc>
        <w:tc>
          <w:tcPr>
            <w:tcW w:w="1228" w:type="dxa"/>
            <w:tcBorders>
              <w:top w:val="nil"/>
              <w:left w:val="nil"/>
              <w:bottom w:val="single" w:sz="4" w:space="0" w:color="auto"/>
              <w:right w:val="single" w:sz="4" w:space="0" w:color="auto"/>
            </w:tcBorders>
            <w:shd w:val="clear" w:color="000000" w:fill="A9D08E"/>
            <w:noWrap/>
            <w:vAlign w:val="bottom"/>
            <w:hideMark/>
          </w:tcPr>
          <w:p w14:paraId="25297F9A"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4.99%</w:t>
            </w:r>
          </w:p>
        </w:tc>
        <w:tc>
          <w:tcPr>
            <w:tcW w:w="1229" w:type="dxa"/>
            <w:tcBorders>
              <w:top w:val="nil"/>
              <w:left w:val="nil"/>
              <w:bottom w:val="single" w:sz="4" w:space="0" w:color="auto"/>
              <w:right w:val="single" w:sz="4" w:space="0" w:color="auto"/>
            </w:tcBorders>
            <w:shd w:val="clear" w:color="000000" w:fill="A9D08E"/>
            <w:noWrap/>
            <w:vAlign w:val="bottom"/>
            <w:hideMark/>
          </w:tcPr>
          <w:p w14:paraId="44110B9D"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3.73%</w:t>
            </w:r>
          </w:p>
        </w:tc>
        <w:tc>
          <w:tcPr>
            <w:tcW w:w="1228" w:type="dxa"/>
            <w:tcBorders>
              <w:top w:val="nil"/>
              <w:left w:val="nil"/>
              <w:bottom w:val="single" w:sz="4" w:space="0" w:color="auto"/>
              <w:right w:val="single" w:sz="4" w:space="0" w:color="auto"/>
            </w:tcBorders>
            <w:shd w:val="clear" w:color="000000" w:fill="A9D08E"/>
            <w:noWrap/>
            <w:vAlign w:val="bottom"/>
            <w:hideMark/>
          </w:tcPr>
          <w:p w14:paraId="5CF7699D"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5.36%</w:t>
            </w:r>
          </w:p>
        </w:tc>
        <w:tc>
          <w:tcPr>
            <w:tcW w:w="1229" w:type="dxa"/>
            <w:tcBorders>
              <w:top w:val="nil"/>
              <w:left w:val="nil"/>
              <w:bottom w:val="single" w:sz="4" w:space="0" w:color="auto"/>
              <w:right w:val="single" w:sz="4" w:space="0" w:color="auto"/>
            </w:tcBorders>
            <w:shd w:val="clear" w:color="000000" w:fill="A9D08E"/>
            <w:noWrap/>
            <w:vAlign w:val="bottom"/>
            <w:hideMark/>
          </w:tcPr>
          <w:p w14:paraId="1A9B953D"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4.74%</w:t>
            </w:r>
          </w:p>
        </w:tc>
      </w:tr>
      <w:tr w:rsidR="009D6782" w:rsidRPr="00875DC0" w14:paraId="432E7083"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1C49D556"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PR2</w:t>
            </w:r>
          </w:p>
        </w:tc>
        <w:tc>
          <w:tcPr>
            <w:tcW w:w="1228" w:type="dxa"/>
            <w:tcBorders>
              <w:top w:val="nil"/>
              <w:left w:val="nil"/>
              <w:bottom w:val="single" w:sz="4" w:space="0" w:color="auto"/>
              <w:right w:val="single" w:sz="4" w:space="0" w:color="auto"/>
            </w:tcBorders>
            <w:shd w:val="clear" w:color="000000" w:fill="A9D08E"/>
            <w:noWrap/>
            <w:vAlign w:val="bottom"/>
            <w:hideMark/>
          </w:tcPr>
          <w:p w14:paraId="578A128B"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4.16%</w:t>
            </w:r>
          </w:p>
        </w:tc>
        <w:tc>
          <w:tcPr>
            <w:tcW w:w="1229" w:type="dxa"/>
            <w:tcBorders>
              <w:top w:val="nil"/>
              <w:left w:val="nil"/>
              <w:bottom w:val="single" w:sz="4" w:space="0" w:color="auto"/>
              <w:right w:val="single" w:sz="4" w:space="0" w:color="auto"/>
            </w:tcBorders>
            <w:shd w:val="clear" w:color="000000" w:fill="A9D08E"/>
            <w:noWrap/>
            <w:vAlign w:val="bottom"/>
            <w:hideMark/>
          </w:tcPr>
          <w:p w14:paraId="66F63137"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4.26%</w:t>
            </w:r>
          </w:p>
        </w:tc>
        <w:tc>
          <w:tcPr>
            <w:tcW w:w="1228" w:type="dxa"/>
            <w:tcBorders>
              <w:top w:val="nil"/>
              <w:left w:val="nil"/>
              <w:bottom w:val="single" w:sz="4" w:space="0" w:color="auto"/>
              <w:right w:val="single" w:sz="4" w:space="0" w:color="auto"/>
            </w:tcBorders>
            <w:shd w:val="clear" w:color="000000" w:fill="A9D08E"/>
            <w:noWrap/>
            <w:vAlign w:val="bottom"/>
            <w:hideMark/>
          </w:tcPr>
          <w:p w14:paraId="0DCAF934"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5.14%</w:t>
            </w:r>
          </w:p>
        </w:tc>
        <w:tc>
          <w:tcPr>
            <w:tcW w:w="1229" w:type="dxa"/>
            <w:tcBorders>
              <w:top w:val="nil"/>
              <w:left w:val="nil"/>
              <w:bottom w:val="single" w:sz="4" w:space="0" w:color="auto"/>
              <w:right w:val="single" w:sz="4" w:space="0" w:color="auto"/>
            </w:tcBorders>
            <w:shd w:val="clear" w:color="000000" w:fill="A9D08E"/>
            <w:noWrap/>
            <w:vAlign w:val="bottom"/>
            <w:hideMark/>
          </w:tcPr>
          <w:p w14:paraId="3EC6FAC9"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3.82%</w:t>
            </w:r>
          </w:p>
        </w:tc>
        <w:tc>
          <w:tcPr>
            <w:tcW w:w="1228" w:type="dxa"/>
            <w:tcBorders>
              <w:top w:val="nil"/>
              <w:left w:val="nil"/>
              <w:bottom w:val="single" w:sz="4" w:space="0" w:color="auto"/>
              <w:right w:val="single" w:sz="4" w:space="0" w:color="auto"/>
            </w:tcBorders>
            <w:shd w:val="clear" w:color="000000" w:fill="A9D08E"/>
            <w:noWrap/>
            <w:vAlign w:val="bottom"/>
            <w:hideMark/>
          </w:tcPr>
          <w:p w14:paraId="728FC204"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6.91%</w:t>
            </w:r>
          </w:p>
        </w:tc>
        <w:tc>
          <w:tcPr>
            <w:tcW w:w="1229" w:type="dxa"/>
            <w:tcBorders>
              <w:top w:val="nil"/>
              <w:left w:val="nil"/>
              <w:bottom w:val="single" w:sz="4" w:space="0" w:color="auto"/>
              <w:right w:val="single" w:sz="4" w:space="0" w:color="auto"/>
            </w:tcBorders>
            <w:shd w:val="clear" w:color="000000" w:fill="A9D08E"/>
            <w:noWrap/>
            <w:vAlign w:val="bottom"/>
            <w:hideMark/>
          </w:tcPr>
          <w:p w14:paraId="1012FADB"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4.82%</w:t>
            </w:r>
          </w:p>
        </w:tc>
      </w:tr>
      <w:tr w:rsidR="009D6782" w:rsidRPr="00875DC0" w14:paraId="7C214C58"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679F19F8"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PR3</w:t>
            </w:r>
          </w:p>
        </w:tc>
        <w:tc>
          <w:tcPr>
            <w:tcW w:w="1228" w:type="dxa"/>
            <w:tcBorders>
              <w:top w:val="nil"/>
              <w:left w:val="nil"/>
              <w:bottom w:val="single" w:sz="4" w:space="0" w:color="auto"/>
              <w:right w:val="single" w:sz="4" w:space="0" w:color="auto"/>
            </w:tcBorders>
            <w:shd w:val="clear" w:color="000000" w:fill="A9D08E"/>
            <w:noWrap/>
            <w:vAlign w:val="bottom"/>
            <w:hideMark/>
          </w:tcPr>
          <w:p w14:paraId="5DB42AC4"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6.74%</w:t>
            </w:r>
          </w:p>
        </w:tc>
        <w:tc>
          <w:tcPr>
            <w:tcW w:w="1229" w:type="dxa"/>
            <w:tcBorders>
              <w:top w:val="nil"/>
              <w:left w:val="nil"/>
              <w:bottom w:val="single" w:sz="4" w:space="0" w:color="auto"/>
              <w:right w:val="single" w:sz="4" w:space="0" w:color="auto"/>
            </w:tcBorders>
            <w:shd w:val="clear" w:color="000000" w:fill="A9D08E"/>
            <w:noWrap/>
            <w:vAlign w:val="bottom"/>
            <w:hideMark/>
          </w:tcPr>
          <w:p w14:paraId="63D97BB7"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7.06%</w:t>
            </w:r>
          </w:p>
        </w:tc>
        <w:tc>
          <w:tcPr>
            <w:tcW w:w="1228" w:type="dxa"/>
            <w:tcBorders>
              <w:top w:val="nil"/>
              <w:left w:val="nil"/>
              <w:bottom w:val="single" w:sz="4" w:space="0" w:color="auto"/>
              <w:right w:val="single" w:sz="4" w:space="0" w:color="auto"/>
            </w:tcBorders>
            <w:shd w:val="clear" w:color="000000" w:fill="A9D08E"/>
            <w:noWrap/>
            <w:vAlign w:val="bottom"/>
            <w:hideMark/>
          </w:tcPr>
          <w:p w14:paraId="296C0581"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8.12%</w:t>
            </w:r>
          </w:p>
        </w:tc>
        <w:tc>
          <w:tcPr>
            <w:tcW w:w="1229" w:type="dxa"/>
            <w:tcBorders>
              <w:top w:val="nil"/>
              <w:left w:val="nil"/>
              <w:bottom w:val="single" w:sz="4" w:space="0" w:color="auto"/>
              <w:right w:val="single" w:sz="4" w:space="0" w:color="auto"/>
            </w:tcBorders>
            <w:shd w:val="clear" w:color="000000" w:fill="A9D08E"/>
            <w:noWrap/>
            <w:vAlign w:val="bottom"/>
            <w:hideMark/>
          </w:tcPr>
          <w:p w14:paraId="301C0087"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6.59%</w:t>
            </w:r>
          </w:p>
        </w:tc>
        <w:tc>
          <w:tcPr>
            <w:tcW w:w="1228" w:type="dxa"/>
            <w:tcBorders>
              <w:top w:val="nil"/>
              <w:left w:val="nil"/>
              <w:bottom w:val="single" w:sz="4" w:space="0" w:color="auto"/>
              <w:right w:val="single" w:sz="4" w:space="0" w:color="auto"/>
            </w:tcBorders>
            <w:shd w:val="clear" w:color="000000" w:fill="A9D08E"/>
            <w:noWrap/>
            <w:vAlign w:val="bottom"/>
            <w:hideMark/>
          </w:tcPr>
          <w:p w14:paraId="3D4D0CA4"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9.81%</w:t>
            </w:r>
          </w:p>
        </w:tc>
        <w:tc>
          <w:tcPr>
            <w:tcW w:w="1229" w:type="dxa"/>
            <w:tcBorders>
              <w:top w:val="nil"/>
              <w:left w:val="nil"/>
              <w:bottom w:val="single" w:sz="4" w:space="0" w:color="auto"/>
              <w:right w:val="single" w:sz="4" w:space="0" w:color="auto"/>
            </w:tcBorders>
            <w:shd w:val="clear" w:color="000000" w:fill="A9D08E"/>
            <w:noWrap/>
            <w:vAlign w:val="bottom"/>
            <w:hideMark/>
          </w:tcPr>
          <w:p w14:paraId="4FEAC200"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7.98%</w:t>
            </w:r>
          </w:p>
        </w:tc>
      </w:tr>
      <w:tr w:rsidR="009D6782" w:rsidRPr="00875DC0" w14:paraId="3E5CA32A"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247ABDB6"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 xml:space="preserve">BW1 + PT1 </w:t>
            </w:r>
          </w:p>
        </w:tc>
        <w:tc>
          <w:tcPr>
            <w:tcW w:w="1228" w:type="dxa"/>
            <w:tcBorders>
              <w:top w:val="nil"/>
              <w:left w:val="nil"/>
              <w:bottom w:val="single" w:sz="4" w:space="0" w:color="auto"/>
              <w:right w:val="single" w:sz="4" w:space="0" w:color="auto"/>
            </w:tcBorders>
            <w:shd w:val="clear" w:color="000000" w:fill="A9D08E"/>
            <w:noWrap/>
            <w:vAlign w:val="bottom"/>
            <w:hideMark/>
          </w:tcPr>
          <w:p w14:paraId="13CCBEC5"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11.64%</w:t>
            </w:r>
          </w:p>
        </w:tc>
        <w:tc>
          <w:tcPr>
            <w:tcW w:w="1229" w:type="dxa"/>
            <w:tcBorders>
              <w:top w:val="nil"/>
              <w:left w:val="nil"/>
              <w:bottom w:val="single" w:sz="4" w:space="0" w:color="auto"/>
              <w:right w:val="single" w:sz="4" w:space="0" w:color="auto"/>
            </w:tcBorders>
            <w:shd w:val="clear" w:color="000000" w:fill="A9D08E"/>
            <w:noWrap/>
            <w:vAlign w:val="bottom"/>
            <w:hideMark/>
          </w:tcPr>
          <w:p w14:paraId="30BF4244"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12.44%</w:t>
            </w:r>
          </w:p>
        </w:tc>
        <w:tc>
          <w:tcPr>
            <w:tcW w:w="1228" w:type="dxa"/>
            <w:tcBorders>
              <w:top w:val="nil"/>
              <w:left w:val="nil"/>
              <w:bottom w:val="single" w:sz="4" w:space="0" w:color="auto"/>
              <w:right w:val="single" w:sz="4" w:space="0" w:color="auto"/>
            </w:tcBorders>
            <w:shd w:val="clear" w:color="000000" w:fill="A9D08E"/>
            <w:noWrap/>
            <w:vAlign w:val="bottom"/>
            <w:hideMark/>
          </w:tcPr>
          <w:p w14:paraId="345DF51C"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14.30%</w:t>
            </w:r>
          </w:p>
        </w:tc>
        <w:tc>
          <w:tcPr>
            <w:tcW w:w="1229" w:type="dxa"/>
            <w:tcBorders>
              <w:top w:val="nil"/>
              <w:left w:val="nil"/>
              <w:bottom w:val="single" w:sz="4" w:space="0" w:color="auto"/>
              <w:right w:val="single" w:sz="4" w:space="0" w:color="auto"/>
            </w:tcBorders>
            <w:shd w:val="clear" w:color="000000" w:fill="A9D08E"/>
            <w:noWrap/>
            <w:vAlign w:val="bottom"/>
            <w:hideMark/>
          </w:tcPr>
          <w:p w14:paraId="1390F4D0"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14.58%</w:t>
            </w:r>
          </w:p>
        </w:tc>
        <w:tc>
          <w:tcPr>
            <w:tcW w:w="1228" w:type="dxa"/>
            <w:tcBorders>
              <w:top w:val="nil"/>
              <w:left w:val="nil"/>
              <w:bottom w:val="single" w:sz="4" w:space="0" w:color="auto"/>
              <w:right w:val="single" w:sz="4" w:space="0" w:color="auto"/>
            </w:tcBorders>
            <w:shd w:val="clear" w:color="000000" w:fill="A9D08E"/>
            <w:noWrap/>
            <w:vAlign w:val="bottom"/>
            <w:hideMark/>
          </w:tcPr>
          <w:p w14:paraId="3B0C8789"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17.65%</w:t>
            </w:r>
          </w:p>
        </w:tc>
        <w:tc>
          <w:tcPr>
            <w:tcW w:w="1229" w:type="dxa"/>
            <w:tcBorders>
              <w:top w:val="nil"/>
              <w:left w:val="nil"/>
              <w:bottom w:val="single" w:sz="4" w:space="0" w:color="auto"/>
              <w:right w:val="single" w:sz="4" w:space="0" w:color="auto"/>
            </w:tcBorders>
            <w:shd w:val="clear" w:color="000000" w:fill="A9D08E"/>
            <w:noWrap/>
            <w:vAlign w:val="bottom"/>
            <w:hideMark/>
          </w:tcPr>
          <w:p w14:paraId="6AB8608B"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16.38%</w:t>
            </w:r>
          </w:p>
        </w:tc>
      </w:tr>
      <w:tr w:rsidR="009D6782" w:rsidRPr="00875DC0" w14:paraId="7A49147A"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02EC66F7"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BW1 + PT1 + PT2</w:t>
            </w:r>
          </w:p>
        </w:tc>
        <w:tc>
          <w:tcPr>
            <w:tcW w:w="1228" w:type="dxa"/>
            <w:tcBorders>
              <w:top w:val="nil"/>
              <w:left w:val="nil"/>
              <w:bottom w:val="single" w:sz="4" w:space="0" w:color="auto"/>
              <w:right w:val="single" w:sz="4" w:space="0" w:color="auto"/>
            </w:tcBorders>
            <w:shd w:val="clear" w:color="000000" w:fill="A9D08E"/>
            <w:noWrap/>
            <w:vAlign w:val="bottom"/>
            <w:hideMark/>
          </w:tcPr>
          <w:p w14:paraId="4236CA00"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14.73%</w:t>
            </w:r>
          </w:p>
        </w:tc>
        <w:tc>
          <w:tcPr>
            <w:tcW w:w="1229" w:type="dxa"/>
            <w:tcBorders>
              <w:top w:val="nil"/>
              <w:left w:val="nil"/>
              <w:bottom w:val="single" w:sz="4" w:space="0" w:color="auto"/>
              <w:right w:val="single" w:sz="4" w:space="0" w:color="auto"/>
            </w:tcBorders>
            <w:shd w:val="clear" w:color="000000" w:fill="A9D08E"/>
            <w:noWrap/>
            <w:vAlign w:val="bottom"/>
            <w:hideMark/>
          </w:tcPr>
          <w:p w14:paraId="4AF04BA7"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14.75%</w:t>
            </w:r>
          </w:p>
        </w:tc>
        <w:tc>
          <w:tcPr>
            <w:tcW w:w="1228" w:type="dxa"/>
            <w:tcBorders>
              <w:top w:val="nil"/>
              <w:left w:val="nil"/>
              <w:bottom w:val="single" w:sz="4" w:space="0" w:color="auto"/>
              <w:right w:val="single" w:sz="4" w:space="0" w:color="auto"/>
            </w:tcBorders>
            <w:shd w:val="clear" w:color="000000" w:fill="A9D08E"/>
            <w:noWrap/>
            <w:vAlign w:val="bottom"/>
            <w:hideMark/>
          </w:tcPr>
          <w:p w14:paraId="7F93147D"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17.51%</w:t>
            </w:r>
          </w:p>
        </w:tc>
        <w:tc>
          <w:tcPr>
            <w:tcW w:w="1229" w:type="dxa"/>
            <w:tcBorders>
              <w:top w:val="nil"/>
              <w:left w:val="nil"/>
              <w:bottom w:val="single" w:sz="4" w:space="0" w:color="auto"/>
              <w:right w:val="single" w:sz="4" w:space="0" w:color="auto"/>
            </w:tcBorders>
            <w:shd w:val="clear" w:color="000000" w:fill="A9D08E"/>
            <w:noWrap/>
            <w:vAlign w:val="bottom"/>
            <w:hideMark/>
          </w:tcPr>
          <w:p w14:paraId="488602E9"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15.80%</w:t>
            </w:r>
          </w:p>
        </w:tc>
        <w:tc>
          <w:tcPr>
            <w:tcW w:w="1228" w:type="dxa"/>
            <w:tcBorders>
              <w:top w:val="nil"/>
              <w:left w:val="nil"/>
              <w:bottom w:val="single" w:sz="4" w:space="0" w:color="auto"/>
              <w:right w:val="single" w:sz="4" w:space="0" w:color="auto"/>
            </w:tcBorders>
            <w:shd w:val="clear" w:color="000000" w:fill="A9D08E"/>
            <w:noWrap/>
            <w:vAlign w:val="bottom"/>
            <w:hideMark/>
          </w:tcPr>
          <w:p w14:paraId="582A7617"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19.10%</w:t>
            </w:r>
          </w:p>
        </w:tc>
        <w:tc>
          <w:tcPr>
            <w:tcW w:w="1229" w:type="dxa"/>
            <w:tcBorders>
              <w:top w:val="nil"/>
              <w:left w:val="nil"/>
              <w:bottom w:val="single" w:sz="4" w:space="0" w:color="auto"/>
              <w:right w:val="single" w:sz="4" w:space="0" w:color="auto"/>
            </w:tcBorders>
            <w:shd w:val="clear" w:color="000000" w:fill="A9D08E"/>
            <w:noWrap/>
            <w:vAlign w:val="bottom"/>
            <w:hideMark/>
          </w:tcPr>
          <w:p w14:paraId="70013B33"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17.89%</w:t>
            </w:r>
          </w:p>
        </w:tc>
      </w:tr>
      <w:tr w:rsidR="009D6782" w:rsidRPr="00875DC0" w14:paraId="15FE0FBE"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60A37D63"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 xml:space="preserve">BW2 + PT1 + PT2 </w:t>
            </w:r>
          </w:p>
        </w:tc>
        <w:tc>
          <w:tcPr>
            <w:tcW w:w="1228" w:type="dxa"/>
            <w:tcBorders>
              <w:top w:val="nil"/>
              <w:left w:val="nil"/>
              <w:bottom w:val="single" w:sz="4" w:space="0" w:color="auto"/>
              <w:right w:val="single" w:sz="4" w:space="0" w:color="auto"/>
            </w:tcBorders>
            <w:shd w:val="clear" w:color="000000" w:fill="A9D08E"/>
            <w:noWrap/>
            <w:vAlign w:val="bottom"/>
            <w:hideMark/>
          </w:tcPr>
          <w:p w14:paraId="7B0E1C8C"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10.91%</w:t>
            </w:r>
          </w:p>
        </w:tc>
        <w:tc>
          <w:tcPr>
            <w:tcW w:w="1229" w:type="dxa"/>
            <w:tcBorders>
              <w:top w:val="nil"/>
              <w:left w:val="nil"/>
              <w:bottom w:val="single" w:sz="4" w:space="0" w:color="auto"/>
              <w:right w:val="single" w:sz="4" w:space="0" w:color="auto"/>
            </w:tcBorders>
            <w:shd w:val="clear" w:color="000000" w:fill="A9D08E"/>
            <w:noWrap/>
            <w:vAlign w:val="bottom"/>
            <w:hideMark/>
          </w:tcPr>
          <w:p w14:paraId="676A220A"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11.54%</w:t>
            </w:r>
          </w:p>
        </w:tc>
        <w:tc>
          <w:tcPr>
            <w:tcW w:w="1228" w:type="dxa"/>
            <w:tcBorders>
              <w:top w:val="nil"/>
              <w:left w:val="nil"/>
              <w:bottom w:val="single" w:sz="4" w:space="0" w:color="auto"/>
              <w:right w:val="single" w:sz="4" w:space="0" w:color="auto"/>
            </w:tcBorders>
            <w:shd w:val="clear" w:color="000000" w:fill="A9D08E"/>
            <w:noWrap/>
            <w:vAlign w:val="bottom"/>
            <w:hideMark/>
          </w:tcPr>
          <w:p w14:paraId="6DA8CB26"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15.27%</w:t>
            </w:r>
          </w:p>
        </w:tc>
        <w:tc>
          <w:tcPr>
            <w:tcW w:w="1229" w:type="dxa"/>
            <w:tcBorders>
              <w:top w:val="nil"/>
              <w:left w:val="nil"/>
              <w:bottom w:val="single" w:sz="4" w:space="0" w:color="auto"/>
              <w:right w:val="single" w:sz="4" w:space="0" w:color="auto"/>
            </w:tcBorders>
            <w:shd w:val="clear" w:color="000000" w:fill="A9D08E"/>
            <w:noWrap/>
            <w:vAlign w:val="bottom"/>
            <w:hideMark/>
          </w:tcPr>
          <w:p w14:paraId="7F8651C2"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10.99%</w:t>
            </w:r>
          </w:p>
        </w:tc>
        <w:tc>
          <w:tcPr>
            <w:tcW w:w="1228" w:type="dxa"/>
            <w:tcBorders>
              <w:top w:val="nil"/>
              <w:left w:val="nil"/>
              <w:bottom w:val="single" w:sz="4" w:space="0" w:color="auto"/>
              <w:right w:val="single" w:sz="4" w:space="0" w:color="auto"/>
            </w:tcBorders>
            <w:shd w:val="clear" w:color="000000" w:fill="A9D08E"/>
            <w:noWrap/>
            <w:vAlign w:val="bottom"/>
            <w:hideMark/>
          </w:tcPr>
          <w:p w14:paraId="5EFB817A"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16.70%</w:t>
            </w:r>
          </w:p>
        </w:tc>
        <w:tc>
          <w:tcPr>
            <w:tcW w:w="1229" w:type="dxa"/>
            <w:tcBorders>
              <w:top w:val="nil"/>
              <w:left w:val="nil"/>
              <w:bottom w:val="single" w:sz="4" w:space="0" w:color="auto"/>
              <w:right w:val="single" w:sz="4" w:space="0" w:color="auto"/>
            </w:tcBorders>
            <w:shd w:val="clear" w:color="000000" w:fill="A9D08E"/>
            <w:noWrap/>
            <w:vAlign w:val="bottom"/>
            <w:hideMark/>
          </w:tcPr>
          <w:p w14:paraId="71A304DA"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15.18%</w:t>
            </w:r>
          </w:p>
        </w:tc>
      </w:tr>
      <w:tr w:rsidR="009D6782" w:rsidRPr="00875DC0" w14:paraId="241851C0"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4EAE98E8"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 xml:space="preserve">BW3 + PT1 </w:t>
            </w:r>
          </w:p>
        </w:tc>
        <w:tc>
          <w:tcPr>
            <w:tcW w:w="1228" w:type="dxa"/>
            <w:tcBorders>
              <w:top w:val="nil"/>
              <w:left w:val="nil"/>
              <w:bottom w:val="single" w:sz="4" w:space="0" w:color="auto"/>
              <w:right w:val="single" w:sz="4" w:space="0" w:color="auto"/>
            </w:tcBorders>
            <w:shd w:val="clear" w:color="000000" w:fill="A9D08E"/>
            <w:noWrap/>
            <w:vAlign w:val="bottom"/>
            <w:hideMark/>
          </w:tcPr>
          <w:p w14:paraId="1B2CCE8E"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7.84%</w:t>
            </w:r>
          </w:p>
        </w:tc>
        <w:tc>
          <w:tcPr>
            <w:tcW w:w="1229" w:type="dxa"/>
            <w:tcBorders>
              <w:top w:val="nil"/>
              <w:left w:val="nil"/>
              <w:bottom w:val="single" w:sz="4" w:space="0" w:color="auto"/>
              <w:right w:val="single" w:sz="4" w:space="0" w:color="auto"/>
            </w:tcBorders>
            <w:shd w:val="clear" w:color="000000" w:fill="A9D08E"/>
            <w:noWrap/>
            <w:vAlign w:val="bottom"/>
            <w:hideMark/>
          </w:tcPr>
          <w:p w14:paraId="20FCE1FF"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8.70%</w:t>
            </w:r>
          </w:p>
        </w:tc>
        <w:tc>
          <w:tcPr>
            <w:tcW w:w="1228" w:type="dxa"/>
            <w:tcBorders>
              <w:top w:val="nil"/>
              <w:left w:val="nil"/>
              <w:bottom w:val="single" w:sz="4" w:space="0" w:color="auto"/>
              <w:right w:val="single" w:sz="4" w:space="0" w:color="auto"/>
            </w:tcBorders>
            <w:shd w:val="clear" w:color="000000" w:fill="A9D08E"/>
            <w:noWrap/>
            <w:vAlign w:val="bottom"/>
            <w:hideMark/>
          </w:tcPr>
          <w:p w14:paraId="2076C742"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10.15%</w:t>
            </w:r>
          </w:p>
        </w:tc>
        <w:tc>
          <w:tcPr>
            <w:tcW w:w="1229" w:type="dxa"/>
            <w:tcBorders>
              <w:top w:val="nil"/>
              <w:left w:val="nil"/>
              <w:bottom w:val="single" w:sz="4" w:space="0" w:color="auto"/>
              <w:right w:val="single" w:sz="4" w:space="0" w:color="auto"/>
            </w:tcBorders>
            <w:shd w:val="clear" w:color="000000" w:fill="A9D08E"/>
            <w:noWrap/>
            <w:vAlign w:val="bottom"/>
            <w:hideMark/>
          </w:tcPr>
          <w:p w14:paraId="07C6FDBB"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8.98%</w:t>
            </w:r>
          </w:p>
        </w:tc>
        <w:tc>
          <w:tcPr>
            <w:tcW w:w="1228" w:type="dxa"/>
            <w:tcBorders>
              <w:top w:val="nil"/>
              <w:left w:val="nil"/>
              <w:bottom w:val="single" w:sz="4" w:space="0" w:color="auto"/>
              <w:right w:val="single" w:sz="4" w:space="0" w:color="auto"/>
            </w:tcBorders>
            <w:shd w:val="clear" w:color="000000" w:fill="A9D08E"/>
            <w:noWrap/>
            <w:vAlign w:val="bottom"/>
            <w:hideMark/>
          </w:tcPr>
          <w:p w14:paraId="78009EBC"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12.48%</w:t>
            </w:r>
          </w:p>
        </w:tc>
        <w:tc>
          <w:tcPr>
            <w:tcW w:w="1229" w:type="dxa"/>
            <w:tcBorders>
              <w:top w:val="nil"/>
              <w:left w:val="nil"/>
              <w:bottom w:val="single" w:sz="4" w:space="0" w:color="auto"/>
              <w:right w:val="single" w:sz="4" w:space="0" w:color="auto"/>
            </w:tcBorders>
            <w:shd w:val="clear" w:color="000000" w:fill="A9D08E"/>
            <w:noWrap/>
            <w:vAlign w:val="bottom"/>
            <w:hideMark/>
          </w:tcPr>
          <w:p w14:paraId="4AD68E27"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10.77%</w:t>
            </w:r>
          </w:p>
        </w:tc>
      </w:tr>
      <w:tr w:rsidR="009D6782" w:rsidRPr="00875DC0" w14:paraId="43F06F8D"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5404F596"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BW3 + PT1 + PT2</w:t>
            </w:r>
          </w:p>
        </w:tc>
        <w:tc>
          <w:tcPr>
            <w:tcW w:w="1228" w:type="dxa"/>
            <w:tcBorders>
              <w:top w:val="nil"/>
              <w:left w:val="nil"/>
              <w:bottom w:val="single" w:sz="4" w:space="0" w:color="auto"/>
              <w:right w:val="single" w:sz="4" w:space="0" w:color="auto"/>
            </w:tcBorders>
            <w:shd w:val="clear" w:color="000000" w:fill="A9D08E"/>
            <w:noWrap/>
            <w:vAlign w:val="bottom"/>
            <w:hideMark/>
          </w:tcPr>
          <w:p w14:paraId="5D4E563B"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11.50%</w:t>
            </w:r>
          </w:p>
        </w:tc>
        <w:tc>
          <w:tcPr>
            <w:tcW w:w="1229" w:type="dxa"/>
            <w:tcBorders>
              <w:top w:val="nil"/>
              <w:left w:val="nil"/>
              <w:bottom w:val="single" w:sz="4" w:space="0" w:color="auto"/>
              <w:right w:val="single" w:sz="4" w:space="0" w:color="auto"/>
            </w:tcBorders>
            <w:shd w:val="clear" w:color="000000" w:fill="A9D08E"/>
            <w:noWrap/>
            <w:vAlign w:val="bottom"/>
            <w:hideMark/>
          </w:tcPr>
          <w:p w14:paraId="214EEE00"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11.55%</w:t>
            </w:r>
          </w:p>
        </w:tc>
        <w:tc>
          <w:tcPr>
            <w:tcW w:w="1228" w:type="dxa"/>
            <w:tcBorders>
              <w:top w:val="nil"/>
              <w:left w:val="nil"/>
              <w:bottom w:val="single" w:sz="4" w:space="0" w:color="auto"/>
              <w:right w:val="single" w:sz="4" w:space="0" w:color="auto"/>
            </w:tcBorders>
            <w:shd w:val="clear" w:color="000000" w:fill="A9D08E"/>
            <w:noWrap/>
            <w:vAlign w:val="bottom"/>
            <w:hideMark/>
          </w:tcPr>
          <w:p w14:paraId="6C0D444C"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12.92%</w:t>
            </w:r>
          </w:p>
        </w:tc>
        <w:tc>
          <w:tcPr>
            <w:tcW w:w="1229" w:type="dxa"/>
            <w:tcBorders>
              <w:top w:val="nil"/>
              <w:left w:val="nil"/>
              <w:bottom w:val="single" w:sz="4" w:space="0" w:color="auto"/>
              <w:right w:val="single" w:sz="4" w:space="0" w:color="auto"/>
            </w:tcBorders>
            <w:shd w:val="clear" w:color="000000" w:fill="A9D08E"/>
            <w:noWrap/>
            <w:vAlign w:val="bottom"/>
            <w:hideMark/>
          </w:tcPr>
          <w:p w14:paraId="540210B1"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10.82%</w:t>
            </w:r>
          </w:p>
        </w:tc>
        <w:tc>
          <w:tcPr>
            <w:tcW w:w="1228" w:type="dxa"/>
            <w:tcBorders>
              <w:top w:val="nil"/>
              <w:left w:val="nil"/>
              <w:bottom w:val="single" w:sz="4" w:space="0" w:color="auto"/>
              <w:right w:val="single" w:sz="4" w:space="0" w:color="auto"/>
            </w:tcBorders>
            <w:shd w:val="clear" w:color="000000" w:fill="A9D08E"/>
            <w:noWrap/>
            <w:vAlign w:val="bottom"/>
            <w:hideMark/>
          </w:tcPr>
          <w:p w14:paraId="6E474485"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14.59%</w:t>
            </w:r>
          </w:p>
        </w:tc>
        <w:tc>
          <w:tcPr>
            <w:tcW w:w="1229" w:type="dxa"/>
            <w:tcBorders>
              <w:top w:val="nil"/>
              <w:left w:val="nil"/>
              <w:bottom w:val="single" w:sz="4" w:space="0" w:color="auto"/>
              <w:right w:val="single" w:sz="4" w:space="0" w:color="auto"/>
            </w:tcBorders>
            <w:shd w:val="clear" w:color="000000" w:fill="A9D08E"/>
            <w:noWrap/>
            <w:vAlign w:val="bottom"/>
            <w:hideMark/>
          </w:tcPr>
          <w:p w14:paraId="3F1C8393"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12.76%</w:t>
            </w:r>
          </w:p>
        </w:tc>
      </w:tr>
      <w:tr w:rsidR="009D6782" w:rsidRPr="00875DC0" w14:paraId="1B9C9585"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79F44332"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 xml:space="preserve">PR1 + PT1 </w:t>
            </w:r>
          </w:p>
        </w:tc>
        <w:tc>
          <w:tcPr>
            <w:tcW w:w="1228" w:type="dxa"/>
            <w:tcBorders>
              <w:top w:val="nil"/>
              <w:left w:val="nil"/>
              <w:bottom w:val="single" w:sz="4" w:space="0" w:color="auto"/>
              <w:right w:val="single" w:sz="4" w:space="0" w:color="auto"/>
            </w:tcBorders>
            <w:shd w:val="clear" w:color="000000" w:fill="A9D08E"/>
            <w:noWrap/>
            <w:vAlign w:val="bottom"/>
            <w:hideMark/>
          </w:tcPr>
          <w:p w14:paraId="2AC2C03D"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4.85%</w:t>
            </w:r>
          </w:p>
        </w:tc>
        <w:tc>
          <w:tcPr>
            <w:tcW w:w="1229" w:type="dxa"/>
            <w:tcBorders>
              <w:top w:val="nil"/>
              <w:left w:val="nil"/>
              <w:bottom w:val="single" w:sz="4" w:space="0" w:color="auto"/>
              <w:right w:val="single" w:sz="4" w:space="0" w:color="auto"/>
            </w:tcBorders>
            <w:shd w:val="clear" w:color="000000" w:fill="A9D08E"/>
            <w:noWrap/>
            <w:vAlign w:val="bottom"/>
            <w:hideMark/>
          </w:tcPr>
          <w:p w14:paraId="0C55AD5E"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5.40%</w:t>
            </w:r>
          </w:p>
        </w:tc>
        <w:tc>
          <w:tcPr>
            <w:tcW w:w="1228" w:type="dxa"/>
            <w:tcBorders>
              <w:top w:val="nil"/>
              <w:left w:val="nil"/>
              <w:bottom w:val="single" w:sz="4" w:space="0" w:color="auto"/>
              <w:right w:val="single" w:sz="4" w:space="0" w:color="auto"/>
            </w:tcBorders>
            <w:shd w:val="clear" w:color="000000" w:fill="A9D08E"/>
            <w:noWrap/>
            <w:vAlign w:val="bottom"/>
            <w:hideMark/>
          </w:tcPr>
          <w:p w14:paraId="4DE8B462"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6.58%</w:t>
            </w:r>
          </w:p>
        </w:tc>
        <w:tc>
          <w:tcPr>
            <w:tcW w:w="1229" w:type="dxa"/>
            <w:tcBorders>
              <w:top w:val="nil"/>
              <w:left w:val="nil"/>
              <w:bottom w:val="single" w:sz="4" w:space="0" w:color="auto"/>
              <w:right w:val="single" w:sz="4" w:space="0" w:color="auto"/>
            </w:tcBorders>
            <w:shd w:val="clear" w:color="000000" w:fill="A9D08E"/>
            <w:noWrap/>
            <w:vAlign w:val="bottom"/>
            <w:hideMark/>
          </w:tcPr>
          <w:p w14:paraId="735CE725"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5.49%</w:t>
            </w:r>
          </w:p>
        </w:tc>
        <w:tc>
          <w:tcPr>
            <w:tcW w:w="1228" w:type="dxa"/>
            <w:tcBorders>
              <w:top w:val="nil"/>
              <w:left w:val="nil"/>
              <w:bottom w:val="single" w:sz="4" w:space="0" w:color="auto"/>
              <w:right w:val="single" w:sz="4" w:space="0" w:color="auto"/>
            </w:tcBorders>
            <w:shd w:val="clear" w:color="000000" w:fill="A9D08E"/>
            <w:noWrap/>
            <w:vAlign w:val="bottom"/>
            <w:hideMark/>
          </w:tcPr>
          <w:p w14:paraId="4E1C6496"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8.80%</w:t>
            </w:r>
          </w:p>
        </w:tc>
        <w:tc>
          <w:tcPr>
            <w:tcW w:w="1229" w:type="dxa"/>
            <w:tcBorders>
              <w:top w:val="nil"/>
              <w:left w:val="nil"/>
              <w:bottom w:val="single" w:sz="4" w:space="0" w:color="auto"/>
              <w:right w:val="single" w:sz="4" w:space="0" w:color="auto"/>
            </w:tcBorders>
            <w:shd w:val="clear" w:color="000000" w:fill="A9D08E"/>
            <w:noWrap/>
            <w:vAlign w:val="bottom"/>
            <w:hideMark/>
          </w:tcPr>
          <w:p w14:paraId="324BA8EF"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6.54%</w:t>
            </w:r>
          </w:p>
        </w:tc>
      </w:tr>
      <w:tr w:rsidR="009D6782" w:rsidRPr="00875DC0" w14:paraId="6EB85E90"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6120C7BC"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PR1 + PT1 + PT2</w:t>
            </w:r>
          </w:p>
        </w:tc>
        <w:tc>
          <w:tcPr>
            <w:tcW w:w="1228" w:type="dxa"/>
            <w:tcBorders>
              <w:top w:val="nil"/>
              <w:left w:val="nil"/>
              <w:bottom w:val="single" w:sz="4" w:space="0" w:color="auto"/>
              <w:right w:val="single" w:sz="4" w:space="0" w:color="auto"/>
            </w:tcBorders>
            <w:shd w:val="clear" w:color="000000" w:fill="A9D08E"/>
            <w:noWrap/>
            <w:vAlign w:val="bottom"/>
            <w:hideMark/>
          </w:tcPr>
          <w:p w14:paraId="419B6EE2"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8.67%</w:t>
            </w:r>
          </w:p>
        </w:tc>
        <w:tc>
          <w:tcPr>
            <w:tcW w:w="1229" w:type="dxa"/>
            <w:tcBorders>
              <w:top w:val="nil"/>
              <w:left w:val="nil"/>
              <w:bottom w:val="single" w:sz="4" w:space="0" w:color="auto"/>
              <w:right w:val="single" w:sz="4" w:space="0" w:color="auto"/>
            </w:tcBorders>
            <w:shd w:val="clear" w:color="000000" w:fill="A9D08E"/>
            <w:noWrap/>
            <w:vAlign w:val="bottom"/>
            <w:hideMark/>
          </w:tcPr>
          <w:p w14:paraId="02F9AA0C"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7.88%</w:t>
            </w:r>
          </w:p>
        </w:tc>
        <w:tc>
          <w:tcPr>
            <w:tcW w:w="1228" w:type="dxa"/>
            <w:tcBorders>
              <w:top w:val="nil"/>
              <w:left w:val="nil"/>
              <w:bottom w:val="single" w:sz="4" w:space="0" w:color="auto"/>
              <w:right w:val="single" w:sz="4" w:space="0" w:color="auto"/>
            </w:tcBorders>
            <w:shd w:val="clear" w:color="000000" w:fill="A9D08E"/>
            <w:noWrap/>
            <w:vAlign w:val="bottom"/>
            <w:hideMark/>
          </w:tcPr>
          <w:p w14:paraId="3EFD4EF3"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9.33%</w:t>
            </w:r>
          </w:p>
        </w:tc>
        <w:tc>
          <w:tcPr>
            <w:tcW w:w="1229" w:type="dxa"/>
            <w:tcBorders>
              <w:top w:val="nil"/>
              <w:left w:val="nil"/>
              <w:bottom w:val="single" w:sz="4" w:space="0" w:color="auto"/>
              <w:right w:val="single" w:sz="4" w:space="0" w:color="auto"/>
            </w:tcBorders>
            <w:shd w:val="clear" w:color="000000" w:fill="A9D08E"/>
            <w:noWrap/>
            <w:vAlign w:val="bottom"/>
            <w:hideMark/>
          </w:tcPr>
          <w:p w14:paraId="16CA89CA"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6.76%</w:t>
            </w:r>
          </w:p>
        </w:tc>
        <w:tc>
          <w:tcPr>
            <w:tcW w:w="1228" w:type="dxa"/>
            <w:tcBorders>
              <w:top w:val="nil"/>
              <w:left w:val="nil"/>
              <w:bottom w:val="single" w:sz="4" w:space="0" w:color="auto"/>
              <w:right w:val="single" w:sz="4" w:space="0" w:color="auto"/>
            </w:tcBorders>
            <w:shd w:val="clear" w:color="000000" w:fill="A9D08E"/>
            <w:noWrap/>
            <w:vAlign w:val="bottom"/>
            <w:hideMark/>
          </w:tcPr>
          <w:p w14:paraId="7314B5C3"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10.99%</w:t>
            </w:r>
          </w:p>
        </w:tc>
        <w:tc>
          <w:tcPr>
            <w:tcW w:w="1229" w:type="dxa"/>
            <w:tcBorders>
              <w:top w:val="nil"/>
              <w:left w:val="nil"/>
              <w:bottom w:val="single" w:sz="4" w:space="0" w:color="auto"/>
              <w:right w:val="single" w:sz="4" w:space="0" w:color="auto"/>
            </w:tcBorders>
            <w:shd w:val="clear" w:color="000000" w:fill="A9D08E"/>
            <w:noWrap/>
            <w:vAlign w:val="bottom"/>
            <w:hideMark/>
          </w:tcPr>
          <w:p w14:paraId="7C8E008F"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8.63%</w:t>
            </w:r>
          </w:p>
        </w:tc>
      </w:tr>
      <w:tr w:rsidR="009D6782" w:rsidRPr="00875DC0" w14:paraId="2F7DFA5C"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3210BAD1"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 xml:space="preserve">PR2 + PT1 + PT2 </w:t>
            </w:r>
          </w:p>
        </w:tc>
        <w:tc>
          <w:tcPr>
            <w:tcW w:w="1228" w:type="dxa"/>
            <w:tcBorders>
              <w:top w:val="nil"/>
              <w:left w:val="nil"/>
              <w:bottom w:val="single" w:sz="4" w:space="0" w:color="auto"/>
              <w:right w:val="single" w:sz="4" w:space="0" w:color="auto"/>
            </w:tcBorders>
            <w:shd w:val="clear" w:color="000000" w:fill="A9D08E"/>
            <w:noWrap/>
            <w:vAlign w:val="bottom"/>
            <w:hideMark/>
          </w:tcPr>
          <w:p w14:paraId="46DBAB2F"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6.23%</w:t>
            </w:r>
          </w:p>
        </w:tc>
        <w:tc>
          <w:tcPr>
            <w:tcW w:w="1229" w:type="dxa"/>
            <w:tcBorders>
              <w:top w:val="nil"/>
              <w:left w:val="nil"/>
              <w:bottom w:val="single" w:sz="4" w:space="0" w:color="auto"/>
              <w:right w:val="single" w:sz="4" w:space="0" w:color="auto"/>
            </w:tcBorders>
            <w:shd w:val="clear" w:color="000000" w:fill="A9D08E"/>
            <w:noWrap/>
            <w:vAlign w:val="bottom"/>
            <w:hideMark/>
          </w:tcPr>
          <w:p w14:paraId="7442F9F2"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7.17%</w:t>
            </w:r>
          </w:p>
        </w:tc>
        <w:tc>
          <w:tcPr>
            <w:tcW w:w="1228" w:type="dxa"/>
            <w:tcBorders>
              <w:top w:val="nil"/>
              <w:left w:val="nil"/>
              <w:bottom w:val="single" w:sz="4" w:space="0" w:color="auto"/>
              <w:right w:val="single" w:sz="4" w:space="0" w:color="auto"/>
            </w:tcBorders>
            <w:shd w:val="clear" w:color="000000" w:fill="A9D08E"/>
            <w:noWrap/>
            <w:vAlign w:val="bottom"/>
            <w:hideMark/>
          </w:tcPr>
          <w:p w14:paraId="487BAAE1"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9.48%</w:t>
            </w:r>
          </w:p>
        </w:tc>
        <w:tc>
          <w:tcPr>
            <w:tcW w:w="1229" w:type="dxa"/>
            <w:tcBorders>
              <w:top w:val="nil"/>
              <w:left w:val="nil"/>
              <w:bottom w:val="single" w:sz="4" w:space="0" w:color="auto"/>
              <w:right w:val="single" w:sz="4" w:space="0" w:color="auto"/>
            </w:tcBorders>
            <w:shd w:val="clear" w:color="000000" w:fill="A9D08E"/>
            <w:noWrap/>
            <w:vAlign w:val="bottom"/>
            <w:hideMark/>
          </w:tcPr>
          <w:p w14:paraId="4B575E37"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6.81%</w:t>
            </w:r>
          </w:p>
        </w:tc>
        <w:tc>
          <w:tcPr>
            <w:tcW w:w="1228" w:type="dxa"/>
            <w:tcBorders>
              <w:top w:val="nil"/>
              <w:left w:val="nil"/>
              <w:bottom w:val="single" w:sz="4" w:space="0" w:color="auto"/>
              <w:right w:val="single" w:sz="4" w:space="0" w:color="auto"/>
            </w:tcBorders>
            <w:shd w:val="clear" w:color="000000" w:fill="A9D08E"/>
            <w:noWrap/>
            <w:vAlign w:val="bottom"/>
            <w:hideMark/>
          </w:tcPr>
          <w:p w14:paraId="71C65412"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10.89%</w:t>
            </w:r>
          </w:p>
        </w:tc>
        <w:tc>
          <w:tcPr>
            <w:tcW w:w="1229" w:type="dxa"/>
            <w:tcBorders>
              <w:top w:val="nil"/>
              <w:left w:val="nil"/>
              <w:bottom w:val="single" w:sz="4" w:space="0" w:color="auto"/>
              <w:right w:val="single" w:sz="4" w:space="0" w:color="auto"/>
            </w:tcBorders>
            <w:shd w:val="clear" w:color="000000" w:fill="A9D08E"/>
            <w:noWrap/>
            <w:vAlign w:val="bottom"/>
            <w:hideMark/>
          </w:tcPr>
          <w:p w14:paraId="60942C8D"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8.70%</w:t>
            </w:r>
          </w:p>
        </w:tc>
      </w:tr>
      <w:tr w:rsidR="009D6782" w:rsidRPr="00875DC0" w14:paraId="19402498"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0EFA6CCC"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 xml:space="preserve">PR3 + PT1 </w:t>
            </w:r>
          </w:p>
        </w:tc>
        <w:tc>
          <w:tcPr>
            <w:tcW w:w="1228" w:type="dxa"/>
            <w:tcBorders>
              <w:top w:val="nil"/>
              <w:left w:val="nil"/>
              <w:bottom w:val="single" w:sz="4" w:space="0" w:color="auto"/>
              <w:right w:val="single" w:sz="4" w:space="0" w:color="auto"/>
            </w:tcBorders>
            <w:shd w:val="clear" w:color="000000" w:fill="A9D08E"/>
            <w:noWrap/>
            <w:vAlign w:val="bottom"/>
            <w:hideMark/>
          </w:tcPr>
          <w:p w14:paraId="382C8BA0"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7.23%</w:t>
            </w:r>
          </w:p>
        </w:tc>
        <w:tc>
          <w:tcPr>
            <w:tcW w:w="1229" w:type="dxa"/>
            <w:tcBorders>
              <w:top w:val="nil"/>
              <w:left w:val="nil"/>
              <w:bottom w:val="single" w:sz="4" w:space="0" w:color="auto"/>
              <w:right w:val="single" w:sz="4" w:space="0" w:color="auto"/>
            </w:tcBorders>
            <w:shd w:val="clear" w:color="000000" w:fill="A9D08E"/>
            <w:noWrap/>
            <w:vAlign w:val="bottom"/>
            <w:hideMark/>
          </w:tcPr>
          <w:p w14:paraId="1FF557D6"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7.69%</w:t>
            </w:r>
          </w:p>
        </w:tc>
        <w:tc>
          <w:tcPr>
            <w:tcW w:w="1228" w:type="dxa"/>
            <w:tcBorders>
              <w:top w:val="nil"/>
              <w:left w:val="nil"/>
              <w:bottom w:val="single" w:sz="4" w:space="0" w:color="auto"/>
              <w:right w:val="single" w:sz="4" w:space="0" w:color="auto"/>
            </w:tcBorders>
            <w:shd w:val="clear" w:color="000000" w:fill="A9D08E"/>
            <w:noWrap/>
            <w:vAlign w:val="bottom"/>
            <w:hideMark/>
          </w:tcPr>
          <w:p w14:paraId="22377700"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9.32%</w:t>
            </w:r>
          </w:p>
        </w:tc>
        <w:tc>
          <w:tcPr>
            <w:tcW w:w="1229" w:type="dxa"/>
            <w:tcBorders>
              <w:top w:val="nil"/>
              <w:left w:val="nil"/>
              <w:bottom w:val="single" w:sz="4" w:space="0" w:color="auto"/>
              <w:right w:val="single" w:sz="4" w:space="0" w:color="auto"/>
            </w:tcBorders>
            <w:shd w:val="clear" w:color="000000" w:fill="A9D08E"/>
            <w:noWrap/>
            <w:vAlign w:val="bottom"/>
            <w:hideMark/>
          </w:tcPr>
          <w:p w14:paraId="44DCEEB3"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8.11%</w:t>
            </w:r>
          </w:p>
        </w:tc>
        <w:tc>
          <w:tcPr>
            <w:tcW w:w="1228" w:type="dxa"/>
            <w:tcBorders>
              <w:top w:val="nil"/>
              <w:left w:val="nil"/>
              <w:bottom w:val="single" w:sz="4" w:space="0" w:color="auto"/>
              <w:right w:val="single" w:sz="4" w:space="0" w:color="auto"/>
            </w:tcBorders>
            <w:shd w:val="clear" w:color="000000" w:fill="A9D08E"/>
            <w:noWrap/>
            <w:vAlign w:val="bottom"/>
            <w:hideMark/>
          </w:tcPr>
          <w:p w14:paraId="6ABE2F9A"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11.49%</w:t>
            </w:r>
          </w:p>
        </w:tc>
        <w:tc>
          <w:tcPr>
            <w:tcW w:w="1229" w:type="dxa"/>
            <w:tcBorders>
              <w:top w:val="nil"/>
              <w:left w:val="nil"/>
              <w:bottom w:val="single" w:sz="4" w:space="0" w:color="auto"/>
              <w:right w:val="single" w:sz="4" w:space="0" w:color="auto"/>
            </w:tcBorders>
            <w:shd w:val="clear" w:color="000000" w:fill="A9D08E"/>
            <w:noWrap/>
            <w:vAlign w:val="bottom"/>
            <w:hideMark/>
          </w:tcPr>
          <w:p w14:paraId="1D351A56"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9.67%</w:t>
            </w:r>
          </w:p>
        </w:tc>
      </w:tr>
      <w:tr w:rsidR="009D6782" w:rsidRPr="00875DC0" w14:paraId="10EDBD24" w14:textId="77777777" w:rsidTr="00843CD4">
        <w:trPr>
          <w:trHeight w:val="300"/>
          <w:jc w:val="center"/>
        </w:trPr>
        <w:tc>
          <w:tcPr>
            <w:tcW w:w="2122" w:type="dxa"/>
            <w:tcBorders>
              <w:top w:val="nil"/>
              <w:left w:val="single" w:sz="4" w:space="0" w:color="auto"/>
              <w:bottom w:val="single" w:sz="4" w:space="0" w:color="auto"/>
              <w:right w:val="single" w:sz="4" w:space="0" w:color="auto"/>
            </w:tcBorders>
            <w:shd w:val="clear" w:color="000000" w:fill="D9D9D9"/>
            <w:vAlign w:val="center"/>
            <w:hideMark/>
          </w:tcPr>
          <w:p w14:paraId="4CC89C68" w14:textId="77777777" w:rsidR="009D6782" w:rsidRPr="00843CD4" w:rsidRDefault="009D6782" w:rsidP="0017405F">
            <w:pPr>
              <w:spacing w:after="0" w:line="240" w:lineRule="auto"/>
              <w:rPr>
                <w:rFonts w:ascii="Times New Roman" w:eastAsia="Times New Roman" w:hAnsi="Times New Roman" w:cs="Times New Roman"/>
                <w:b/>
                <w:bCs/>
                <w:color w:val="C00000"/>
                <w:sz w:val="20"/>
                <w:szCs w:val="20"/>
              </w:rPr>
            </w:pPr>
            <w:r w:rsidRPr="00843CD4">
              <w:rPr>
                <w:rFonts w:ascii="Times New Roman" w:eastAsia="Times New Roman" w:hAnsi="Times New Roman" w:cs="Times New Roman"/>
                <w:b/>
                <w:bCs/>
                <w:color w:val="C00000"/>
                <w:sz w:val="20"/>
                <w:szCs w:val="20"/>
              </w:rPr>
              <w:t>PR3 + PT1 + PT2</w:t>
            </w:r>
          </w:p>
        </w:tc>
        <w:tc>
          <w:tcPr>
            <w:tcW w:w="1228" w:type="dxa"/>
            <w:tcBorders>
              <w:top w:val="nil"/>
              <w:left w:val="nil"/>
              <w:bottom w:val="single" w:sz="4" w:space="0" w:color="auto"/>
              <w:right w:val="single" w:sz="4" w:space="0" w:color="auto"/>
            </w:tcBorders>
            <w:shd w:val="clear" w:color="000000" w:fill="A9D08E"/>
            <w:noWrap/>
            <w:vAlign w:val="bottom"/>
            <w:hideMark/>
          </w:tcPr>
          <w:p w14:paraId="47251CAB"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10.70%</w:t>
            </w:r>
          </w:p>
        </w:tc>
        <w:tc>
          <w:tcPr>
            <w:tcW w:w="1229" w:type="dxa"/>
            <w:tcBorders>
              <w:top w:val="nil"/>
              <w:left w:val="nil"/>
              <w:bottom w:val="single" w:sz="4" w:space="0" w:color="auto"/>
              <w:right w:val="single" w:sz="4" w:space="0" w:color="auto"/>
            </w:tcBorders>
            <w:shd w:val="clear" w:color="000000" w:fill="A9D08E"/>
            <w:noWrap/>
            <w:vAlign w:val="bottom"/>
            <w:hideMark/>
          </w:tcPr>
          <w:p w14:paraId="75C9B29F"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10.22%</w:t>
            </w:r>
          </w:p>
        </w:tc>
        <w:tc>
          <w:tcPr>
            <w:tcW w:w="1228" w:type="dxa"/>
            <w:tcBorders>
              <w:top w:val="nil"/>
              <w:left w:val="nil"/>
              <w:bottom w:val="single" w:sz="4" w:space="0" w:color="auto"/>
              <w:right w:val="single" w:sz="4" w:space="0" w:color="auto"/>
            </w:tcBorders>
            <w:shd w:val="clear" w:color="000000" w:fill="A9D08E"/>
            <w:noWrap/>
            <w:vAlign w:val="bottom"/>
            <w:hideMark/>
          </w:tcPr>
          <w:p w14:paraId="55D66A2F"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12.07%</w:t>
            </w:r>
          </w:p>
        </w:tc>
        <w:tc>
          <w:tcPr>
            <w:tcW w:w="1229" w:type="dxa"/>
            <w:tcBorders>
              <w:top w:val="nil"/>
              <w:left w:val="nil"/>
              <w:bottom w:val="single" w:sz="4" w:space="0" w:color="auto"/>
              <w:right w:val="single" w:sz="4" w:space="0" w:color="auto"/>
            </w:tcBorders>
            <w:shd w:val="clear" w:color="000000" w:fill="A9D08E"/>
            <w:noWrap/>
            <w:vAlign w:val="bottom"/>
            <w:hideMark/>
          </w:tcPr>
          <w:p w14:paraId="1DB4609F"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9.88%</w:t>
            </w:r>
          </w:p>
        </w:tc>
        <w:tc>
          <w:tcPr>
            <w:tcW w:w="1228" w:type="dxa"/>
            <w:tcBorders>
              <w:top w:val="nil"/>
              <w:left w:val="nil"/>
              <w:bottom w:val="single" w:sz="4" w:space="0" w:color="auto"/>
              <w:right w:val="single" w:sz="4" w:space="0" w:color="auto"/>
            </w:tcBorders>
            <w:shd w:val="clear" w:color="000000" w:fill="A9D08E"/>
            <w:noWrap/>
            <w:vAlign w:val="bottom"/>
            <w:hideMark/>
          </w:tcPr>
          <w:p w14:paraId="2BEB7B8B"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13.55%</w:t>
            </w:r>
          </w:p>
        </w:tc>
        <w:tc>
          <w:tcPr>
            <w:tcW w:w="1229" w:type="dxa"/>
            <w:tcBorders>
              <w:top w:val="nil"/>
              <w:left w:val="nil"/>
              <w:bottom w:val="single" w:sz="4" w:space="0" w:color="auto"/>
              <w:right w:val="single" w:sz="4" w:space="0" w:color="auto"/>
            </w:tcBorders>
            <w:shd w:val="clear" w:color="000000" w:fill="A9D08E"/>
            <w:noWrap/>
            <w:vAlign w:val="bottom"/>
            <w:hideMark/>
          </w:tcPr>
          <w:p w14:paraId="03EF5DCA" w14:textId="77777777" w:rsidR="009D6782" w:rsidRPr="00875DC0" w:rsidRDefault="009D6782" w:rsidP="0017405F">
            <w:pPr>
              <w:spacing w:after="0" w:line="240" w:lineRule="auto"/>
              <w:jc w:val="right"/>
              <w:rPr>
                <w:rFonts w:ascii="Times New Roman" w:eastAsia="Times New Roman" w:hAnsi="Times New Roman" w:cs="Times New Roman"/>
                <w:b/>
                <w:bCs/>
                <w:color w:val="000000"/>
                <w:sz w:val="20"/>
                <w:szCs w:val="20"/>
              </w:rPr>
            </w:pPr>
            <w:r w:rsidRPr="00875DC0">
              <w:rPr>
                <w:rFonts w:ascii="Times New Roman" w:eastAsia="Times New Roman" w:hAnsi="Times New Roman" w:cs="Times New Roman"/>
                <w:b/>
                <w:bCs/>
                <w:color w:val="000000"/>
                <w:sz w:val="20"/>
                <w:szCs w:val="20"/>
              </w:rPr>
              <w:t>11.60%</w:t>
            </w:r>
          </w:p>
        </w:tc>
      </w:tr>
    </w:tbl>
    <w:p w14:paraId="6B2638DD" w14:textId="65BAEA43" w:rsidR="009D6782" w:rsidRDefault="009D6782" w:rsidP="009D6782">
      <w:pPr>
        <w:tabs>
          <w:tab w:val="left" w:pos="360"/>
        </w:tabs>
        <w:spacing w:after="120"/>
        <w:jc w:val="both"/>
        <w:rPr>
          <w:rFonts w:ascii="Times New Roman" w:eastAsia="MS Mincho" w:hAnsi="Times New Roman" w:cs="Times New Roman"/>
          <w:sz w:val="20"/>
          <w:szCs w:val="20"/>
          <w:lang w:eastAsia="ja-JP"/>
        </w:rPr>
      </w:pPr>
    </w:p>
    <w:p w14:paraId="174FA8CE" w14:textId="184F5704" w:rsidR="009D6782" w:rsidRPr="009D6782" w:rsidRDefault="009D6782" w:rsidP="009D6782">
      <w:pPr>
        <w:pStyle w:val="Caption"/>
        <w:keepNext/>
        <w:jc w:val="center"/>
        <w:rPr>
          <w:rFonts w:ascii="Times New Roman" w:hAnsi="Times New Roman" w:cs="Times New Roman"/>
          <w:sz w:val="20"/>
          <w:szCs w:val="20"/>
          <w:lang w:val="en-US"/>
        </w:rPr>
      </w:pPr>
      <w:bookmarkStart w:id="15" w:name="_Ref112916074"/>
      <w:r w:rsidRPr="009D6782">
        <w:rPr>
          <w:rFonts w:ascii="Times New Roman" w:hAnsi="Times New Roman" w:cs="Times New Roman"/>
          <w:sz w:val="20"/>
          <w:szCs w:val="20"/>
        </w:rPr>
        <w:t xml:space="preserve">Table </w:t>
      </w:r>
      <w:r w:rsidRPr="009D6782">
        <w:rPr>
          <w:rFonts w:ascii="Times New Roman" w:hAnsi="Times New Roman" w:cs="Times New Roman"/>
          <w:sz w:val="20"/>
          <w:szCs w:val="20"/>
        </w:rPr>
        <w:fldChar w:fldCharType="begin"/>
      </w:r>
      <w:r w:rsidRPr="009D6782">
        <w:rPr>
          <w:rFonts w:ascii="Times New Roman" w:hAnsi="Times New Roman" w:cs="Times New Roman"/>
          <w:sz w:val="20"/>
          <w:szCs w:val="20"/>
        </w:rPr>
        <w:instrText xml:space="preserve"> SEQ Table \* ARABIC </w:instrText>
      </w:r>
      <w:r w:rsidRPr="009D6782">
        <w:rPr>
          <w:rFonts w:ascii="Times New Roman" w:hAnsi="Times New Roman" w:cs="Times New Roman"/>
          <w:sz w:val="20"/>
          <w:szCs w:val="20"/>
        </w:rPr>
        <w:fldChar w:fldCharType="separate"/>
      </w:r>
      <w:r w:rsidR="0017405F">
        <w:rPr>
          <w:rFonts w:ascii="Times New Roman" w:hAnsi="Times New Roman" w:cs="Times New Roman"/>
          <w:noProof/>
          <w:sz w:val="20"/>
          <w:szCs w:val="20"/>
        </w:rPr>
        <w:t>2</w:t>
      </w:r>
      <w:r w:rsidRPr="009D6782">
        <w:rPr>
          <w:rFonts w:ascii="Times New Roman" w:hAnsi="Times New Roman" w:cs="Times New Roman"/>
          <w:sz w:val="20"/>
          <w:szCs w:val="20"/>
        </w:rPr>
        <w:fldChar w:fldCharType="end"/>
      </w:r>
      <w:bookmarkEnd w:id="15"/>
      <w:r w:rsidRPr="009D6782">
        <w:rPr>
          <w:rFonts w:ascii="Times New Roman" w:hAnsi="Times New Roman" w:cs="Times New Roman"/>
          <w:sz w:val="20"/>
          <w:szCs w:val="20"/>
          <w:lang w:val="en-US"/>
        </w:rPr>
        <w:t xml:space="preserve">. </w:t>
      </w:r>
      <w:r w:rsidR="00AA062C">
        <w:rPr>
          <w:rFonts w:ascii="Times New Roman" w:hAnsi="Times New Roman" w:cs="Times New Roman"/>
          <w:sz w:val="20"/>
          <w:szCs w:val="20"/>
          <w:lang w:val="en-US"/>
        </w:rPr>
        <w:t>Impact</w:t>
      </w:r>
      <w:r w:rsidR="005270D6">
        <w:rPr>
          <w:rFonts w:ascii="Times New Roman" w:hAnsi="Times New Roman" w:cs="Times New Roman"/>
          <w:sz w:val="20"/>
          <w:szCs w:val="20"/>
          <w:lang w:val="en-US"/>
        </w:rPr>
        <w:t>s</w:t>
      </w:r>
      <w:r w:rsidR="00AA062C">
        <w:rPr>
          <w:rFonts w:ascii="Times New Roman" w:hAnsi="Times New Roman" w:cs="Times New Roman"/>
          <w:sz w:val="20"/>
          <w:szCs w:val="20"/>
          <w:lang w:val="en-US"/>
        </w:rPr>
        <w:t xml:space="preserve"> of complexity reduction options</w:t>
      </w:r>
      <w:r w:rsidR="00E32EFD">
        <w:rPr>
          <w:rFonts w:ascii="Times New Roman" w:hAnsi="Times New Roman" w:cs="Times New Roman"/>
          <w:sz w:val="20"/>
          <w:szCs w:val="20"/>
          <w:lang w:val="en-US"/>
        </w:rPr>
        <w:t xml:space="preserve"> </w:t>
      </w:r>
      <w:r w:rsidR="00E32EFD">
        <w:rPr>
          <w:rFonts w:ascii="Times New Roman" w:hAnsi="Times New Roman" w:cs="Times New Roman"/>
          <w:sz w:val="20"/>
          <w:szCs w:val="20"/>
          <w:lang w:val="en-US"/>
        </w:rPr>
        <w:fldChar w:fldCharType="begin"/>
      </w:r>
      <w:r w:rsidR="00E32EFD">
        <w:rPr>
          <w:rFonts w:ascii="Times New Roman" w:hAnsi="Times New Roman" w:cs="Times New Roman"/>
          <w:sz w:val="20"/>
          <w:szCs w:val="20"/>
          <w:lang w:val="en-US"/>
        </w:rPr>
        <w:instrText xml:space="preserve"> REF _Ref112920665 \n \h </w:instrText>
      </w:r>
      <w:r w:rsidR="00E32EFD">
        <w:rPr>
          <w:rFonts w:ascii="Times New Roman" w:hAnsi="Times New Roman" w:cs="Times New Roman"/>
          <w:sz w:val="20"/>
          <w:szCs w:val="20"/>
          <w:lang w:val="en-US"/>
        </w:rPr>
      </w:r>
      <w:r w:rsidR="00E32EFD">
        <w:rPr>
          <w:rFonts w:ascii="Times New Roman" w:hAnsi="Times New Roman" w:cs="Times New Roman"/>
          <w:sz w:val="20"/>
          <w:szCs w:val="20"/>
          <w:lang w:val="en-US"/>
        </w:rPr>
        <w:fldChar w:fldCharType="separate"/>
      </w:r>
      <w:r w:rsidR="0017405F">
        <w:rPr>
          <w:rFonts w:ascii="Times New Roman" w:hAnsi="Times New Roman" w:cs="Times New Roman"/>
          <w:sz w:val="20"/>
          <w:szCs w:val="20"/>
          <w:lang w:val="en-US"/>
        </w:rPr>
        <w:t>[3]</w:t>
      </w:r>
      <w:r w:rsidR="00E32EFD">
        <w:rPr>
          <w:rFonts w:ascii="Times New Roman" w:hAnsi="Times New Roman" w:cs="Times New Roman"/>
          <w:sz w:val="20"/>
          <w:szCs w:val="20"/>
          <w:lang w:val="en-US"/>
        </w:rPr>
        <w:fldChar w:fldCharType="end"/>
      </w:r>
      <w:r w:rsidRPr="009D6782">
        <w:rPr>
          <w:rFonts w:ascii="Times New Roman" w:hAnsi="Times New Roman" w:cs="Times New Roman"/>
          <w:sz w:val="20"/>
          <w:szCs w:val="20"/>
          <w:lang w:val="en-US"/>
        </w:rPr>
        <w:t>.</w:t>
      </w:r>
    </w:p>
    <w:tbl>
      <w:tblPr>
        <w:tblStyle w:val="TableGrid"/>
        <w:tblW w:w="0" w:type="auto"/>
        <w:tblInd w:w="421" w:type="dxa"/>
        <w:tblLook w:val="04A0" w:firstRow="1" w:lastRow="0" w:firstColumn="1" w:lastColumn="0" w:noHBand="0" w:noVBand="1"/>
      </w:tblPr>
      <w:tblGrid>
        <w:gridCol w:w="1628"/>
        <w:gridCol w:w="7513"/>
      </w:tblGrid>
      <w:tr w:rsidR="009D5906" w14:paraId="2001F1FD" w14:textId="77777777" w:rsidTr="00FB7746">
        <w:tc>
          <w:tcPr>
            <w:tcW w:w="1559" w:type="dxa"/>
            <w:shd w:val="clear" w:color="auto" w:fill="D9D9D9" w:themeFill="background1" w:themeFillShade="D9"/>
            <w:vAlign w:val="center"/>
          </w:tcPr>
          <w:p w14:paraId="02D84AD0" w14:textId="18AB44E4" w:rsidR="009D5906" w:rsidRPr="007C25B1" w:rsidRDefault="009D5906" w:rsidP="00FB7746">
            <w:pPr>
              <w:spacing w:after="0" w:line="240" w:lineRule="auto"/>
              <w:rPr>
                <w:rFonts w:ascii="Times New Roman" w:eastAsia="Times New Roman" w:hAnsi="Times New Roman" w:cs="Times New Roman"/>
                <w:b/>
                <w:bCs/>
                <w:color w:val="C00000"/>
                <w:sz w:val="20"/>
                <w:szCs w:val="20"/>
              </w:rPr>
            </w:pPr>
            <w:r w:rsidRPr="007C25B1">
              <w:rPr>
                <w:rFonts w:ascii="Times New Roman" w:eastAsia="Times New Roman" w:hAnsi="Times New Roman" w:cs="Times New Roman"/>
                <w:b/>
                <w:bCs/>
                <w:color w:val="C00000"/>
                <w:sz w:val="20"/>
                <w:szCs w:val="20"/>
              </w:rPr>
              <w:t>BW1/BW2/BW</w:t>
            </w:r>
            <w:r w:rsidR="00FB7746" w:rsidRPr="007C25B1">
              <w:rPr>
                <w:rFonts w:ascii="Times New Roman" w:eastAsia="Times New Roman" w:hAnsi="Times New Roman" w:cs="Times New Roman"/>
                <w:b/>
                <w:bCs/>
                <w:color w:val="C00000"/>
                <w:sz w:val="20"/>
                <w:szCs w:val="20"/>
              </w:rPr>
              <w:t>3</w:t>
            </w:r>
          </w:p>
        </w:tc>
        <w:tc>
          <w:tcPr>
            <w:tcW w:w="7513" w:type="dxa"/>
          </w:tcPr>
          <w:p w14:paraId="30DD8EA5" w14:textId="77777777" w:rsidR="002470A8" w:rsidRPr="00E56E6E" w:rsidRDefault="002470A8" w:rsidP="002470A8">
            <w:pPr>
              <w:pStyle w:val="BodyText"/>
              <w:rPr>
                <w:rFonts w:ascii="Times New Roman" w:eastAsia="Batang" w:hAnsi="Times New Roman" w:cs="Times New Roman"/>
                <w:b/>
                <w:bCs/>
                <w:sz w:val="20"/>
                <w:szCs w:val="20"/>
              </w:rPr>
            </w:pPr>
            <w:r w:rsidRPr="00E56E6E">
              <w:rPr>
                <w:rFonts w:ascii="Times New Roman" w:hAnsi="Times New Roman" w:cs="Times New Roman"/>
                <w:b/>
                <w:bCs/>
                <w:sz w:val="20"/>
                <w:szCs w:val="20"/>
              </w:rPr>
              <w:t>Peak data rate:</w:t>
            </w:r>
          </w:p>
          <w:p w14:paraId="3EB6139A" w14:textId="77777777" w:rsidR="002470A8" w:rsidRPr="00E56E6E" w:rsidRDefault="002470A8" w:rsidP="002470A8">
            <w:pPr>
              <w:rPr>
                <w:rFonts w:ascii="Times New Roman" w:hAnsi="Times New Roman" w:cs="Times New Roman"/>
                <w:sz w:val="20"/>
                <w:szCs w:val="20"/>
              </w:rPr>
            </w:pPr>
            <w:r w:rsidRPr="00E56E6E">
              <w:rPr>
                <w:rFonts w:ascii="Times New Roman" w:hAnsi="Times New Roman" w:cs="Times New Roman"/>
                <w:sz w:val="20"/>
                <w:szCs w:val="20"/>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14:paraId="6A1AD59B" w14:textId="77777777" w:rsidR="002470A8" w:rsidRPr="00E56E6E" w:rsidRDefault="002470A8" w:rsidP="002470A8">
            <w:pPr>
              <w:pStyle w:val="BodyText"/>
              <w:rPr>
                <w:rFonts w:ascii="Times New Roman" w:hAnsi="Times New Roman" w:cs="Times New Roman"/>
                <w:b/>
                <w:bCs/>
                <w:sz w:val="20"/>
                <w:szCs w:val="20"/>
                <w:lang w:val="en-GB"/>
              </w:rPr>
            </w:pPr>
            <w:r w:rsidRPr="00E56E6E">
              <w:rPr>
                <w:rFonts w:ascii="Times New Roman" w:hAnsi="Times New Roman" w:cs="Times New Roman"/>
                <w:b/>
                <w:bCs/>
                <w:sz w:val="20"/>
                <w:szCs w:val="20"/>
              </w:rPr>
              <w:t>Coverage:</w:t>
            </w:r>
          </w:p>
          <w:p w14:paraId="22819345" w14:textId="77777777" w:rsidR="002470A8" w:rsidRPr="00E56E6E" w:rsidRDefault="002470A8" w:rsidP="002470A8">
            <w:pPr>
              <w:rPr>
                <w:rFonts w:ascii="Times New Roman" w:hAnsi="Times New Roman" w:cs="Times New Roman"/>
                <w:sz w:val="20"/>
                <w:szCs w:val="20"/>
              </w:rPr>
            </w:pPr>
            <w:r w:rsidRPr="00E56E6E">
              <w:rPr>
                <w:rFonts w:ascii="Times New Roman" w:hAnsi="Times New Roman" w:cs="Times New Roman"/>
                <w:sz w:val="20"/>
                <w:szCs w:val="20"/>
              </w:rPr>
              <w:lastRenderedPageBreak/>
              <w:t>[For all BW options, there is coverage impact for SIB1-PDSCH if the bandwidth allocation for SIB1 PDSCH exceeds 5 MHz. Furthermore, for BW1/BW2, there is link performance degradation for PDCCH, and PBCH (30 kHz SCS).]</w:t>
            </w:r>
          </w:p>
          <w:p w14:paraId="5FFB907C" w14:textId="77777777" w:rsidR="002470A8" w:rsidRPr="00E56E6E" w:rsidRDefault="002470A8" w:rsidP="002470A8">
            <w:pPr>
              <w:pStyle w:val="BodyText"/>
              <w:rPr>
                <w:rFonts w:ascii="Times New Roman" w:hAnsi="Times New Roman" w:cs="Times New Roman"/>
                <w:b/>
                <w:bCs/>
                <w:sz w:val="20"/>
                <w:szCs w:val="20"/>
                <w:lang w:val="en-GB"/>
              </w:rPr>
            </w:pPr>
            <w:r w:rsidRPr="00E56E6E">
              <w:rPr>
                <w:rFonts w:ascii="Times New Roman" w:hAnsi="Times New Roman" w:cs="Times New Roman"/>
                <w:b/>
                <w:bCs/>
                <w:sz w:val="20"/>
                <w:szCs w:val="20"/>
              </w:rPr>
              <w:t>Latency:</w:t>
            </w:r>
          </w:p>
          <w:p w14:paraId="24FA170D" w14:textId="77777777" w:rsidR="009D5906" w:rsidRPr="00E56E6E" w:rsidRDefault="002470A8" w:rsidP="002470A8">
            <w:pPr>
              <w:tabs>
                <w:tab w:val="left" w:pos="360"/>
              </w:tabs>
              <w:spacing w:after="120"/>
              <w:jc w:val="both"/>
              <w:rPr>
                <w:rFonts w:ascii="Times New Roman" w:hAnsi="Times New Roman" w:cs="Times New Roman"/>
                <w:sz w:val="20"/>
                <w:szCs w:val="20"/>
              </w:rPr>
            </w:pPr>
            <w:r w:rsidRPr="00E56E6E">
              <w:rPr>
                <w:rFonts w:ascii="Times New Roman" w:hAnsi="Times New Roman" w:cs="Times New Roman"/>
                <w:sz w:val="20"/>
                <w:szCs w:val="20"/>
              </w:rPr>
              <w:t>The impact of further UE bandwidth reduction on the latency is insignificant, and 5 MHz UE bandwidth (for all BW options) can sufficiently fulfil relaxed latency requirements of RedCap use cases.</w:t>
            </w:r>
          </w:p>
          <w:p w14:paraId="75FD9408" w14:textId="77777777" w:rsidR="002C344A" w:rsidRPr="00E56E6E" w:rsidRDefault="002C344A" w:rsidP="002C344A">
            <w:pPr>
              <w:rPr>
                <w:rFonts w:ascii="Times New Roman" w:eastAsia="Batang" w:hAnsi="Times New Roman" w:cs="Times New Roman"/>
                <w:sz w:val="20"/>
                <w:szCs w:val="20"/>
              </w:rPr>
            </w:pPr>
            <w:r w:rsidRPr="00E56E6E">
              <w:rPr>
                <w:rFonts w:ascii="Times New Roman" w:hAnsi="Times New Roman" w:cs="Times New Roman"/>
                <w:sz w:val="20"/>
                <w:szCs w:val="20"/>
              </w:rPr>
              <w:t>If the common channels such as SIB1, OSI, RAR, MSG3 etc. are scheduled within 5MHz, then none of the UE bandwidth reduction options (BW1, BW2, BW3) have coexistence issues with legacy UEs, but otherwise there are some coexistence issues with legacy UEs.</w:t>
            </w:r>
          </w:p>
          <w:p w14:paraId="1C24F0F8" w14:textId="77777777" w:rsidR="002C344A" w:rsidRPr="00E56E6E" w:rsidRDefault="002C344A" w:rsidP="002C344A">
            <w:pPr>
              <w:rPr>
                <w:rFonts w:ascii="Times New Roman" w:hAnsi="Times New Roman" w:cs="Times New Roman"/>
                <w:sz w:val="20"/>
                <w:szCs w:val="20"/>
              </w:rPr>
            </w:pPr>
            <w:r w:rsidRPr="00E56E6E">
              <w:rPr>
                <w:rFonts w:ascii="Times New Roman" w:hAnsi="Times New Roman" w:cs="Times New Roman"/>
                <w:sz w:val="20"/>
                <w:szCs w:val="20"/>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14:paraId="0F4357A2" w14:textId="77777777" w:rsidR="002470A8" w:rsidRPr="00E56E6E" w:rsidRDefault="002C344A" w:rsidP="002C344A">
            <w:pPr>
              <w:tabs>
                <w:tab w:val="left" w:pos="360"/>
              </w:tabs>
              <w:spacing w:after="120"/>
              <w:jc w:val="both"/>
              <w:rPr>
                <w:rFonts w:ascii="Times New Roman" w:hAnsi="Times New Roman" w:cs="Times New Roman"/>
                <w:sz w:val="20"/>
                <w:szCs w:val="20"/>
              </w:rPr>
            </w:pPr>
            <w:r w:rsidRPr="00E56E6E">
              <w:rPr>
                <w:rFonts w:ascii="Times New Roman" w:hAnsi="Times New Roman" w:cs="Times New Roman"/>
                <w:sz w:val="20"/>
                <w:szCs w:val="20"/>
              </w:rPr>
              <w:t>Early RedCap UE indication (through Msg1/MsgA) might be needed for all BW options.</w:t>
            </w:r>
          </w:p>
          <w:p w14:paraId="3EBAD173" w14:textId="6860EDE3" w:rsidR="003B35FA" w:rsidRPr="009316C5" w:rsidRDefault="003B35FA" w:rsidP="002C344A">
            <w:pPr>
              <w:tabs>
                <w:tab w:val="left" w:pos="360"/>
              </w:tabs>
              <w:spacing w:after="120"/>
              <w:jc w:val="both"/>
              <w:rPr>
                <w:rFonts w:ascii="Times New Roman" w:hAnsi="Times New Roman" w:cs="Times New Roman"/>
                <w:sz w:val="20"/>
                <w:szCs w:val="20"/>
              </w:rPr>
            </w:pPr>
            <w:r w:rsidRPr="009316C5">
              <w:rPr>
                <w:rFonts w:ascii="Times New Roman" w:hAnsi="Times New Roman" w:cs="Times New Roman"/>
                <w:sz w:val="20"/>
                <w:szCs w:val="20"/>
              </w:rPr>
              <w:t>BW1 and BW2 can have significant specification impacts, considering the impacts on initial access, random access, and SSB/CORESET #0 configurations (especially 30 kHz SCS). For BW1, the specification impacts may also include SSB presence requirements.</w:t>
            </w:r>
            <w:r w:rsidRPr="009316C5">
              <w:rPr>
                <w:rFonts w:ascii="Times New Roman" w:eastAsia="Malgun Gothic" w:hAnsi="Times New Roman" w:cs="Times New Roman"/>
                <w:sz w:val="20"/>
                <w:szCs w:val="20"/>
                <w:lang w:eastAsia="ko-KR"/>
              </w:rPr>
              <w:t xml:space="preserve"> BW3 has smaller specification impacts compared to BW1 and BW2.</w:t>
            </w:r>
          </w:p>
        </w:tc>
      </w:tr>
      <w:tr w:rsidR="009D5906" w14:paraId="7AC0281A" w14:textId="77777777" w:rsidTr="00FB7746">
        <w:tc>
          <w:tcPr>
            <w:tcW w:w="1559" w:type="dxa"/>
            <w:shd w:val="clear" w:color="auto" w:fill="D9D9D9" w:themeFill="background1" w:themeFillShade="D9"/>
            <w:vAlign w:val="center"/>
          </w:tcPr>
          <w:p w14:paraId="05AD2CCA" w14:textId="573FA28B" w:rsidR="009D5906" w:rsidRPr="007C25B1" w:rsidRDefault="009D5906" w:rsidP="00FB7746">
            <w:pPr>
              <w:spacing w:after="0" w:line="240" w:lineRule="auto"/>
              <w:rPr>
                <w:rFonts w:ascii="Times New Roman" w:eastAsia="Times New Roman" w:hAnsi="Times New Roman" w:cs="Times New Roman"/>
                <w:b/>
                <w:bCs/>
                <w:color w:val="C00000"/>
                <w:sz w:val="20"/>
                <w:szCs w:val="20"/>
              </w:rPr>
            </w:pPr>
            <w:r w:rsidRPr="007C25B1">
              <w:rPr>
                <w:rFonts w:ascii="Times New Roman" w:eastAsia="Times New Roman" w:hAnsi="Times New Roman" w:cs="Times New Roman"/>
                <w:b/>
                <w:bCs/>
                <w:color w:val="C00000"/>
                <w:sz w:val="20"/>
                <w:szCs w:val="20"/>
              </w:rPr>
              <w:lastRenderedPageBreak/>
              <w:t>PR1/PR2/PR3</w:t>
            </w:r>
          </w:p>
        </w:tc>
        <w:tc>
          <w:tcPr>
            <w:tcW w:w="7513" w:type="dxa"/>
          </w:tcPr>
          <w:p w14:paraId="66BC4248" w14:textId="77777777" w:rsidR="009B4A28" w:rsidRPr="009316C5" w:rsidRDefault="009B4A28" w:rsidP="009B4A28">
            <w:pPr>
              <w:pStyle w:val="BodyText"/>
              <w:rPr>
                <w:rFonts w:ascii="Times New Roman" w:eastAsia="Batang" w:hAnsi="Times New Roman" w:cs="Times New Roman"/>
                <w:b/>
                <w:bCs/>
                <w:sz w:val="20"/>
                <w:szCs w:val="20"/>
              </w:rPr>
            </w:pPr>
            <w:r w:rsidRPr="009316C5">
              <w:rPr>
                <w:rFonts w:ascii="Times New Roman" w:hAnsi="Times New Roman" w:cs="Times New Roman"/>
                <w:b/>
                <w:bCs/>
                <w:sz w:val="20"/>
                <w:szCs w:val="20"/>
              </w:rPr>
              <w:t>Peak data rate:</w:t>
            </w:r>
          </w:p>
          <w:p w14:paraId="5F47C003" w14:textId="77777777" w:rsidR="009B4A28" w:rsidRPr="009316C5" w:rsidRDefault="009B4A28" w:rsidP="009B4A28">
            <w:pPr>
              <w:pStyle w:val="ListParagraph"/>
              <w:numPr>
                <w:ilvl w:val="0"/>
                <w:numId w:val="14"/>
              </w:numPr>
              <w:spacing w:after="180" w:line="252" w:lineRule="auto"/>
              <w:jc w:val="both"/>
              <w:rPr>
                <w:rFonts w:ascii="Times New Roman" w:hAnsi="Times New Roman" w:cs="Times New Roman"/>
                <w:sz w:val="20"/>
                <w:szCs w:val="20"/>
              </w:rPr>
            </w:pPr>
            <w:r w:rsidRPr="009316C5">
              <w:rPr>
                <w:rFonts w:ascii="Times New Roman" w:hAnsi="Times New Roman" w:cs="Times New Roman"/>
                <w:sz w:val="20"/>
                <w:szCs w:val="20"/>
              </w:rPr>
              <w:t>The UE peak rate reduction options (PR1/PR2/PR3) can all fulfil the data rate requirements.</w:t>
            </w:r>
          </w:p>
          <w:p w14:paraId="5E9E1698" w14:textId="77777777" w:rsidR="009B4A28" w:rsidRPr="009316C5" w:rsidRDefault="009B4A28" w:rsidP="009B4A28">
            <w:pPr>
              <w:rPr>
                <w:rFonts w:ascii="Times New Roman" w:hAnsi="Times New Roman" w:cs="Times New Roman"/>
                <w:b/>
                <w:bCs/>
                <w:sz w:val="20"/>
                <w:szCs w:val="20"/>
              </w:rPr>
            </w:pPr>
            <w:r w:rsidRPr="009316C5">
              <w:rPr>
                <w:rFonts w:ascii="Times New Roman" w:hAnsi="Times New Roman" w:cs="Times New Roman"/>
                <w:b/>
                <w:bCs/>
                <w:sz w:val="20"/>
                <w:szCs w:val="20"/>
              </w:rPr>
              <w:t>Coverage:</w:t>
            </w:r>
          </w:p>
          <w:p w14:paraId="1705400E" w14:textId="6C70FC0F" w:rsidR="009D5906" w:rsidRPr="009316C5" w:rsidRDefault="009B4A28" w:rsidP="009B4A28">
            <w:pPr>
              <w:tabs>
                <w:tab w:val="left" w:pos="360"/>
              </w:tabs>
              <w:spacing w:after="120"/>
              <w:jc w:val="both"/>
              <w:rPr>
                <w:rFonts w:ascii="Times New Roman" w:hAnsi="Times New Roman" w:cs="Times New Roman"/>
                <w:sz w:val="20"/>
                <w:szCs w:val="20"/>
              </w:rPr>
            </w:pPr>
            <w:r w:rsidRPr="009316C5">
              <w:rPr>
                <w:rFonts w:ascii="Times New Roman" w:hAnsi="Times New Roman" w:cs="Times New Roman"/>
                <w:sz w:val="20"/>
                <w:szCs w:val="20"/>
              </w:rPr>
              <w:t>For the UE peak rate reduction options (PR1/PR2[/PR3]), no coverage loss is expected.</w:t>
            </w:r>
          </w:p>
          <w:p w14:paraId="59C06E54" w14:textId="77777777" w:rsidR="00B46167" w:rsidRPr="009316C5" w:rsidRDefault="00B46167" w:rsidP="00B46167">
            <w:pPr>
              <w:rPr>
                <w:rFonts w:ascii="Times New Roman" w:eastAsia="Batang" w:hAnsi="Times New Roman" w:cs="Times New Roman"/>
                <w:sz w:val="20"/>
                <w:szCs w:val="20"/>
              </w:rPr>
            </w:pPr>
            <w:r w:rsidRPr="009316C5">
              <w:rPr>
                <w:rFonts w:ascii="Times New Roman" w:hAnsi="Times New Roman" w:cs="Times New Roman"/>
                <w:sz w:val="20"/>
                <w:szCs w:val="20"/>
              </w:rPr>
              <w:t>For UE peak rate reduction options PR1 and PR2, there is no or small coexistence issue.</w:t>
            </w:r>
          </w:p>
          <w:p w14:paraId="46557617" w14:textId="77777777" w:rsidR="00B46167" w:rsidRPr="009316C5" w:rsidRDefault="00B46167" w:rsidP="00B46167">
            <w:pPr>
              <w:rPr>
                <w:rFonts w:ascii="Times New Roman" w:eastAsia="Times New Roman" w:hAnsi="Times New Roman" w:cs="Times New Roman"/>
                <w:sz w:val="20"/>
                <w:szCs w:val="20"/>
              </w:rPr>
            </w:pPr>
            <w:r w:rsidRPr="009316C5">
              <w:rPr>
                <w:rFonts w:ascii="Times New Roman" w:eastAsia="Times New Roman" w:hAnsi="Times New Roman" w:cs="Times New Roman"/>
                <w:sz w:val="20"/>
                <w:szCs w:val="20"/>
              </w:rPr>
              <w:t xml:space="preserve">For UE peak rate reduction option PR3 (in the same way as for UE bandwidth reduction option BW3 described in clause 7.2), SIB1, OSI, RAR and MSG4 need to be scheduled within 5 MHz, otherwise there may be coexistence impacts on legacy UEs. </w:t>
            </w:r>
          </w:p>
          <w:p w14:paraId="4582B805" w14:textId="590C277B" w:rsidR="00B46167" w:rsidRPr="009316C5" w:rsidRDefault="00B46167" w:rsidP="00B46167">
            <w:pPr>
              <w:tabs>
                <w:tab w:val="left" w:pos="360"/>
              </w:tabs>
              <w:spacing w:after="120"/>
              <w:jc w:val="both"/>
              <w:rPr>
                <w:rFonts w:ascii="Times New Roman" w:hAnsi="Times New Roman" w:cs="Times New Roman"/>
                <w:sz w:val="20"/>
                <w:szCs w:val="20"/>
              </w:rPr>
            </w:pPr>
            <w:r w:rsidRPr="009316C5">
              <w:rPr>
                <w:rFonts w:ascii="Times New Roman" w:hAnsi="Times New Roman" w:cs="Times New Roman"/>
                <w:sz w:val="20"/>
                <w:szCs w:val="20"/>
              </w:rPr>
              <w:t>Early RedCap UE indication (through Msg1/MsgA) might be needed for PR3.</w:t>
            </w:r>
          </w:p>
          <w:p w14:paraId="5F9BE57F" w14:textId="2CADC2B5" w:rsidR="009B4A28" w:rsidRPr="009316C5" w:rsidRDefault="007069CE" w:rsidP="009316C5">
            <w:pPr>
              <w:jc w:val="both"/>
              <w:rPr>
                <w:rFonts w:ascii="Times New Roman" w:eastAsia="MS Mincho" w:hAnsi="Times New Roman" w:cs="Times New Roman"/>
                <w:sz w:val="20"/>
                <w:szCs w:val="20"/>
                <w:lang w:eastAsia="ja-JP"/>
              </w:rPr>
            </w:pPr>
            <w:r w:rsidRPr="009316C5">
              <w:rPr>
                <w:rFonts w:ascii="Times New Roman" w:eastAsia="Times New Roman" w:hAnsi="Times New Roman" w:cs="Times New Roman"/>
                <w:sz w:val="20"/>
                <w:szCs w:val="20"/>
              </w:rPr>
              <w:t xml:space="preserve">The UE peak rate reduction options (PR1/PR2/PR3) all have minimal specification impact. </w:t>
            </w:r>
          </w:p>
        </w:tc>
      </w:tr>
      <w:tr w:rsidR="009D5906" w14:paraId="48DF43AA" w14:textId="77777777" w:rsidTr="00FB7746">
        <w:tc>
          <w:tcPr>
            <w:tcW w:w="1559" w:type="dxa"/>
            <w:shd w:val="clear" w:color="auto" w:fill="D9D9D9" w:themeFill="background1" w:themeFillShade="D9"/>
            <w:vAlign w:val="center"/>
          </w:tcPr>
          <w:p w14:paraId="38CF6E06" w14:textId="4AA063A2" w:rsidR="009D5906" w:rsidRPr="007C25B1" w:rsidRDefault="009D5906" w:rsidP="00FB7746">
            <w:pPr>
              <w:spacing w:after="0" w:line="240" w:lineRule="auto"/>
              <w:rPr>
                <w:rFonts w:ascii="Times New Roman" w:eastAsia="Times New Roman" w:hAnsi="Times New Roman" w:cs="Times New Roman"/>
                <w:b/>
                <w:bCs/>
                <w:color w:val="C00000"/>
                <w:sz w:val="20"/>
                <w:szCs w:val="20"/>
              </w:rPr>
            </w:pPr>
            <w:r w:rsidRPr="007C25B1">
              <w:rPr>
                <w:rFonts w:ascii="Times New Roman" w:eastAsia="Times New Roman" w:hAnsi="Times New Roman" w:cs="Times New Roman"/>
                <w:b/>
                <w:bCs/>
                <w:color w:val="C00000"/>
                <w:sz w:val="20"/>
                <w:szCs w:val="20"/>
              </w:rPr>
              <w:t>PT1/PT2</w:t>
            </w:r>
          </w:p>
        </w:tc>
        <w:tc>
          <w:tcPr>
            <w:tcW w:w="7513" w:type="dxa"/>
          </w:tcPr>
          <w:p w14:paraId="3342F93D" w14:textId="77777777" w:rsidR="003275CF" w:rsidRPr="003F113A" w:rsidRDefault="003275CF" w:rsidP="003275CF">
            <w:pPr>
              <w:rPr>
                <w:rFonts w:ascii="Times New Roman" w:eastAsia="Batang" w:hAnsi="Times New Roman" w:cs="Times New Roman"/>
                <w:b/>
                <w:bCs/>
                <w:sz w:val="20"/>
                <w:szCs w:val="20"/>
              </w:rPr>
            </w:pPr>
            <w:r w:rsidRPr="003F113A">
              <w:rPr>
                <w:rFonts w:ascii="Times New Roman" w:hAnsi="Times New Roman" w:cs="Times New Roman"/>
                <w:b/>
                <w:bCs/>
                <w:sz w:val="20"/>
                <w:szCs w:val="20"/>
              </w:rPr>
              <w:t>Coverage:</w:t>
            </w:r>
          </w:p>
          <w:p w14:paraId="2B607566" w14:textId="77777777" w:rsidR="003275CF" w:rsidRPr="003F113A" w:rsidRDefault="003275CF" w:rsidP="003275CF">
            <w:pPr>
              <w:rPr>
                <w:rFonts w:ascii="Times New Roman" w:hAnsi="Times New Roman" w:cs="Times New Roman"/>
                <w:sz w:val="20"/>
                <w:szCs w:val="20"/>
              </w:rPr>
            </w:pPr>
            <w:r w:rsidRPr="003F113A">
              <w:rPr>
                <w:rFonts w:ascii="Times New Roman" w:hAnsi="Times New Roman" w:cs="Times New Roman"/>
                <w:sz w:val="20"/>
                <w:szCs w:val="20"/>
              </w:rPr>
              <w:t>No coverage impact is expected from PT1 and PT2.</w:t>
            </w:r>
          </w:p>
          <w:p w14:paraId="2E849489" w14:textId="77777777" w:rsidR="003275CF" w:rsidRPr="003F113A" w:rsidRDefault="003275CF" w:rsidP="003275CF">
            <w:pPr>
              <w:rPr>
                <w:rFonts w:ascii="Times New Roman" w:hAnsi="Times New Roman" w:cs="Times New Roman"/>
                <w:b/>
                <w:bCs/>
                <w:sz w:val="20"/>
                <w:szCs w:val="20"/>
              </w:rPr>
            </w:pPr>
            <w:r w:rsidRPr="003F113A">
              <w:rPr>
                <w:rFonts w:ascii="Times New Roman" w:hAnsi="Times New Roman" w:cs="Times New Roman"/>
                <w:b/>
                <w:bCs/>
                <w:sz w:val="20"/>
                <w:szCs w:val="20"/>
              </w:rPr>
              <w:t>Data rate:</w:t>
            </w:r>
          </w:p>
          <w:p w14:paraId="2F431460" w14:textId="6EBC652F" w:rsidR="003275CF" w:rsidRPr="003F113A" w:rsidRDefault="003275CF" w:rsidP="003275CF">
            <w:pPr>
              <w:rPr>
                <w:rFonts w:ascii="Times New Roman" w:hAnsi="Times New Roman" w:cs="Times New Roman"/>
                <w:sz w:val="20"/>
                <w:szCs w:val="20"/>
              </w:rPr>
            </w:pPr>
            <w:r w:rsidRPr="003F113A">
              <w:rPr>
                <w:rFonts w:ascii="Times New Roman" w:hAnsi="Times New Roman" w:cs="Times New Roman"/>
                <w:sz w:val="20"/>
                <w:szCs w:val="20"/>
              </w:rPr>
              <w:t xml:space="preserve">No impact on instantaneous peak data rate is expected from PT1 and PT2. </w:t>
            </w:r>
          </w:p>
          <w:p w14:paraId="3B718117" w14:textId="77777777" w:rsidR="003275CF" w:rsidRPr="003F113A" w:rsidRDefault="003275CF" w:rsidP="003275CF">
            <w:pPr>
              <w:rPr>
                <w:rFonts w:ascii="Times New Roman" w:hAnsi="Times New Roman" w:cs="Times New Roman"/>
                <w:b/>
                <w:bCs/>
                <w:sz w:val="20"/>
                <w:szCs w:val="20"/>
              </w:rPr>
            </w:pPr>
            <w:r w:rsidRPr="003F113A">
              <w:rPr>
                <w:rFonts w:ascii="Times New Roman" w:hAnsi="Times New Roman" w:cs="Times New Roman"/>
                <w:b/>
                <w:bCs/>
                <w:sz w:val="20"/>
                <w:szCs w:val="20"/>
              </w:rPr>
              <w:t>Latency:</w:t>
            </w:r>
          </w:p>
          <w:p w14:paraId="0C721D82" w14:textId="4C82B5D5" w:rsidR="003275CF" w:rsidRPr="003F113A" w:rsidRDefault="003275CF" w:rsidP="003275CF">
            <w:pPr>
              <w:rPr>
                <w:rFonts w:ascii="Times New Roman" w:hAnsi="Times New Roman" w:cs="Times New Roman"/>
                <w:sz w:val="20"/>
                <w:szCs w:val="20"/>
              </w:rPr>
            </w:pPr>
            <w:r w:rsidRPr="003F113A">
              <w:rPr>
                <w:rFonts w:ascii="Times New Roman" w:hAnsi="Times New Roman" w:cs="Times New Roman"/>
                <w:sz w:val="20"/>
                <w:szCs w:val="20"/>
              </w:rPr>
              <w:t>Both PT1 and PT2 have impact on latency. For downlink transmission, relaxed N</w:t>
            </w:r>
            <w:r w:rsidRPr="003F113A">
              <w:rPr>
                <w:rFonts w:ascii="Times New Roman" w:hAnsi="Times New Roman" w:cs="Times New Roman"/>
                <w:sz w:val="20"/>
                <w:szCs w:val="20"/>
                <w:vertAlign w:val="subscript"/>
              </w:rPr>
              <w:t>1</w:t>
            </w:r>
            <w:r w:rsidRPr="003F113A">
              <w:rPr>
                <w:rFonts w:ascii="Times New Roman" w:hAnsi="Times New Roman" w:cs="Times New Roman"/>
                <w:sz w:val="20"/>
                <w:szCs w:val="20"/>
              </w:rPr>
              <w:t xml:space="preserve"> value in PT1 impacts how fast HARQ-ACK feedback can be sent after the reception of PDSCH. For uplink transmission, relaxed N</w:t>
            </w:r>
            <w:r w:rsidRPr="003F113A">
              <w:rPr>
                <w:rFonts w:ascii="Times New Roman" w:hAnsi="Times New Roman" w:cs="Times New Roman"/>
                <w:sz w:val="20"/>
                <w:szCs w:val="20"/>
                <w:vertAlign w:val="subscript"/>
              </w:rPr>
              <w:t>2</w:t>
            </w:r>
            <w:r w:rsidRPr="003F113A">
              <w:rPr>
                <w:rFonts w:ascii="Times New Roman" w:hAnsi="Times New Roman" w:cs="Times New Roman"/>
                <w:sz w:val="20"/>
                <w:szCs w:val="20"/>
              </w:rPr>
              <w:t xml:space="preserve"> value in PT1 impacts how fast PUSCH can be scheduled with respect to the UL grant and relaxed Z/Z’ in PT2 impacts the scheduling of </w:t>
            </w:r>
            <w:r w:rsidRPr="003F113A">
              <w:rPr>
                <w:rFonts w:ascii="Times New Roman" w:hAnsi="Times New Roman" w:cs="Times New Roman"/>
                <w:sz w:val="20"/>
                <w:szCs w:val="20"/>
              </w:rPr>
              <w:lastRenderedPageBreak/>
              <w:t>a PUSCH traffic that arrives after the DCI triggering A-CSI is sent since such PUSCH TB cannot be scheduled to be transmitted before the A-CSI is transmitted. How significant the impact on latency depends on use cases and scheduled number of retransmissions.</w:t>
            </w:r>
          </w:p>
          <w:p w14:paraId="3D356570" w14:textId="77777777" w:rsidR="007B0867" w:rsidRPr="003F113A" w:rsidRDefault="007B0867" w:rsidP="007B0867">
            <w:pPr>
              <w:rPr>
                <w:rFonts w:ascii="Times New Roman" w:eastAsia="Times New Roman" w:hAnsi="Times New Roman" w:cs="Times New Roman"/>
                <w:sz w:val="20"/>
                <w:szCs w:val="20"/>
              </w:rPr>
            </w:pPr>
            <w:r w:rsidRPr="003F113A">
              <w:rPr>
                <w:rFonts w:ascii="Times New Roman" w:hAnsi="Times New Roman" w:cs="Times New Roman"/>
                <w:b/>
                <w:bCs/>
                <w:sz w:val="20"/>
                <w:szCs w:val="20"/>
              </w:rPr>
              <w:t>Relaxed UE processing time in terms of N</w:t>
            </w:r>
            <w:r w:rsidRPr="003F113A">
              <w:rPr>
                <w:rFonts w:ascii="Times New Roman" w:hAnsi="Times New Roman" w:cs="Times New Roman"/>
                <w:b/>
                <w:bCs/>
                <w:sz w:val="20"/>
                <w:szCs w:val="20"/>
                <w:vertAlign w:val="subscript"/>
              </w:rPr>
              <w:t>1</w:t>
            </w:r>
            <w:r w:rsidRPr="003F113A">
              <w:rPr>
                <w:rFonts w:ascii="Times New Roman" w:hAnsi="Times New Roman" w:cs="Times New Roman"/>
                <w:b/>
                <w:bCs/>
                <w:sz w:val="20"/>
                <w:szCs w:val="20"/>
              </w:rPr>
              <w:t xml:space="preserve"> and N</w:t>
            </w:r>
            <w:r w:rsidRPr="003F113A">
              <w:rPr>
                <w:rFonts w:ascii="Times New Roman" w:hAnsi="Times New Roman" w:cs="Times New Roman"/>
                <w:b/>
                <w:bCs/>
                <w:sz w:val="20"/>
                <w:szCs w:val="20"/>
                <w:vertAlign w:val="subscript"/>
              </w:rPr>
              <w:t>2</w:t>
            </w:r>
            <w:r w:rsidRPr="003F113A">
              <w:rPr>
                <w:rFonts w:ascii="Times New Roman" w:hAnsi="Times New Roman" w:cs="Times New Roman"/>
                <w:b/>
                <w:bCs/>
                <w:sz w:val="20"/>
                <w:szCs w:val="20"/>
              </w:rPr>
              <w:t>:</w:t>
            </w:r>
          </w:p>
          <w:p w14:paraId="448145BD" w14:textId="77777777" w:rsidR="007B0867" w:rsidRPr="003F113A" w:rsidRDefault="007B0867" w:rsidP="007B0867">
            <w:pPr>
              <w:pStyle w:val="ListParagraph"/>
              <w:numPr>
                <w:ilvl w:val="0"/>
                <w:numId w:val="15"/>
              </w:numPr>
              <w:spacing w:after="0" w:line="252" w:lineRule="auto"/>
              <w:jc w:val="both"/>
              <w:textAlignment w:val="baseline"/>
              <w:rPr>
                <w:rStyle w:val="normaltextrun"/>
                <w:rFonts w:ascii="Times New Roman" w:eastAsia="Batang" w:hAnsi="Times New Roman" w:cs="Times New Roman"/>
                <w:sz w:val="20"/>
                <w:szCs w:val="20"/>
              </w:rPr>
            </w:pPr>
            <w:r w:rsidRPr="003F113A">
              <w:rPr>
                <w:rStyle w:val="normaltextrun"/>
                <w:rFonts w:ascii="Times New Roman" w:hAnsi="Times New Roman" w:cs="Times New Roman"/>
                <w:sz w:val="20"/>
                <w:szCs w:val="20"/>
              </w:rPr>
              <w:t>In scenarios where Rel-18 RedCap UEs coexist with legacy UEs, PT1 may increase the complexity for the scheduling.</w:t>
            </w:r>
          </w:p>
          <w:p w14:paraId="2E5D4B83" w14:textId="77777777" w:rsidR="007B0867" w:rsidRPr="003F113A" w:rsidRDefault="007B0867" w:rsidP="007B0867">
            <w:pPr>
              <w:pStyle w:val="ListParagraph"/>
              <w:numPr>
                <w:ilvl w:val="0"/>
                <w:numId w:val="15"/>
              </w:numPr>
              <w:spacing w:after="0" w:line="252" w:lineRule="auto"/>
              <w:jc w:val="both"/>
              <w:textAlignment w:val="baseline"/>
              <w:rPr>
                <w:rStyle w:val="normaltextrun"/>
                <w:rFonts w:ascii="Times New Roman" w:hAnsi="Times New Roman" w:cs="Times New Roman"/>
                <w:sz w:val="20"/>
                <w:szCs w:val="20"/>
              </w:rPr>
            </w:pPr>
            <w:r w:rsidRPr="003F113A">
              <w:rPr>
                <w:rStyle w:val="normaltextrun"/>
                <w:rFonts w:ascii="Times New Roman" w:hAnsi="Times New Roman" w:cs="Times New Roman"/>
                <w:sz w:val="20"/>
                <w:szCs w:val="20"/>
              </w:rPr>
              <w:t>PT1 may have an impact on scheduling flexibility as several timing requirements are related to N1/N2 values.</w:t>
            </w:r>
          </w:p>
          <w:p w14:paraId="4C26B0FD" w14:textId="77777777" w:rsidR="007B0867" w:rsidRPr="003F113A" w:rsidRDefault="007B0867" w:rsidP="007B0867">
            <w:pPr>
              <w:pStyle w:val="ListParagraph"/>
              <w:numPr>
                <w:ilvl w:val="0"/>
                <w:numId w:val="15"/>
              </w:numPr>
              <w:spacing w:after="0" w:line="252" w:lineRule="auto"/>
              <w:jc w:val="both"/>
              <w:textAlignment w:val="baseline"/>
              <w:rPr>
                <w:rStyle w:val="normaltextrun"/>
                <w:rFonts w:ascii="Times New Roman" w:hAnsi="Times New Roman" w:cs="Times New Roman"/>
                <w:sz w:val="20"/>
                <w:szCs w:val="20"/>
              </w:rPr>
            </w:pPr>
            <w:r w:rsidRPr="003F113A">
              <w:rPr>
                <w:rStyle w:val="normaltextrun"/>
                <w:rFonts w:ascii="Times New Roman" w:hAnsi="Times New Roman" w:cs="Times New Roman"/>
                <w:sz w:val="20"/>
                <w:szCs w:val="20"/>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0360AFEF" w14:textId="77777777" w:rsidR="007B0867" w:rsidRPr="003F113A" w:rsidRDefault="007B0867" w:rsidP="007B0867">
            <w:pPr>
              <w:textAlignment w:val="baseline"/>
              <w:rPr>
                <w:rFonts w:ascii="Times New Roman" w:hAnsi="Times New Roman" w:cs="Times New Roman"/>
                <w:sz w:val="20"/>
                <w:szCs w:val="20"/>
              </w:rPr>
            </w:pPr>
          </w:p>
          <w:p w14:paraId="2F4A0505" w14:textId="77777777" w:rsidR="007B0867" w:rsidRPr="003F113A" w:rsidRDefault="007B0867" w:rsidP="007B0867">
            <w:pPr>
              <w:rPr>
                <w:rFonts w:ascii="Times New Roman" w:hAnsi="Times New Roman" w:cs="Times New Roman"/>
                <w:b/>
                <w:bCs/>
                <w:sz w:val="20"/>
                <w:szCs w:val="20"/>
              </w:rPr>
            </w:pPr>
            <w:r w:rsidRPr="003F113A">
              <w:rPr>
                <w:rFonts w:ascii="Times New Roman" w:hAnsi="Times New Roman" w:cs="Times New Roman"/>
                <w:b/>
                <w:bCs/>
                <w:sz w:val="20"/>
                <w:szCs w:val="20"/>
              </w:rPr>
              <w:t>Relaxed UE processing time in terms of Z and Z’:</w:t>
            </w:r>
          </w:p>
          <w:p w14:paraId="45AF5633" w14:textId="77777777" w:rsidR="007B0867" w:rsidRPr="003F113A" w:rsidRDefault="007B0867" w:rsidP="007B0867">
            <w:pPr>
              <w:pStyle w:val="ListParagraph"/>
              <w:numPr>
                <w:ilvl w:val="0"/>
                <w:numId w:val="15"/>
              </w:numPr>
              <w:spacing w:after="0" w:line="252" w:lineRule="auto"/>
              <w:jc w:val="both"/>
              <w:textAlignment w:val="baseline"/>
              <w:rPr>
                <w:rStyle w:val="normaltextrun"/>
                <w:rFonts w:ascii="Times New Roman" w:hAnsi="Times New Roman" w:cs="Times New Roman"/>
                <w:sz w:val="20"/>
                <w:szCs w:val="20"/>
              </w:rPr>
            </w:pPr>
            <w:r w:rsidRPr="003F113A">
              <w:rPr>
                <w:rStyle w:val="normaltextrun"/>
                <w:rFonts w:ascii="Times New Roman" w:hAnsi="Times New Roman" w:cs="Times New Roman"/>
                <w:sz w:val="20"/>
                <w:szCs w:val="20"/>
              </w:rPr>
              <w:t>PT2 may have impacts on scheduling flexibility and potentially make the scheduler more complex.</w:t>
            </w:r>
          </w:p>
          <w:p w14:paraId="728AC402" w14:textId="77777777" w:rsidR="007B0867" w:rsidRPr="003F113A" w:rsidRDefault="007B0867" w:rsidP="007B0867">
            <w:pPr>
              <w:pStyle w:val="ListParagraph"/>
              <w:numPr>
                <w:ilvl w:val="0"/>
                <w:numId w:val="15"/>
              </w:numPr>
              <w:spacing w:after="0" w:line="252" w:lineRule="auto"/>
              <w:jc w:val="both"/>
              <w:textAlignment w:val="baseline"/>
              <w:rPr>
                <w:rStyle w:val="eop"/>
                <w:rFonts w:ascii="Times New Roman" w:eastAsia="Times New Roman" w:hAnsi="Times New Roman" w:cs="Times New Roman"/>
                <w:sz w:val="20"/>
                <w:szCs w:val="20"/>
              </w:rPr>
            </w:pPr>
            <w:r w:rsidRPr="003F113A">
              <w:rPr>
                <w:rStyle w:val="normaltextrun"/>
                <w:rFonts w:ascii="Times New Roman" w:hAnsi="Times New Roman" w:cs="Times New Roman"/>
                <w:sz w:val="20"/>
                <w:szCs w:val="20"/>
              </w:rPr>
              <w:t>PT2 may impact the scheduler’s ability to track the channel when making scheduling decisions, especially in a fast-varying channel condition. </w:t>
            </w:r>
          </w:p>
          <w:p w14:paraId="508E66A1" w14:textId="37712C70" w:rsidR="007B0867" w:rsidRPr="003F113A" w:rsidRDefault="007B0867" w:rsidP="007B0867">
            <w:pPr>
              <w:pStyle w:val="ListParagraph"/>
              <w:numPr>
                <w:ilvl w:val="0"/>
                <w:numId w:val="15"/>
              </w:numPr>
              <w:spacing w:after="0" w:line="252" w:lineRule="auto"/>
              <w:jc w:val="both"/>
              <w:textAlignment w:val="baseline"/>
              <w:rPr>
                <w:rStyle w:val="normaltextrun"/>
                <w:rFonts w:ascii="Times New Roman" w:hAnsi="Times New Roman" w:cs="Times New Roman"/>
                <w:sz w:val="20"/>
                <w:szCs w:val="20"/>
              </w:rPr>
            </w:pPr>
            <w:r w:rsidRPr="003F113A">
              <w:rPr>
                <w:rStyle w:val="normaltextrun"/>
                <w:rFonts w:ascii="Times New Roman" w:hAnsi="Times New Roman" w:cs="Times New Roman"/>
                <w:sz w:val="20"/>
                <w:szCs w:val="20"/>
              </w:rPr>
              <w:t>No coexistence impact is expected from PT2.</w:t>
            </w:r>
          </w:p>
          <w:p w14:paraId="0BC29145" w14:textId="37B2C1FB" w:rsidR="003123A5" w:rsidRPr="003F113A" w:rsidRDefault="003123A5" w:rsidP="003123A5">
            <w:pPr>
              <w:spacing w:after="0" w:line="252" w:lineRule="auto"/>
              <w:jc w:val="both"/>
              <w:textAlignment w:val="baseline"/>
              <w:rPr>
                <w:rStyle w:val="normaltextrun"/>
                <w:rFonts w:ascii="Times New Roman" w:hAnsi="Times New Roman" w:cs="Times New Roman"/>
                <w:sz w:val="20"/>
                <w:szCs w:val="20"/>
              </w:rPr>
            </w:pPr>
          </w:p>
          <w:p w14:paraId="4A8FAC84" w14:textId="4A142482" w:rsidR="003123A5" w:rsidRPr="003F113A" w:rsidRDefault="003123A5" w:rsidP="003123A5">
            <w:pPr>
              <w:rPr>
                <w:rFonts w:ascii="Times New Roman" w:eastAsia="Batang" w:hAnsi="Times New Roman" w:cs="Times New Roman"/>
                <w:sz w:val="20"/>
                <w:szCs w:val="20"/>
              </w:rPr>
            </w:pPr>
            <w:r w:rsidRPr="003F113A">
              <w:rPr>
                <w:rFonts w:ascii="Times New Roman" w:hAnsi="Times New Roman" w:cs="Times New Roman"/>
                <w:sz w:val="20"/>
                <w:szCs w:val="20"/>
              </w:rPr>
              <w:t>A new UE processing time capability needs to be defined if relaxed UE processing time in terms of N</w:t>
            </w:r>
            <w:r w:rsidRPr="003F113A">
              <w:rPr>
                <w:rFonts w:ascii="Times New Roman" w:hAnsi="Times New Roman" w:cs="Times New Roman"/>
                <w:sz w:val="20"/>
                <w:szCs w:val="20"/>
                <w:vertAlign w:val="subscript"/>
              </w:rPr>
              <w:t>1</w:t>
            </w:r>
            <w:r w:rsidRPr="003F113A">
              <w:rPr>
                <w:rFonts w:ascii="Times New Roman" w:hAnsi="Times New Roman" w:cs="Times New Roman"/>
                <w:sz w:val="20"/>
                <w:szCs w:val="20"/>
              </w:rPr>
              <w:t xml:space="preserve"> and N</w:t>
            </w:r>
            <w:r w:rsidRPr="003F113A">
              <w:rPr>
                <w:rFonts w:ascii="Times New Roman" w:hAnsi="Times New Roman" w:cs="Times New Roman"/>
                <w:sz w:val="20"/>
                <w:szCs w:val="20"/>
                <w:vertAlign w:val="subscript"/>
              </w:rPr>
              <w:t>2</w:t>
            </w:r>
            <w:r w:rsidRPr="003F113A">
              <w:rPr>
                <w:rFonts w:ascii="Times New Roman" w:hAnsi="Times New Roman" w:cs="Times New Roman"/>
                <w:sz w:val="20"/>
                <w:szCs w:val="20"/>
              </w:rPr>
              <w:t xml:space="preserve"> is introduced. New values of N</w:t>
            </w:r>
            <w:r w:rsidRPr="003F113A">
              <w:rPr>
                <w:rFonts w:ascii="Times New Roman" w:hAnsi="Times New Roman" w:cs="Times New Roman"/>
                <w:sz w:val="20"/>
                <w:szCs w:val="20"/>
                <w:vertAlign w:val="subscript"/>
              </w:rPr>
              <w:t>1</w:t>
            </w:r>
            <w:r w:rsidRPr="003F113A">
              <w:rPr>
                <w:rFonts w:ascii="Times New Roman" w:hAnsi="Times New Roman" w:cs="Times New Roman"/>
                <w:sz w:val="20"/>
                <w:szCs w:val="20"/>
              </w:rPr>
              <w:t xml:space="preserve"> and N</w:t>
            </w:r>
            <w:r w:rsidRPr="003F113A">
              <w:rPr>
                <w:rFonts w:ascii="Times New Roman" w:hAnsi="Times New Roman" w:cs="Times New Roman"/>
                <w:sz w:val="20"/>
                <w:szCs w:val="20"/>
                <w:vertAlign w:val="subscript"/>
              </w:rPr>
              <w:t>2</w:t>
            </w:r>
            <w:r w:rsidRPr="003F113A">
              <w:rPr>
                <w:rFonts w:ascii="Times New Roman" w:hAnsi="Times New Roman" w:cs="Times New Roman"/>
                <w:sz w:val="20"/>
                <w:szCs w:val="20"/>
              </w:rPr>
              <w:t>, as well as how the PDSCH processing time and PUSCH preparation time are determined by N</w:t>
            </w:r>
            <w:r w:rsidRPr="003F113A">
              <w:rPr>
                <w:rFonts w:ascii="Times New Roman" w:hAnsi="Times New Roman" w:cs="Times New Roman"/>
                <w:sz w:val="20"/>
                <w:szCs w:val="20"/>
                <w:vertAlign w:val="subscript"/>
              </w:rPr>
              <w:t>1</w:t>
            </w:r>
            <w:r w:rsidRPr="003F113A">
              <w:rPr>
                <w:rFonts w:ascii="Times New Roman" w:hAnsi="Times New Roman" w:cs="Times New Roman"/>
                <w:sz w:val="20"/>
                <w:szCs w:val="20"/>
              </w:rPr>
              <w:t xml:space="preserve"> and N</w:t>
            </w:r>
            <w:r w:rsidRPr="003F113A">
              <w:rPr>
                <w:rFonts w:ascii="Times New Roman" w:hAnsi="Times New Roman" w:cs="Times New Roman"/>
                <w:sz w:val="20"/>
                <w:szCs w:val="20"/>
                <w:vertAlign w:val="subscript"/>
              </w:rPr>
              <w:t>2</w:t>
            </w:r>
            <w:r w:rsidRPr="003F113A">
              <w:rPr>
                <w:rFonts w:ascii="Times New Roman" w:hAnsi="Times New Roman" w:cs="Times New Roman"/>
                <w:sz w:val="20"/>
                <w:szCs w:val="20"/>
              </w:rPr>
              <w:t>, need to be defined. Depending on the degree of relaxation of the N</w:t>
            </w:r>
            <w:r w:rsidRPr="003F113A">
              <w:rPr>
                <w:rFonts w:ascii="Times New Roman" w:hAnsi="Times New Roman" w:cs="Times New Roman"/>
                <w:sz w:val="20"/>
                <w:szCs w:val="20"/>
                <w:vertAlign w:val="subscript"/>
              </w:rPr>
              <w:t>1</w:t>
            </w:r>
            <w:r w:rsidRPr="003F113A">
              <w:rPr>
                <w:rFonts w:ascii="Times New Roman" w:hAnsi="Times New Roman" w:cs="Times New Roman"/>
                <w:sz w:val="20"/>
                <w:szCs w:val="20"/>
              </w:rPr>
              <w:t xml:space="preserve"> and N</w:t>
            </w:r>
            <w:r w:rsidRPr="003F113A">
              <w:rPr>
                <w:rFonts w:ascii="Times New Roman" w:hAnsi="Times New Roman" w:cs="Times New Roman"/>
                <w:sz w:val="20"/>
                <w:szCs w:val="20"/>
                <w:vertAlign w:val="subscript"/>
              </w:rPr>
              <w:t>2</w:t>
            </w:r>
            <w:r w:rsidRPr="003F113A">
              <w:rPr>
                <w:rFonts w:ascii="Times New Roman" w:hAnsi="Times New Roman" w:cs="Times New Roman"/>
                <w:sz w:val="20"/>
                <w:szCs w:val="20"/>
              </w:rPr>
              <w:t xml:space="preserve"> values, specification details on scheduling timing may be updated, such as HARQ-ACK timing range</w:t>
            </w:r>
            <w:r w:rsidRPr="003F113A">
              <w:rPr>
                <w:rFonts w:ascii="Times New Roman" w:hAnsi="Times New Roman" w:cs="Times New Roman"/>
                <w:strike/>
                <w:sz w:val="20"/>
                <w:szCs w:val="20"/>
              </w:rPr>
              <w:t>.</w:t>
            </w:r>
            <w:r w:rsidRPr="003F113A">
              <w:rPr>
                <w:rFonts w:ascii="Times New Roman" w:hAnsi="Times New Roman" w:cs="Times New Roman"/>
                <w:sz w:val="20"/>
                <w:szCs w:val="20"/>
              </w:rPr>
              <w:t xml:space="preserve"> </w:t>
            </w:r>
            <w:r w:rsidRPr="003F113A">
              <w:rPr>
                <w:rFonts w:ascii="Times New Roman" w:eastAsia="SimSun" w:hAnsi="Times New Roman" w:cs="Times New Roman"/>
                <w:sz w:val="20"/>
                <w:szCs w:val="20"/>
                <w:lang w:eastAsia="zh-CN"/>
              </w:rPr>
              <w:t xml:space="preserve">Moreover, </w:t>
            </w:r>
            <w:r w:rsidRPr="003F113A">
              <w:rPr>
                <w:rFonts w:ascii="Times New Roman" w:eastAsia="DengXian" w:hAnsi="Times New Roman" w:cs="Times New Roman"/>
                <w:sz w:val="20"/>
                <w:szCs w:val="20"/>
                <w:lang w:eastAsia="zh-CN"/>
              </w:rPr>
              <w:t>PT1 may introduce need for early indication in Msg1. And PT1 does not need to define new default TDRA table for downlink.</w:t>
            </w:r>
          </w:p>
          <w:p w14:paraId="08BCAA55" w14:textId="7198D8F4" w:rsidR="003275CF" w:rsidRDefault="003123A5" w:rsidP="003F113A">
            <w:pPr>
              <w:spacing w:after="0" w:line="252" w:lineRule="auto"/>
              <w:jc w:val="both"/>
              <w:textAlignment w:val="baseline"/>
              <w:rPr>
                <w:rFonts w:ascii="Times New Roman" w:eastAsia="MS Mincho" w:hAnsi="Times New Roman" w:cs="Times New Roman"/>
                <w:sz w:val="20"/>
                <w:szCs w:val="20"/>
                <w:lang w:eastAsia="ja-JP"/>
              </w:rPr>
            </w:pPr>
            <w:r w:rsidRPr="003F113A">
              <w:rPr>
                <w:rFonts w:ascii="Times New Roman" w:hAnsi="Times New Roman" w:cs="Times New Roman"/>
                <w:sz w:val="20"/>
                <w:szCs w:val="20"/>
              </w:rPr>
              <w:t>New CSI computation delay requirements need to be defined if relaxed UE processing time in terms of Z and Z’ is introduced. New values of Z and Z’, as well as how the CSI computation time is determined by Z and Z’, need to be defined.</w:t>
            </w:r>
          </w:p>
        </w:tc>
      </w:tr>
    </w:tbl>
    <w:p w14:paraId="4EB9F6BD" w14:textId="3CF3A158" w:rsidR="009D6782" w:rsidRDefault="009D6782" w:rsidP="009D6782">
      <w:pPr>
        <w:tabs>
          <w:tab w:val="left" w:pos="360"/>
        </w:tabs>
        <w:spacing w:after="120"/>
        <w:jc w:val="both"/>
        <w:rPr>
          <w:rFonts w:ascii="Times New Roman" w:eastAsia="MS Mincho" w:hAnsi="Times New Roman" w:cs="Times New Roman"/>
          <w:sz w:val="20"/>
          <w:szCs w:val="20"/>
          <w:lang w:eastAsia="ja-JP"/>
        </w:rPr>
      </w:pPr>
    </w:p>
    <w:p w14:paraId="763EEBFC" w14:textId="7D20AC9E" w:rsidR="00D56375" w:rsidRPr="009D6782" w:rsidRDefault="00D56375" w:rsidP="00D56375">
      <w:pPr>
        <w:pStyle w:val="Caption"/>
        <w:keepNext/>
        <w:jc w:val="center"/>
        <w:rPr>
          <w:rFonts w:ascii="Times New Roman" w:hAnsi="Times New Roman" w:cs="Times New Roman"/>
          <w:sz w:val="20"/>
          <w:szCs w:val="20"/>
          <w:lang w:val="en-US"/>
        </w:rPr>
      </w:pPr>
      <w:bookmarkStart w:id="16" w:name="_Ref112919718"/>
      <w:r w:rsidRPr="009D6782">
        <w:rPr>
          <w:rFonts w:ascii="Times New Roman" w:hAnsi="Times New Roman" w:cs="Times New Roman"/>
          <w:sz w:val="20"/>
          <w:szCs w:val="20"/>
        </w:rPr>
        <w:t xml:space="preserve">Table </w:t>
      </w:r>
      <w:r w:rsidRPr="009D6782">
        <w:rPr>
          <w:rFonts w:ascii="Times New Roman" w:hAnsi="Times New Roman" w:cs="Times New Roman"/>
          <w:sz w:val="20"/>
          <w:szCs w:val="20"/>
        </w:rPr>
        <w:fldChar w:fldCharType="begin"/>
      </w:r>
      <w:r w:rsidRPr="009D6782">
        <w:rPr>
          <w:rFonts w:ascii="Times New Roman" w:hAnsi="Times New Roman" w:cs="Times New Roman"/>
          <w:sz w:val="20"/>
          <w:szCs w:val="20"/>
        </w:rPr>
        <w:instrText xml:space="preserve"> SEQ Table \* ARABIC </w:instrText>
      </w:r>
      <w:r w:rsidRPr="009D6782">
        <w:rPr>
          <w:rFonts w:ascii="Times New Roman" w:hAnsi="Times New Roman" w:cs="Times New Roman"/>
          <w:sz w:val="20"/>
          <w:szCs w:val="20"/>
        </w:rPr>
        <w:fldChar w:fldCharType="separate"/>
      </w:r>
      <w:r w:rsidR="0017405F">
        <w:rPr>
          <w:rFonts w:ascii="Times New Roman" w:hAnsi="Times New Roman" w:cs="Times New Roman"/>
          <w:noProof/>
          <w:sz w:val="20"/>
          <w:szCs w:val="20"/>
        </w:rPr>
        <w:t>3</w:t>
      </w:r>
      <w:r w:rsidRPr="009D6782">
        <w:rPr>
          <w:rFonts w:ascii="Times New Roman" w:hAnsi="Times New Roman" w:cs="Times New Roman"/>
          <w:sz w:val="20"/>
          <w:szCs w:val="20"/>
        </w:rPr>
        <w:fldChar w:fldCharType="end"/>
      </w:r>
      <w:bookmarkEnd w:id="16"/>
      <w:r w:rsidRPr="009D6782">
        <w:rPr>
          <w:rFonts w:ascii="Times New Roman" w:hAnsi="Times New Roman" w:cs="Times New Roman"/>
          <w:sz w:val="20"/>
          <w:szCs w:val="20"/>
          <w:lang w:val="en-US"/>
        </w:rPr>
        <w:t xml:space="preserve">. </w:t>
      </w:r>
      <w:r w:rsidR="00E77DAA" w:rsidRPr="00E77DAA">
        <w:rPr>
          <w:rFonts w:ascii="Times New Roman" w:hAnsi="Times New Roman" w:cs="Times New Roman"/>
          <w:sz w:val="20"/>
          <w:szCs w:val="20"/>
          <w:lang w:val="en-US"/>
        </w:rPr>
        <w:t>Channels with negative representative coverage margins for different complexity reductions schemes and different deployment scenarios</w:t>
      </w:r>
      <w:r w:rsidR="00E32EFD">
        <w:rPr>
          <w:rFonts w:ascii="Times New Roman" w:hAnsi="Times New Roman" w:cs="Times New Roman"/>
          <w:sz w:val="20"/>
          <w:szCs w:val="20"/>
          <w:lang w:val="en-US"/>
        </w:rPr>
        <w:t xml:space="preserve"> </w:t>
      </w:r>
      <w:r w:rsidR="00E32EFD">
        <w:rPr>
          <w:rFonts w:ascii="Times New Roman" w:hAnsi="Times New Roman" w:cs="Times New Roman"/>
          <w:sz w:val="20"/>
          <w:szCs w:val="20"/>
          <w:lang w:val="en-US"/>
        </w:rPr>
        <w:fldChar w:fldCharType="begin"/>
      </w:r>
      <w:r w:rsidR="00E32EFD">
        <w:rPr>
          <w:rFonts w:ascii="Times New Roman" w:hAnsi="Times New Roman" w:cs="Times New Roman"/>
          <w:sz w:val="20"/>
          <w:szCs w:val="20"/>
          <w:lang w:val="en-US"/>
        </w:rPr>
        <w:instrText xml:space="preserve"> REF _Ref112919807 \n \h </w:instrText>
      </w:r>
      <w:r w:rsidR="00E32EFD">
        <w:rPr>
          <w:rFonts w:ascii="Times New Roman" w:hAnsi="Times New Roman" w:cs="Times New Roman"/>
          <w:sz w:val="20"/>
          <w:szCs w:val="20"/>
          <w:lang w:val="en-US"/>
        </w:rPr>
      </w:r>
      <w:r w:rsidR="00E32EFD">
        <w:rPr>
          <w:rFonts w:ascii="Times New Roman" w:hAnsi="Times New Roman" w:cs="Times New Roman"/>
          <w:sz w:val="20"/>
          <w:szCs w:val="20"/>
          <w:lang w:val="en-US"/>
        </w:rPr>
        <w:fldChar w:fldCharType="separate"/>
      </w:r>
      <w:r w:rsidR="0017405F">
        <w:rPr>
          <w:rFonts w:ascii="Times New Roman" w:hAnsi="Times New Roman" w:cs="Times New Roman"/>
          <w:sz w:val="20"/>
          <w:szCs w:val="20"/>
          <w:lang w:val="en-US"/>
        </w:rPr>
        <w:t>[4]</w:t>
      </w:r>
      <w:r w:rsidR="00E32EFD">
        <w:rPr>
          <w:rFonts w:ascii="Times New Roman" w:hAnsi="Times New Roman" w:cs="Times New Roman"/>
          <w:sz w:val="20"/>
          <w:szCs w:val="20"/>
          <w:lang w:val="en-US"/>
        </w:rPr>
        <w:fldChar w:fldCharType="end"/>
      </w:r>
      <w:r w:rsidRPr="009D6782">
        <w:rPr>
          <w:rFonts w:ascii="Times New Roman" w:hAnsi="Times New Roman" w:cs="Times New Roman"/>
          <w:sz w:val="20"/>
          <w:szCs w:val="20"/>
          <w:lang w:val="en-US"/>
        </w:rPr>
        <w:t>.</w:t>
      </w:r>
    </w:p>
    <w:tbl>
      <w:tblPr>
        <w:tblStyle w:val="TableGrid"/>
        <w:tblW w:w="0" w:type="auto"/>
        <w:tblInd w:w="421" w:type="dxa"/>
        <w:tblLook w:val="04A0" w:firstRow="1" w:lastRow="0" w:firstColumn="1" w:lastColumn="0" w:noHBand="0" w:noVBand="1"/>
      </w:tblPr>
      <w:tblGrid>
        <w:gridCol w:w="1316"/>
        <w:gridCol w:w="1566"/>
        <w:gridCol w:w="1566"/>
        <w:gridCol w:w="1567"/>
        <w:gridCol w:w="1567"/>
        <w:gridCol w:w="1567"/>
      </w:tblGrid>
      <w:tr w:rsidR="00DD78EC" w14:paraId="79B3C5F5" w14:textId="77777777" w:rsidTr="00DD78EC">
        <w:tc>
          <w:tcPr>
            <w:tcW w:w="1145" w:type="dxa"/>
            <w:vMerge w:val="restart"/>
            <w:shd w:val="clear" w:color="auto" w:fill="C5E0B3" w:themeFill="accent6" w:themeFillTint="66"/>
            <w:vAlign w:val="center"/>
          </w:tcPr>
          <w:p w14:paraId="2025A77F" w14:textId="77777777" w:rsidR="00DD78EC" w:rsidRPr="00E77DAA" w:rsidRDefault="00DD78EC" w:rsidP="0017405F">
            <w:pP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Deployment scenario and frequency (and UE bandwidth, and DL PSD)</w:t>
            </w:r>
          </w:p>
        </w:tc>
        <w:tc>
          <w:tcPr>
            <w:tcW w:w="1566" w:type="dxa"/>
            <w:vMerge w:val="restart"/>
            <w:shd w:val="clear" w:color="auto" w:fill="C5E0B3" w:themeFill="accent6" w:themeFillTint="66"/>
            <w:vAlign w:val="center"/>
          </w:tcPr>
          <w:p w14:paraId="5F976CE8" w14:textId="77777777" w:rsidR="00DD78EC" w:rsidRPr="00E77DAA" w:rsidRDefault="00DD78EC" w:rsidP="0017405F">
            <w:pP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3dB antenna efficiency loss?</w:t>
            </w:r>
          </w:p>
        </w:tc>
        <w:tc>
          <w:tcPr>
            <w:tcW w:w="6267" w:type="dxa"/>
            <w:gridSpan w:val="4"/>
            <w:shd w:val="clear" w:color="auto" w:fill="C5E0B3" w:themeFill="accent6" w:themeFillTint="66"/>
            <w:vAlign w:val="center"/>
          </w:tcPr>
          <w:p w14:paraId="4F39DBD8" w14:textId="77777777" w:rsidR="00DD78EC" w:rsidRPr="00E77DAA" w:rsidRDefault="00DD78EC" w:rsidP="0017405F">
            <w:pPr>
              <w:jc w:val="cente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Complexity reduction schemes in Clause 7</w:t>
            </w:r>
          </w:p>
        </w:tc>
      </w:tr>
      <w:tr w:rsidR="00DD78EC" w14:paraId="48FC0B57" w14:textId="77777777" w:rsidTr="00DD78EC">
        <w:tc>
          <w:tcPr>
            <w:tcW w:w="1145" w:type="dxa"/>
            <w:vMerge/>
            <w:tcBorders>
              <w:bottom w:val="thickThinMediumGap" w:sz="8" w:space="0" w:color="auto"/>
            </w:tcBorders>
            <w:shd w:val="clear" w:color="auto" w:fill="C5E0B3" w:themeFill="accent6" w:themeFillTint="66"/>
          </w:tcPr>
          <w:p w14:paraId="00BE35B4" w14:textId="77777777" w:rsidR="00DD78EC" w:rsidRPr="00E77DAA" w:rsidRDefault="00DD78EC" w:rsidP="0017405F">
            <w:pPr>
              <w:rPr>
                <w:rFonts w:ascii="Times New Roman" w:eastAsia="Microsoft YaHei UI" w:hAnsi="Times New Roman" w:cs="Times New Roman"/>
                <w:color w:val="000000"/>
                <w:sz w:val="20"/>
                <w:szCs w:val="20"/>
                <w:lang w:eastAsia="zh-CN"/>
              </w:rPr>
            </w:pPr>
          </w:p>
        </w:tc>
        <w:tc>
          <w:tcPr>
            <w:tcW w:w="1566" w:type="dxa"/>
            <w:vMerge/>
            <w:tcBorders>
              <w:bottom w:val="thickThinMediumGap" w:sz="8" w:space="0" w:color="auto"/>
            </w:tcBorders>
            <w:shd w:val="clear" w:color="auto" w:fill="C5E0B3" w:themeFill="accent6" w:themeFillTint="66"/>
          </w:tcPr>
          <w:p w14:paraId="1C1EEADF" w14:textId="77777777" w:rsidR="00DD78EC" w:rsidRPr="00E77DAA" w:rsidRDefault="00DD78EC" w:rsidP="0017405F">
            <w:pPr>
              <w:rPr>
                <w:rFonts w:ascii="Times New Roman" w:eastAsia="Microsoft YaHei UI" w:hAnsi="Times New Roman" w:cs="Times New Roman"/>
                <w:color w:val="000000"/>
                <w:sz w:val="20"/>
                <w:szCs w:val="20"/>
                <w:lang w:eastAsia="zh-CN"/>
              </w:rPr>
            </w:pPr>
          </w:p>
        </w:tc>
        <w:tc>
          <w:tcPr>
            <w:tcW w:w="1566" w:type="dxa"/>
            <w:tcBorders>
              <w:bottom w:val="thickThinMediumGap" w:sz="8" w:space="0" w:color="auto"/>
            </w:tcBorders>
            <w:shd w:val="clear" w:color="auto" w:fill="E2EFD9" w:themeFill="accent6" w:themeFillTint="33"/>
            <w:vAlign w:val="center"/>
          </w:tcPr>
          <w:p w14:paraId="6925347E" w14:textId="77777777" w:rsidR="00DD78EC" w:rsidRPr="00E77DAA" w:rsidRDefault="00DD78EC" w:rsidP="0017405F">
            <w:pPr>
              <w:jc w:val="cente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BW1</w:t>
            </w:r>
          </w:p>
        </w:tc>
        <w:tc>
          <w:tcPr>
            <w:tcW w:w="1567" w:type="dxa"/>
            <w:tcBorders>
              <w:bottom w:val="thickThinMediumGap" w:sz="8" w:space="0" w:color="auto"/>
            </w:tcBorders>
            <w:shd w:val="clear" w:color="auto" w:fill="E2EFD9" w:themeFill="accent6" w:themeFillTint="33"/>
            <w:vAlign w:val="center"/>
          </w:tcPr>
          <w:p w14:paraId="535BB60D" w14:textId="77777777" w:rsidR="00DD78EC" w:rsidRPr="00E77DAA" w:rsidRDefault="00DD78EC" w:rsidP="0017405F">
            <w:pPr>
              <w:jc w:val="cente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BW2</w:t>
            </w:r>
          </w:p>
        </w:tc>
        <w:tc>
          <w:tcPr>
            <w:tcW w:w="1567" w:type="dxa"/>
            <w:tcBorders>
              <w:bottom w:val="thickThinMediumGap" w:sz="8" w:space="0" w:color="auto"/>
            </w:tcBorders>
            <w:shd w:val="clear" w:color="auto" w:fill="E2EFD9" w:themeFill="accent6" w:themeFillTint="33"/>
            <w:vAlign w:val="center"/>
          </w:tcPr>
          <w:p w14:paraId="00640504" w14:textId="77777777" w:rsidR="00DD78EC" w:rsidRPr="00E77DAA" w:rsidRDefault="00DD78EC" w:rsidP="0017405F">
            <w:pPr>
              <w:jc w:val="cente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BW3</w:t>
            </w:r>
          </w:p>
        </w:tc>
        <w:tc>
          <w:tcPr>
            <w:tcW w:w="1567" w:type="dxa"/>
            <w:tcBorders>
              <w:bottom w:val="thickThinMediumGap" w:sz="8" w:space="0" w:color="auto"/>
            </w:tcBorders>
            <w:shd w:val="clear" w:color="auto" w:fill="E2EFD9" w:themeFill="accent6" w:themeFillTint="33"/>
            <w:vAlign w:val="center"/>
          </w:tcPr>
          <w:p w14:paraId="18211A56" w14:textId="77777777" w:rsidR="00DD78EC" w:rsidRPr="00E77DAA" w:rsidRDefault="00DD78EC" w:rsidP="0017405F">
            <w:pPr>
              <w:jc w:val="cente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PR3</w:t>
            </w:r>
          </w:p>
        </w:tc>
      </w:tr>
      <w:tr w:rsidR="00DD78EC" w14:paraId="3756CF27" w14:textId="77777777" w:rsidTr="00DD78EC">
        <w:tc>
          <w:tcPr>
            <w:tcW w:w="1145" w:type="dxa"/>
            <w:vMerge w:val="restart"/>
            <w:tcBorders>
              <w:top w:val="thickThinMediumGap" w:sz="8" w:space="0" w:color="auto"/>
              <w:left w:val="thickThinMediumGap" w:sz="8" w:space="0" w:color="auto"/>
              <w:bottom w:val="single" w:sz="6" w:space="0" w:color="auto"/>
              <w:right w:val="single" w:sz="6" w:space="0" w:color="auto"/>
            </w:tcBorders>
            <w:shd w:val="clear" w:color="auto" w:fill="auto"/>
            <w:vAlign w:val="center"/>
          </w:tcPr>
          <w:p w14:paraId="084BF65C" w14:textId="77777777" w:rsidR="00DD78EC" w:rsidRPr="00E77DAA" w:rsidRDefault="00DD78EC" w:rsidP="0017405F">
            <w:pPr>
              <w:jc w:val="cente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Urban at 2.6 GHZ with 11 PRBs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6536E6BC" w14:textId="77777777" w:rsidR="00DD78EC" w:rsidRPr="00E77DAA" w:rsidRDefault="00DD78EC" w:rsidP="0017405F">
            <w:pP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063EA6CC"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2C919430"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67EEB221"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tcPr>
          <w:p w14:paraId="4B347AC6"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r>
      <w:tr w:rsidR="00DD78EC" w14:paraId="1E1FAD11" w14:textId="77777777" w:rsidTr="00DD78EC">
        <w:tc>
          <w:tcPr>
            <w:tcW w:w="1145" w:type="dxa"/>
            <w:vMerge/>
            <w:tcBorders>
              <w:top w:val="single" w:sz="6" w:space="0" w:color="auto"/>
              <w:left w:val="thickThinMediumGap" w:sz="8" w:space="0" w:color="auto"/>
              <w:bottom w:val="thinThickMediumGap" w:sz="8" w:space="0" w:color="auto"/>
              <w:right w:val="single" w:sz="6" w:space="0" w:color="auto"/>
            </w:tcBorders>
            <w:shd w:val="clear" w:color="auto" w:fill="auto"/>
          </w:tcPr>
          <w:p w14:paraId="1855E11D" w14:textId="77777777" w:rsidR="00DD78EC" w:rsidRPr="00E77DAA" w:rsidRDefault="00DD78EC" w:rsidP="0017405F">
            <w:pPr>
              <w:rPr>
                <w:rFonts w:ascii="Times New Roman" w:eastAsia="Microsoft YaHei UI" w:hAnsi="Times New Roman" w:cs="Times New Roman"/>
                <w:b/>
                <w:bCs/>
                <w:color w:val="000000"/>
                <w:sz w:val="20"/>
                <w:szCs w:val="20"/>
                <w:lang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31A9D620" w14:textId="77777777" w:rsidR="00DD78EC" w:rsidRPr="00E77DAA" w:rsidRDefault="00DD78EC" w:rsidP="0017405F">
            <w:pP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B885321"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PDCCH CSS w/ AL2 (&lt;1dB)</w:t>
            </w:r>
          </w:p>
          <w:p w14:paraId="17E9FA19"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lastRenderedPageBreak/>
              <w:t>SIB1(&lt;1dB)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062C5426"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lastRenderedPageBreak/>
              <w:t>PDCCH CSS w/ AL2 (&lt;1dB)</w:t>
            </w:r>
          </w:p>
          <w:p w14:paraId="6DA4D8B8"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lastRenderedPageBreak/>
              <w:t>SIB1(&lt;1dB)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681AFD68"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lastRenderedPageBreak/>
              <w:t>SIB1(&lt;1dB)</w:t>
            </w:r>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tcPr>
          <w:p w14:paraId="6E7874A4"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SIB1(&lt;1dB)</w:t>
            </w:r>
          </w:p>
        </w:tc>
      </w:tr>
      <w:tr w:rsidR="00DD78EC" w14:paraId="1A7F60D0" w14:textId="77777777" w:rsidTr="00DD78EC">
        <w:tc>
          <w:tcPr>
            <w:tcW w:w="1145" w:type="dxa"/>
            <w:vMerge w:val="restart"/>
            <w:tcBorders>
              <w:top w:val="thinThickMediumGap" w:sz="8" w:space="0" w:color="auto"/>
              <w:left w:val="thinThickMediumGap" w:sz="8" w:space="0" w:color="auto"/>
              <w:bottom w:val="single" w:sz="6" w:space="0" w:color="auto"/>
              <w:right w:val="single" w:sz="6" w:space="0" w:color="auto"/>
            </w:tcBorders>
            <w:shd w:val="clear" w:color="auto" w:fill="auto"/>
            <w:vAlign w:val="center"/>
          </w:tcPr>
          <w:p w14:paraId="403F37D2" w14:textId="77777777" w:rsidR="00DD78EC" w:rsidRPr="00E77DAA" w:rsidRDefault="00DD78EC" w:rsidP="0017405F">
            <w:pPr>
              <w:jc w:val="cente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Urban at 2.6 GHZ with 12 PRBs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544D5A8A" w14:textId="77777777" w:rsidR="00DD78EC" w:rsidRPr="00E77DAA" w:rsidRDefault="00DD78EC" w:rsidP="0017405F">
            <w:pP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36974583"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64528336"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4C80998A"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tcPr>
          <w:p w14:paraId="7C8F24B0"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r>
      <w:tr w:rsidR="00DD78EC" w14:paraId="78170471" w14:textId="77777777" w:rsidTr="00DD78EC">
        <w:tc>
          <w:tcPr>
            <w:tcW w:w="1145" w:type="dxa"/>
            <w:vMerge/>
            <w:tcBorders>
              <w:top w:val="single" w:sz="6" w:space="0" w:color="auto"/>
              <w:left w:val="thinThickMediumGap" w:sz="8" w:space="0" w:color="auto"/>
              <w:bottom w:val="thickThinMediumGap" w:sz="8" w:space="0" w:color="auto"/>
              <w:right w:val="single" w:sz="6" w:space="0" w:color="auto"/>
            </w:tcBorders>
            <w:shd w:val="clear" w:color="auto" w:fill="auto"/>
          </w:tcPr>
          <w:p w14:paraId="23B1BC31" w14:textId="77777777" w:rsidR="00DD78EC" w:rsidRPr="00E77DAA" w:rsidRDefault="00DD78EC" w:rsidP="0017405F">
            <w:pPr>
              <w:rPr>
                <w:rFonts w:ascii="Times New Roman" w:eastAsia="Microsoft YaHei UI" w:hAnsi="Times New Roman" w:cs="Times New Roman"/>
                <w:b/>
                <w:bCs/>
                <w:color w:val="000000"/>
                <w:sz w:val="20"/>
                <w:szCs w:val="20"/>
                <w:lang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748D7937" w14:textId="77777777" w:rsidR="00DD78EC" w:rsidRPr="00E77DAA" w:rsidRDefault="00DD78EC" w:rsidP="0017405F">
            <w:pP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727035E1"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55CFDF2A"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22B133CA"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tcPr>
          <w:p w14:paraId="031C8495"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r>
      <w:tr w:rsidR="00DD78EC" w14:paraId="2039DA3C" w14:textId="77777777" w:rsidTr="00DD78EC">
        <w:tc>
          <w:tcPr>
            <w:tcW w:w="1145" w:type="dxa"/>
            <w:vMerge w:val="restart"/>
            <w:tcBorders>
              <w:top w:val="thickThinMediumGap" w:sz="8" w:space="0" w:color="auto"/>
              <w:left w:val="thickThinMediumGap" w:sz="8" w:space="0" w:color="auto"/>
              <w:bottom w:val="single" w:sz="6" w:space="0" w:color="auto"/>
              <w:right w:val="single" w:sz="6" w:space="0" w:color="auto"/>
            </w:tcBorders>
            <w:shd w:val="clear" w:color="auto" w:fill="auto"/>
            <w:vAlign w:val="center"/>
          </w:tcPr>
          <w:p w14:paraId="26126BB9" w14:textId="77777777" w:rsidR="00DD78EC" w:rsidRPr="00E77DAA" w:rsidRDefault="00DD78EC" w:rsidP="0017405F">
            <w:pPr>
              <w:jc w:val="cente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Rural at 0.7 GHz</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2BBB6EC0" w14:textId="77777777" w:rsidR="00DD78EC" w:rsidRPr="00E77DAA" w:rsidRDefault="00DD78EC" w:rsidP="0017405F">
            <w:pP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0948DB9"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6E0DC11B"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20B60CEA"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tcPr>
          <w:p w14:paraId="031A3A43"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r>
      <w:tr w:rsidR="00DD78EC" w14:paraId="4B74D923" w14:textId="77777777" w:rsidTr="00DD78EC">
        <w:tc>
          <w:tcPr>
            <w:tcW w:w="1145" w:type="dxa"/>
            <w:vMerge/>
            <w:tcBorders>
              <w:top w:val="single" w:sz="6" w:space="0" w:color="auto"/>
              <w:left w:val="thickThinMediumGap" w:sz="8" w:space="0" w:color="auto"/>
              <w:bottom w:val="thinThickMediumGap" w:sz="8" w:space="0" w:color="auto"/>
              <w:right w:val="single" w:sz="6" w:space="0" w:color="auto"/>
            </w:tcBorders>
            <w:shd w:val="clear" w:color="auto" w:fill="auto"/>
          </w:tcPr>
          <w:p w14:paraId="6675E49F" w14:textId="77777777" w:rsidR="00DD78EC" w:rsidRPr="00E77DAA" w:rsidRDefault="00DD78EC" w:rsidP="0017405F">
            <w:pPr>
              <w:rPr>
                <w:rFonts w:ascii="Times New Roman" w:eastAsia="Microsoft YaHei UI" w:hAnsi="Times New Roman" w:cs="Times New Roman"/>
                <w:b/>
                <w:bCs/>
                <w:color w:val="000000"/>
                <w:sz w:val="20"/>
                <w:szCs w:val="20"/>
                <w:lang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3D09AC7" w14:textId="77777777" w:rsidR="00DD78EC" w:rsidRPr="00E77DAA" w:rsidRDefault="00DD78EC" w:rsidP="0017405F">
            <w:pP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04CE972B"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Msg3 (&lt;0.1dB)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0489FC0E"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Msg3 (&lt;0.1dB)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3C9757BD"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tcPr>
          <w:p w14:paraId="150DBF69" w14:textId="77777777" w:rsidR="00DD78EC" w:rsidRPr="00E77DAA" w:rsidRDefault="00DD78EC" w:rsidP="0017405F">
            <w:pPr>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None</w:t>
            </w:r>
          </w:p>
        </w:tc>
      </w:tr>
      <w:tr w:rsidR="00DD78EC" w14:paraId="58B24149" w14:textId="77777777" w:rsidTr="00DD78EC">
        <w:tc>
          <w:tcPr>
            <w:tcW w:w="1145" w:type="dxa"/>
            <w:vMerge w:val="restart"/>
            <w:tcBorders>
              <w:top w:val="thinThickMediumGap" w:sz="8" w:space="0" w:color="auto"/>
              <w:left w:val="thinThickMediumGap" w:sz="8" w:space="0" w:color="auto"/>
              <w:bottom w:val="single" w:sz="6" w:space="0" w:color="auto"/>
              <w:right w:val="single" w:sz="6" w:space="0" w:color="auto"/>
            </w:tcBorders>
            <w:shd w:val="clear" w:color="auto" w:fill="auto"/>
            <w:vAlign w:val="center"/>
          </w:tcPr>
          <w:p w14:paraId="5CBB042E" w14:textId="77777777" w:rsidR="00DD78EC" w:rsidRPr="00E77DAA" w:rsidRDefault="00DD78EC" w:rsidP="0017405F">
            <w:pPr>
              <w:jc w:val="cente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Urban at 4 GHz with 11 PRBs and DL PSD of 24dBm/MHz</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0D9C4B34" w14:textId="77777777" w:rsidR="00DD78EC" w:rsidRPr="00E77DAA" w:rsidRDefault="00DD78EC" w:rsidP="0017405F">
            <w:pP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3FFDD259"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PDCCH CSS (w/ AL16, AL8 and AL2)</w:t>
            </w:r>
          </w:p>
          <w:p w14:paraId="077B6C9D"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PDCCH USS with AL2</w:t>
            </w:r>
          </w:p>
          <w:p w14:paraId="25027311"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SIB1</w:t>
            </w:r>
          </w:p>
          <w:p w14:paraId="6A051735"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Msg4</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605849C2"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PDCCH CSS (w/ AL16, AL8 and AL2)</w:t>
            </w:r>
          </w:p>
          <w:p w14:paraId="36127AD5"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PDCCH USS with AL2</w:t>
            </w:r>
          </w:p>
          <w:p w14:paraId="7DFF11AB"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SIB1</w:t>
            </w:r>
          </w:p>
          <w:p w14:paraId="3D55DA96"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Msg4</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21AF83F0"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SIB1</w:t>
            </w:r>
          </w:p>
          <w:p w14:paraId="656540B0"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Msg4</w:t>
            </w:r>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tcPr>
          <w:p w14:paraId="786F8A1C"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SIB1</w:t>
            </w:r>
          </w:p>
          <w:p w14:paraId="6A123CC5" w14:textId="77777777" w:rsidR="00DD78EC" w:rsidRPr="00E77DAA" w:rsidRDefault="00DD78EC" w:rsidP="00DD78EC">
            <w:pPr>
              <w:pStyle w:val="ListParagraph"/>
              <w:numPr>
                <w:ilvl w:val="0"/>
                <w:numId w:val="17"/>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Msg4</w:t>
            </w:r>
          </w:p>
        </w:tc>
      </w:tr>
      <w:tr w:rsidR="00DD78EC" w14:paraId="2FA18F61" w14:textId="77777777" w:rsidTr="00DD78EC">
        <w:tc>
          <w:tcPr>
            <w:tcW w:w="1145" w:type="dxa"/>
            <w:vMerge/>
            <w:tcBorders>
              <w:top w:val="single" w:sz="6" w:space="0" w:color="auto"/>
              <w:left w:val="thinThickMediumGap" w:sz="8" w:space="0" w:color="auto"/>
              <w:bottom w:val="thickThinMediumGap" w:sz="8" w:space="0" w:color="auto"/>
              <w:right w:val="single" w:sz="6" w:space="0" w:color="auto"/>
            </w:tcBorders>
            <w:shd w:val="clear" w:color="auto" w:fill="auto"/>
          </w:tcPr>
          <w:p w14:paraId="497F60B1" w14:textId="77777777" w:rsidR="00DD78EC" w:rsidRPr="00E77DAA" w:rsidRDefault="00DD78EC" w:rsidP="0017405F">
            <w:pPr>
              <w:rPr>
                <w:rFonts w:ascii="Times New Roman" w:eastAsia="Microsoft YaHei UI" w:hAnsi="Times New Roman" w:cs="Times New Roman"/>
                <w:b/>
                <w:bCs/>
                <w:color w:val="000000"/>
                <w:sz w:val="20"/>
                <w:szCs w:val="20"/>
                <w:lang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36AD319B" w14:textId="77777777" w:rsidR="00DD78EC" w:rsidRPr="00E77DAA" w:rsidRDefault="00DD78EC" w:rsidP="0017405F">
            <w:pPr>
              <w:rPr>
                <w:rFonts w:ascii="Times New Roman" w:eastAsia="Microsoft YaHei UI" w:hAnsi="Times New Roman" w:cs="Times New Roman"/>
                <w:b/>
                <w:bCs/>
                <w:color w:val="000000"/>
                <w:sz w:val="20"/>
                <w:szCs w:val="20"/>
                <w:lang w:eastAsia="zh-CN"/>
              </w:rPr>
            </w:pPr>
            <w:r w:rsidRPr="00E77DAA">
              <w:rPr>
                <w:rFonts w:ascii="Times New Roman" w:eastAsia="Microsoft YaHei UI" w:hAnsi="Times New Roman" w:cs="Times New Roman"/>
                <w:b/>
                <w:bCs/>
                <w:color w:val="000000"/>
                <w:sz w:val="20"/>
                <w:szCs w:val="20"/>
                <w:lang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2D54CFD7"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PBCH</w:t>
            </w:r>
          </w:p>
          <w:p w14:paraId="29B63E5A"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PDCCH CSS</w:t>
            </w:r>
          </w:p>
          <w:p w14:paraId="4F82D4F7"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PDCCH USS</w:t>
            </w:r>
          </w:p>
          <w:p w14:paraId="6930F280"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SIB1</w:t>
            </w:r>
          </w:p>
          <w:p w14:paraId="15D4127C"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Msg2</w:t>
            </w:r>
          </w:p>
          <w:p w14:paraId="03D5EDCD"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Msg4</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41108147"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PBCH</w:t>
            </w:r>
          </w:p>
          <w:p w14:paraId="313C564A"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PDCCH CSS</w:t>
            </w:r>
          </w:p>
          <w:p w14:paraId="72C71206"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PDCCH USS</w:t>
            </w:r>
          </w:p>
          <w:p w14:paraId="5A0B5269"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SIB1</w:t>
            </w:r>
          </w:p>
          <w:p w14:paraId="7F656513"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Msg2</w:t>
            </w:r>
          </w:p>
          <w:p w14:paraId="6FE38F6C"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Msg4</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08021674"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SIB1</w:t>
            </w:r>
          </w:p>
          <w:p w14:paraId="53240920"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Msg2</w:t>
            </w:r>
          </w:p>
          <w:p w14:paraId="287EF82D"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Msg4</w:t>
            </w:r>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tcPr>
          <w:p w14:paraId="2A03B13D"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SIB1</w:t>
            </w:r>
          </w:p>
          <w:p w14:paraId="6AB3314C"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Msg2</w:t>
            </w:r>
          </w:p>
          <w:p w14:paraId="77771D07" w14:textId="77777777" w:rsidR="00DD78EC" w:rsidRPr="00E77DAA" w:rsidRDefault="00DD78EC" w:rsidP="00DD78EC">
            <w:pPr>
              <w:pStyle w:val="ListParagraph"/>
              <w:numPr>
                <w:ilvl w:val="0"/>
                <w:numId w:val="18"/>
              </w:numPr>
              <w:spacing w:after="180" w:line="252" w:lineRule="auto"/>
              <w:rPr>
                <w:rFonts w:ascii="Times New Roman" w:eastAsia="Microsoft YaHei UI" w:hAnsi="Times New Roman" w:cs="Times New Roman"/>
                <w:color w:val="000000"/>
                <w:sz w:val="20"/>
                <w:szCs w:val="20"/>
                <w:lang w:eastAsia="zh-CN"/>
              </w:rPr>
            </w:pPr>
            <w:r w:rsidRPr="00E77DAA">
              <w:rPr>
                <w:rFonts w:ascii="Times New Roman" w:eastAsia="Microsoft YaHei UI" w:hAnsi="Times New Roman" w:cs="Times New Roman"/>
                <w:color w:val="000000"/>
                <w:sz w:val="20"/>
                <w:szCs w:val="20"/>
                <w:lang w:eastAsia="zh-CN"/>
              </w:rPr>
              <w:t>Msg4</w:t>
            </w:r>
          </w:p>
        </w:tc>
      </w:tr>
      <w:bookmarkEnd w:id="11"/>
    </w:tbl>
    <w:p w14:paraId="69818AED" w14:textId="77777777" w:rsidR="00D56375" w:rsidRPr="00436598" w:rsidRDefault="00D56375" w:rsidP="00DD78EC">
      <w:pPr>
        <w:tabs>
          <w:tab w:val="left" w:pos="360"/>
        </w:tabs>
        <w:spacing w:after="120"/>
        <w:jc w:val="center"/>
        <w:rPr>
          <w:rFonts w:ascii="Times New Roman" w:eastAsia="MS Mincho" w:hAnsi="Times New Roman" w:cs="Times New Roman"/>
          <w:sz w:val="20"/>
          <w:szCs w:val="20"/>
          <w:lang w:eastAsia="ja-JP"/>
        </w:rPr>
      </w:pPr>
    </w:p>
    <w:sectPr w:rsidR="00D56375" w:rsidRPr="00436598"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14816" w14:textId="77777777" w:rsidR="00AD014B" w:rsidRDefault="00AD014B">
      <w:r>
        <w:separator/>
      </w:r>
    </w:p>
  </w:endnote>
  <w:endnote w:type="continuationSeparator" w:id="0">
    <w:p w14:paraId="007F0605" w14:textId="77777777" w:rsidR="00AD014B" w:rsidRDefault="00AD014B">
      <w:r>
        <w:continuationSeparator/>
      </w:r>
    </w:p>
  </w:endnote>
  <w:endnote w:type="continuationNotice" w:id="1">
    <w:p w14:paraId="146A1E16" w14:textId="77777777" w:rsidR="00AD014B" w:rsidRDefault="00AD01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5CC38" w14:textId="77777777" w:rsidR="00AD014B" w:rsidRDefault="00AD014B">
      <w:r>
        <w:separator/>
      </w:r>
    </w:p>
  </w:footnote>
  <w:footnote w:type="continuationSeparator" w:id="0">
    <w:p w14:paraId="22039D51" w14:textId="77777777" w:rsidR="00AD014B" w:rsidRDefault="00AD014B">
      <w:r>
        <w:continuationSeparator/>
      </w:r>
    </w:p>
  </w:footnote>
  <w:footnote w:type="continuationNotice" w:id="1">
    <w:p w14:paraId="27C67AED" w14:textId="77777777" w:rsidR="00AD014B" w:rsidRDefault="00AD01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F4BC9"/>
    <w:multiLevelType w:val="hybridMultilevel"/>
    <w:tmpl w:val="2C00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F93B97"/>
    <w:multiLevelType w:val="hybridMultilevel"/>
    <w:tmpl w:val="A816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660DE8"/>
    <w:multiLevelType w:val="multilevel"/>
    <w:tmpl w:val="8196F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4"/>
  </w:num>
  <w:num w:numId="3">
    <w:abstractNumId w:val="7"/>
  </w:num>
  <w:num w:numId="4">
    <w:abstractNumId w:val="10"/>
  </w:num>
  <w:num w:numId="5">
    <w:abstractNumId w:val="17"/>
  </w:num>
  <w:num w:numId="6">
    <w:abstractNumId w:val="11"/>
  </w:num>
  <w:num w:numId="7">
    <w:abstractNumId w:val="9"/>
  </w:num>
  <w:num w:numId="8">
    <w:abstractNumId w:val="3"/>
  </w:num>
  <w:num w:numId="9">
    <w:abstractNumId w:val="15"/>
  </w:num>
  <w:num w:numId="10">
    <w:abstractNumId w:val="8"/>
  </w:num>
  <w:num w:numId="11">
    <w:abstractNumId w:val="16"/>
  </w:num>
  <w:num w:numId="12">
    <w:abstractNumId w:val="5"/>
  </w:num>
  <w:num w:numId="13">
    <w:abstractNumId w:val="2"/>
  </w:num>
  <w:num w:numId="14">
    <w:abstractNumId w:val="13"/>
  </w:num>
  <w:num w:numId="15">
    <w:abstractNumId w:val="12"/>
  </w:num>
  <w:num w:numId="16">
    <w:abstractNumId w:val="6"/>
  </w:num>
  <w:num w:numId="17">
    <w:abstractNumId w:val="14"/>
  </w:num>
  <w:num w:numId="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1133"/>
    <w:rsid w:val="0000141D"/>
    <w:rsid w:val="00001C08"/>
    <w:rsid w:val="00001E4D"/>
    <w:rsid w:val="0000251A"/>
    <w:rsid w:val="00003243"/>
    <w:rsid w:val="000032D6"/>
    <w:rsid w:val="00003811"/>
    <w:rsid w:val="00003E4F"/>
    <w:rsid w:val="0000494E"/>
    <w:rsid w:val="00004AD6"/>
    <w:rsid w:val="000068C6"/>
    <w:rsid w:val="00006A46"/>
    <w:rsid w:val="00006BB1"/>
    <w:rsid w:val="00006DE9"/>
    <w:rsid w:val="00007430"/>
    <w:rsid w:val="000074C4"/>
    <w:rsid w:val="00007649"/>
    <w:rsid w:val="00007943"/>
    <w:rsid w:val="00010112"/>
    <w:rsid w:val="00011212"/>
    <w:rsid w:val="0001170C"/>
    <w:rsid w:val="00011766"/>
    <w:rsid w:val="00011C5F"/>
    <w:rsid w:val="0001245C"/>
    <w:rsid w:val="000124F1"/>
    <w:rsid w:val="00012886"/>
    <w:rsid w:val="00012ECB"/>
    <w:rsid w:val="0001350A"/>
    <w:rsid w:val="00013FF2"/>
    <w:rsid w:val="00014390"/>
    <w:rsid w:val="000144F8"/>
    <w:rsid w:val="00014945"/>
    <w:rsid w:val="00014A49"/>
    <w:rsid w:val="00014A77"/>
    <w:rsid w:val="00015842"/>
    <w:rsid w:val="00015BFE"/>
    <w:rsid w:val="0001644E"/>
    <w:rsid w:val="000166E2"/>
    <w:rsid w:val="000169E5"/>
    <w:rsid w:val="00016AA0"/>
    <w:rsid w:val="00016D5F"/>
    <w:rsid w:val="00016FAC"/>
    <w:rsid w:val="0001715F"/>
    <w:rsid w:val="00017291"/>
    <w:rsid w:val="0001745A"/>
    <w:rsid w:val="0001756A"/>
    <w:rsid w:val="00017E2E"/>
    <w:rsid w:val="00017EDA"/>
    <w:rsid w:val="0002059E"/>
    <w:rsid w:val="0002060E"/>
    <w:rsid w:val="0002075B"/>
    <w:rsid w:val="00020935"/>
    <w:rsid w:val="000218DB"/>
    <w:rsid w:val="00021942"/>
    <w:rsid w:val="00021990"/>
    <w:rsid w:val="00021D44"/>
    <w:rsid w:val="00021ECE"/>
    <w:rsid w:val="0002264D"/>
    <w:rsid w:val="00022660"/>
    <w:rsid w:val="00022668"/>
    <w:rsid w:val="00022790"/>
    <w:rsid w:val="00022C9F"/>
    <w:rsid w:val="00022EE7"/>
    <w:rsid w:val="00023DCF"/>
    <w:rsid w:val="00023F7A"/>
    <w:rsid w:val="00024176"/>
    <w:rsid w:val="00024236"/>
    <w:rsid w:val="000244C6"/>
    <w:rsid w:val="00024793"/>
    <w:rsid w:val="00024B53"/>
    <w:rsid w:val="00025B5C"/>
    <w:rsid w:val="00025C24"/>
    <w:rsid w:val="00025C93"/>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ABF"/>
    <w:rsid w:val="00030DDF"/>
    <w:rsid w:val="00031D20"/>
    <w:rsid w:val="00031DD7"/>
    <w:rsid w:val="00032523"/>
    <w:rsid w:val="000326EB"/>
    <w:rsid w:val="00032A4D"/>
    <w:rsid w:val="00032AFE"/>
    <w:rsid w:val="00032D9B"/>
    <w:rsid w:val="000332A2"/>
    <w:rsid w:val="000332E5"/>
    <w:rsid w:val="00034373"/>
    <w:rsid w:val="00034617"/>
    <w:rsid w:val="0003525C"/>
    <w:rsid w:val="00036368"/>
    <w:rsid w:val="00036A4E"/>
    <w:rsid w:val="00036D05"/>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415B"/>
    <w:rsid w:val="00045F6E"/>
    <w:rsid w:val="00045FC2"/>
    <w:rsid w:val="000461E3"/>
    <w:rsid w:val="0004647B"/>
    <w:rsid w:val="000468BE"/>
    <w:rsid w:val="00046A1B"/>
    <w:rsid w:val="00046A41"/>
    <w:rsid w:val="00047534"/>
    <w:rsid w:val="00047AD1"/>
    <w:rsid w:val="00047BA3"/>
    <w:rsid w:val="00047FC3"/>
    <w:rsid w:val="00050107"/>
    <w:rsid w:val="0005018D"/>
    <w:rsid w:val="000501E7"/>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601"/>
    <w:rsid w:val="00053AD8"/>
    <w:rsid w:val="00053F4F"/>
    <w:rsid w:val="00054376"/>
    <w:rsid w:val="00054BF9"/>
    <w:rsid w:val="00054FA3"/>
    <w:rsid w:val="00055403"/>
    <w:rsid w:val="00055CB2"/>
    <w:rsid w:val="000563CB"/>
    <w:rsid w:val="00056544"/>
    <w:rsid w:val="00056613"/>
    <w:rsid w:val="00056B48"/>
    <w:rsid w:val="00056DB4"/>
    <w:rsid w:val="00056F94"/>
    <w:rsid w:val="000570A5"/>
    <w:rsid w:val="000570F0"/>
    <w:rsid w:val="00060297"/>
    <w:rsid w:val="00060647"/>
    <w:rsid w:val="0006099A"/>
    <w:rsid w:val="00060EAB"/>
    <w:rsid w:val="00061299"/>
    <w:rsid w:val="000620EF"/>
    <w:rsid w:val="00062517"/>
    <w:rsid w:val="00062648"/>
    <w:rsid w:val="00062804"/>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924"/>
    <w:rsid w:val="00070723"/>
    <w:rsid w:val="00070806"/>
    <w:rsid w:val="00070B74"/>
    <w:rsid w:val="00072276"/>
    <w:rsid w:val="00072705"/>
    <w:rsid w:val="00072FD4"/>
    <w:rsid w:val="00072FFC"/>
    <w:rsid w:val="0007339A"/>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D9D"/>
    <w:rsid w:val="00080E89"/>
    <w:rsid w:val="00080F4F"/>
    <w:rsid w:val="00081171"/>
    <w:rsid w:val="000813FB"/>
    <w:rsid w:val="00081409"/>
    <w:rsid w:val="00081BEE"/>
    <w:rsid w:val="00082438"/>
    <w:rsid w:val="0008247E"/>
    <w:rsid w:val="000827F8"/>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A56"/>
    <w:rsid w:val="000932E8"/>
    <w:rsid w:val="00093520"/>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356B"/>
    <w:rsid w:val="000A3803"/>
    <w:rsid w:val="000A3AD1"/>
    <w:rsid w:val="000A3D29"/>
    <w:rsid w:val="000A46A6"/>
    <w:rsid w:val="000A47E2"/>
    <w:rsid w:val="000A4BC9"/>
    <w:rsid w:val="000A4D7C"/>
    <w:rsid w:val="000A5593"/>
    <w:rsid w:val="000A5721"/>
    <w:rsid w:val="000A609E"/>
    <w:rsid w:val="000A6A09"/>
    <w:rsid w:val="000A6A0B"/>
    <w:rsid w:val="000A6CC2"/>
    <w:rsid w:val="000A7027"/>
    <w:rsid w:val="000A78B8"/>
    <w:rsid w:val="000A7939"/>
    <w:rsid w:val="000A7A0E"/>
    <w:rsid w:val="000A7AB0"/>
    <w:rsid w:val="000B0141"/>
    <w:rsid w:val="000B0884"/>
    <w:rsid w:val="000B13C6"/>
    <w:rsid w:val="000B18BD"/>
    <w:rsid w:val="000B1B3D"/>
    <w:rsid w:val="000B1EBE"/>
    <w:rsid w:val="000B1EEC"/>
    <w:rsid w:val="000B223B"/>
    <w:rsid w:val="000B266F"/>
    <w:rsid w:val="000B2D84"/>
    <w:rsid w:val="000B3798"/>
    <w:rsid w:val="000B39D7"/>
    <w:rsid w:val="000B3A5C"/>
    <w:rsid w:val="000B3D42"/>
    <w:rsid w:val="000B3F94"/>
    <w:rsid w:val="000B47DA"/>
    <w:rsid w:val="000B5282"/>
    <w:rsid w:val="000B5875"/>
    <w:rsid w:val="000B5F92"/>
    <w:rsid w:val="000B64B0"/>
    <w:rsid w:val="000B64E9"/>
    <w:rsid w:val="000B64FA"/>
    <w:rsid w:val="000B674F"/>
    <w:rsid w:val="000B696E"/>
    <w:rsid w:val="000B6A1C"/>
    <w:rsid w:val="000B6C7C"/>
    <w:rsid w:val="000B7063"/>
    <w:rsid w:val="000B766E"/>
    <w:rsid w:val="000B7FC9"/>
    <w:rsid w:val="000B7FDB"/>
    <w:rsid w:val="000C0167"/>
    <w:rsid w:val="000C09E8"/>
    <w:rsid w:val="000C0E65"/>
    <w:rsid w:val="000C1666"/>
    <w:rsid w:val="000C1CC9"/>
    <w:rsid w:val="000C27AA"/>
    <w:rsid w:val="000C28AD"/>
    <w:rsid w:val="000C28E7"/>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D48"/>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79"/>
    <w:rsid w:val="000D59C5"/>
    <w:rsid w:val="000D660B"/>
    <w:rsid w:val="000D6C15"/>
    <w:rsid w:val="000D6D22"/>
    <w:rsid w:val="000D7378"/>
    <w:rsid w:val="000D7668"/>
    <w:rsid w:val="000D775F"/>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1FD"/>
    <w:rsid w:val="000F12DA"/>
    <w:rsid w:val="000F19F7"/>
    <w:rsid w:val="000F2176"/>
    <w:rsid w:val="000F228C"/>
    <w:rsid w:val="000F2D63"/>
    <w:rsid w:val="000F2E8C"/>
    <w:rsid w:val="000F2F1F"/>
    <w:rsid w:val="000F30F4"/>
    <w:rsid w:val="000F328B"/>
    <w:rsid w:val="000F33FB"/>
    <w:rsid w:val="000F3F95"/>
    <w:rsid w:val="000F41B3"/>
    <w:rsid w:val="000F518F"/>
    <w:rsid w:val="000F536B"/>
    <w:rsid w:val="000F5567"/>
    <w:rsid w:val="000F5FB6"/>
    <w:rsid w:val="000F6167"/>
    <w:rsid w:val="000F666C"/>
    <w:rsid w:val="000F66EF"/>
    <w:rsid w:val="000F699D"/>
    <w:rsid w:val="000F7230"/>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2575"/>
    <w:rsid w:val="0011290E"/>
    <w:rsid w:val="0011295E"/>
    <w:rsid w:val="00112CF7"/>
    <w:rsid w:val="001131E2"/>
    <w:rsid w:val="0011394B"/>
    <w:rsid w:val="00113DD0"/>
    <w:rsid w:val="001140EA"/>
    <w:rsid w:val="00114D77"/>
    <w:rsid w:val="00115706"/>
    <w:rsid w:val="00115C80"/>
    <w:rsid w:val="00115EB2"/>
    <w:rsid w:val="0011601E"/>
    <w:rsid w:val="00116EFD"/>
    <w:rsid w:val="001174A6"/>
    <w:rsid w:val="00117D52"/>
    <w:rsid w:val="0011D9B8"/>
    <w:rsid w:val="0012005C"/>
    <w:rsid w:val="001202F7"/>
    <w:rsid w:val="0012071B"/>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3A6"/>
    <w:rsid w:val="001267FC"/>
    <w:rsid w:val="00126E18"/>
    <w:rsid w:val="00126F1D"/>
    <w:rsid w:val="00127009"/>
    <w:rsid w:val="0012714F"/>
    <w:rsid w:val="001274A9"/>
    <w:rsid w:val="001274F0"/>
    <w:rsid w:val="00127784"/>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5"/>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2E9"/>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1E5"/>
    <w:rsid w:val="0014328D"/>
    <w:rsid w:val="001432F2"/>
    <w:rsid w:val="00143809"/>
    <w:rsid w:val="00143C99"/>
    <w:rsid w:val="0014493E"/>
    <w:rsid w:val="00144D9D"/>
    <w:rsid w:val="001459C2"/>
    <w:rsid w:val="00146075"/>
    <w:rsid w:val="00146182"/>
    <w:rsid w:val="001462BE"/>
    <w:rsid w:val="00146B84"/>
    <w:rsid w:val="00146D2A"/>
    <w:rsid w:val="00146E04"/>
    <w:rsid w:val="00146F26"/>
    <w:rsid w:val="001470AC"/>
    <w:rsid w:val="00147699"/>
    <w:rsid w:val="00147BB2"/>
    <w:rsid w:val="00147C96"/>
    <w:rsid w:val="00147FEE"/>
    <w:rsid w:val="001500EB"/>
    <w:rsid w:val="00150A20"/>
    <w:rsid w:val="00150B41"/>
    <w:rsid w:val="00151267"/>
    <w:rsid w:val="00151637"/>
    <w:rsid w:val="00151AD5"/>
    <w:rsid w:val="00151C8D"/>
    <w:rsid w:val="001528B9"/>
    <w:rsid w:val="00152BBF"/>
    <w:rsid w:val="00152EC1"/>
    <w:rsid w:val="00153033"/>
    <w:rsid w:val="001532F7"/>
    <w:rsid w:val="00153463"/>
    <w:rsid w:val="0015377D"/>
    <w:rsid w:val="00153AC8"/>
    <w:rsid w:val="001542C7"/>
    <w:rsid w:val="00154391"/>
    <w:rsid w:val="0015464A"/>
    <w:rsid w:val="00154800"/>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73F"/>
    <w:rsid w:val="00162EF9"/>
    <w:rsid w:val="00163BD0"/>
    <w:rsid w:val="00163E5B"/>
    <w:rsid w:val="00163F33"/>
    <w:rsid w:val="001641F1"/>
    <w:rsid w:val="001645E1"/>
    <w:rsid w:val="00164D3B"/>
    <w:rsid w:val="00164E99"/>
    <w:rsid w:val="00165033"/>
    <w:rsid w:val="001651A0"/>
    <w:rsid w:val="0016525C"/>
    <w:rsid w:val="00165491"/>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1C9A"/>
    <w:rsid w:val="0017208D"/>
    <w:rsid w:val="001721C5"/>
    <w:rsid w:val="0017222D"/>
    <w:rsid w:val="001728E6"/>
    <w:rsid w:val="00172F84"/>
    <w:rsid w:val="00173686"/>
    <w:rsid w:val="0017405F"/>
    <w:rsid w:val="00174289"/>
    <w:rsid w:val="0017466B"/>
    <w:rsid w:val="00174D74"/>
    <w:rsid w:val="00174DE8"/>
    <w:rsid w:val="00174EFD"/>
    <w:rsid w:val="0017569B"/>
    <w:rsid w:val="0017674F"/>
    <w:rsid w:val="00176D2D"/>
    <w:rsid w:val="00177664"/>
    <w:rsid w:val="001776BB"/>
    <w:rsid w:val="001779E5"/>
    <w:rsid w:val="001779F1"/>
    <w:rsid w:val="00177E8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8B"/>
    <w:rsid w:val="00183279"/>
    <w:rsid w:val="001834F4"/>
    <w:rsid w:val="00183C4F"/>
    <w:rsid w:val="00183FEC"/>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C95"/>
    <w:rsid w:val="00187D0A"/>
    <w:rsid w:val="00187FE6"/>
    <w:rsid w:val="001900A2"/>
    <w:rsid w:val="001900D2"/>
    <w:rsid w:val="001909F5"/>
    <w:rsid w:val="00191042"/>
    <w:rsid w:val="00191226"/>
    <w:rsid w:val="001913D3"/>
    <w:rsid w:val="001915E3"/>
    <w:rsid w:val="001918FF"/>
    <w:rsid w:val="00191DC6"/>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93F"/>
    <w:rsid w:val="001A2B4E"/>
    <w:rsid w:val="001A2C97"/>
    <w:rsid w:val="001A3290"/>
    <w:rsid w:val="001A4160"/>
    <w:rsid w:val="001A47DB"/>
    <w:rsid w:val="001A4A55"/>
    <w:rsid w:val="001A4BC1"/>
    <w:rsid w:val="001A4D46"/>
    <w:rsid w:val="001A5421"/>
    <w:rsid w:val="001A58D0"/>
    <w:rsid w:val="001A5ACC"/>
    <w:rsid w:val="001A5B26"/>
    <w:rsid w:val="001A5D46"/>
    <w:rsid w:val="001A613C"/>
    <w:rsid w:val="001A668C"/>
    <w:rsid w:val="001A67C5"/>
    <w:rsid w:val="001A691A"/>
    <w:rsid w:val="001A6A25"/>
    <w:rsid w:val="001A6C88"/>
    <w:rsid w:val="001A77F3"/>
    <w:rsid w:val="001A7C85"/>
    <w:rsid w:val="001A7D06"/>
    <w:rsid w:val="001B020B"/>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53E"/>
    <w:rsid w:val="001C0658"/>
    <w:rsid w:val="001C08EF"/>
    <w:rsid w:val="001C0EBF"/>
    <w:rsid w:val="001C145E"/>
    <w:rsid w:val="001C15A6"/>
    <w:rsid w:val="001C1BF0"/>
    <w:rsid w:val="001C1C14"/>
    <w:rsid w:val="001C1E40"/>
    <w:rsid w:val="001C1F43"/>
    <w:rsid w:val="001C207C"/>
    <w:rsid w:val="001C24FC"/>
    <w:rsid w:val="001C25B2"/>
    <w:rsid w:val="001C2AFB"/>
    <w:rsid w:val="001C38A5"/>
    <w:rsid w:val="001C46A1"/>
    <w:rsid w:val="001C4C67"/>
    <w:rsid w:val="001C4CC0"/>
    <w:rsid w:val="001C4D94"/>
    <w:rsid w:val="001C5006"/>
    <w:rsid w:val="001C57BA"/>
    <w:rsid w:val="001C6596"/>
    <w:rsid w:val="001C66C1"/>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25A"/>
    <w:rsid w:val="001D2395"/>
    <w:rsid w:val="001D2ECA"/>
    <w:rsid w:val="001D3B95"/>
    <w:rsid w:val="001D41AD"/>
    <w:rsid w:val="001D4426"/>
    <w:rsid w:val="001D4B20"/>
    <w:rsid w:val="001D4D5C"/>
    <w:rsid w:val="001D4FE3"/>
    <w:rsid w:val="001D5039"/>
    <w:rsid w:val="001D52BE"/>
    <w:rsid w:val="001D6350"/>
    <w:rsid w:val="001D64B9"/>
    <w:rsid w:val="001D69AE"/>
    <w:rsid w:val="001D6C2E"/>
    <w:rsid w:val="001E0242"/>
    <w:rsid w:val="001E0801"/>
    <w:rsid w:val="001E0926"/>
    <w:rsid w:val="001E1406"/>
    <w:rsid w:val="001E2180"/>
    <w:rsid w:val="001E22A3"/>
    <w:rsid w:val="001E2449"/>
    <w:rsid w:val="001E2698"/>
    <w:rsid w:val="001E2A2C"/>
    <w:rsid w:val="001E2BCB"/>
    <w:rsid w:val="001E2E31"/>
    <w:rsid w:val="001E3A1A"/>
    <w:rsid w:val="001E3C32"/>
    <w:rsid w:val="001E4473"/>
    <w:rsid w:val="001E472F"/>
    <w:rsid w:val="001E4748"/>
    <w:rsid w:val="001E4B6E"/>
    <w:rsid w:val="001E5290"/>
    <w:rsid w:val="001E530D"/>
    <w:rsid w:val="001E59C5"/>
    <w:rsid w:val="001E5ED3"/>
    <w:rsid w:val="001E5F13"/>
    <w:rsid w:val="001E64DA"/>
    <w:rsid w:val="001E66F6"/>
    <w:rsid w:val="001E6728"/>
    <w:rsid w:val="001E69D6"/>
    <w:rsid w:val="001E71DF"/>
    <w:rsid w:val="001E7260"/>
    <w:rsid w:val="001E7837"/>
    <w:rsid w:val="001F0156"/>
    <w:rsid w:val="001F02B8"/>
    <w:rsid w:val="001F03C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5019"/>
    <w:rsid w:val="001F53D5"/>
    <w:rsid w:val="001F59C4"/>
    <w:rsid w:val="001F5DE1"/>
    <w:rsid w:val="001F7729"/>
    <w:rsid w:val="001F7A8B"/>
    <w:rsid w:val="00200310"/>
    <w:rsid w:val="002004FC"/>
    <w:rsid w:val="00200870"/>
    <w:rsid w:val="00200CBF"/>
    <w:rsid w:val="002010E5"/>
    <w:rsid w:val="002010EB"/>
    <w:rsid w:val="002012D1"/>
    <w:rsid w:val="00201B56"/>
    <w:rsid w:val="00201BD4"/>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B20"/>
    <w:rsid w:val="00212CAC"/>
    <w:rsid w:val="00212D43"/>
    <w:rsid w:val="002132F4"/>
    <w:rsid w:val="00213395"/>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0ECF"/>
    <w:rsid w:val="00221167"/>
    <w:rsid w:val="00221E9D"/>
    <w:rsid w:val="002223C7"/>
    <w:rsid w:val="002225B2"/>
    <w:rsid w:val="00222857"/>
    <w:rsid w:val="00222A7A"/>
    <w:rsid w:val="00222FDB"/>
    <w:rsid w:val="00223CD6"/>
    <w:rsid w:val="00223E0D"/>
    <w:rsid w:val="002241A7"/>
    <w:rsid w:val="0022436C"/>
    <w:rsid w:val="0022472B"/>
    <w:rsid w:val="00224A2C"/>
    <w:rsid w:val="00224D55"/>
    <w:rsid w:val="00224E54"/>
    <w:rsid w:val="00225164"/>
    <w:rsid w:val="00225413"/>
    <w:rsid w:val="00225BC6"/>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5F2"/>
    <w:rsid w:val="00231BBF"/>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85F"/>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979"/>
    <w:rsid w:val="00241C96"/>
    <w:rsid w:val="0024235A"/>
    <w:rsid w:val="0024267D"/>
    <w:rsid w:val="002426C0"/>
    <w:rsid w:val="002427D6"/>
    <w:rsid w:val="0024330B"/>
    <w:rsid w:val="0024336B"/>
    <w:rsid w:val="00243C6C"/>
    <w:rsid w:val="00243FC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913"/>
    <w:rsid w:val="0024698C"/>
    <w:rsid w:val="00246AB8"/>
    <w:rsid w:val="00246BE2"/>
    <w:rsid w:val="002470A8"/>
    <w:rsid w:val="00247469"/>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69F3"/>
    <w:rsid w:val="00256C14"/>
    <w:rsid w:val="002572CF"/>
    <w:rsid w:val="0025735C"/>
    <w:rsid w:val="00257B07"/>
    <w:rsid w:val="00257DC5"/>
    <w:rsid w:val="002600C2"/>
    <w:rsid w:val="002600D8"/>
    <w:rsid w:val="002600E1"/>
    <w:rsid w:val="002604B1"/>
    <w:rsid w:val="00260831"/>
    <w:rsid w:val="00261328"/>
    <w:rsid w:val="00261352"/>
    <w:rsid w:val="00261709"/>
    <w:rsid w:val="00261AED"/>
    <w:rsid w:val="0026222F"/>
    <w:rsid w:val="0026267F"/>
    <w:rsid w:val="00262891"/>
    <w:rsid w:val="00262AB8"/>
    <w:rsid w:val="0026317B"/>
    <w:rsid w:val="0026318C"/>
    <w:rsid w:val="002634B5"/>
    <w:rsid w:val="002635BC"/>
    <w:rsid w:val="00263A43"/>
    <w:rsid w:val="00263A4C"/>
    <w:rsid w:val="00263C5B"/>
    <w:rsid w:val="0026410F"/>
    <w:rsid w:val="00264263"/>
    <w:rsid w:val="00264DEC"/>
    <w:rsid w:val="00264F55"/>
    <w:rsid w:val="002651C4"/>
    <w:rsid w:val="002651FD"/>
    <w:rsid w:val="00265C0B"/>
    <w:rsid w:val="00265C20"/>
    <w:rsid w:val="00266A78"/>
    <w:rsid w:val="00266D06"/>
    <w:rsid w:val="00266F6D"/>
    <w:rsid w:val="002673F1"/>
    <w:rsid w:val="002674F7"/>
    <w:rsid w:val="00267686"/>
    <w:rsid w:val="00267A49"/>
    <w:rsid w:val="00267B86"/>
    <w:rsid w:val="00267BA9"/>
    <w:rsid w:val="00270317"/>
    <w:rsid w:val="00270901"/>
    <w:rsid w:val="00270C57"/>
    <w:rsid w:val="00270CD2"/>
    <w:rsid w:val="0027103D"/>
    <w:rsid w:val="0027114C"/>
    <w:rsid w:val="0027152B"/>
    <w:rsid w:val="002718B6"/>
    <w:rsid w:val="00271B1C"/>
    <w:rsid w:val="0027223E"/>
    <w:rsid w:val="00272248"/>
    <w:rsid w:val="00272452"/>
    <w:rsid w:val="0027279F"/>
    <w:rsid w:val="00272931"/>
    <w:rsid w:val="00272CD9"/>
    <w:rsid w:val="00273193"/>
    <w:rsid w:val="0027377F"/>
    <w:rsid w:val="0027495E"/>
    <w:rsid w:val="002750D6"/>
    <w:rsid w:val="002750E6"/>
    <w:rsid w:val="00275215"/>
    <w:rsid w:val="00275497"/>
    <w:rsid w:val="00275807"/>
    <w:rsid w:val="0027580F"/>
    <w:rsid w:val="00275DF5"/>
    <w:rsid w:val="00275E03"/>
    <w:rsid w:val="00276108"/>
    <w:rsid w:val="0027617D"/>
    <w:rsid w:val="002763A9"/>
    <w:rsid w:val="00276D4B"/>
    <w:rsid w:val="00276E69"/>
    <w:rsid w:val="00276FDD"/>
    <w:rsid w:val="002774CA"/>
    <w:rsid w:val="002775C7"/>
    <w:rsid w:val="002777B6"/>
    <w:rsid w:val="002777EA"/>
    <w:rsid w:val="00277A80"/>
    <w:rsid w:val="00277C58"/>
    <w:rsid w:val="00277C67"/>
    <w:rsid w:val="00277E7D"/>
    <w:rsid w:val="00280049"/>
    <w:rsid w:val="00280569"/>
    <w:rsid w:val="00280AB4"/>
    <w:rsid w:val="00280F72"/>
    <w:rsid w:val="0028115B"/>
    <w:rsid w:val="00281B66"/>
    <w:rsid w:val="00282903"/>
    <w:rsid w:val="00282A7F"/>
    <w:rsid w:val="00282A81"/>
    <w:rsid w:val="00282B08"/>
    <w:rsid w:val="00283154"/>
    <w:rsid w:val="00283A96"/>
    <w:rsid w:val="00284554"/>
    <w:rsid w:val="00284646"/>
    <w:rsid w:val="00284BEB"/>
    <w:rsid w:val="00284C84"/>
    <w:rsid w:val="00284CF7"/>
    <w:rsid w:val="00284D1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BE8"/>
    <w:rsid w:val="00287C0F"/>
    <w:rsid w:val="0029036F"/>
    <w:rsid w:val="0029060B"/>
    <w:rsid w:val="00291165"/>
    <w:rsid w:val="00291225"/>
    <w:rsid w:val="002914AA"/>
    <w:rsid w:val="00291A09"/>
    <w:rsid w:val="002922A9"/>
    <w:rsid w:val="00292C78"/>
    <w:rsid w:val="00293555"/>
    <w:rsid w:val="00293689"/>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4F4"/>
    <w:rsid w:val="002A4ACE"/>
    <w:rsid w:val="002A4B54"/>
    <w:rsid w:val="002A4F64"/>
    <w:rsid w:val="002A5A5E"/>
    <w:rsid w:val="002A5D87"/>
    <w:rsid w:val="002A72A6"/>
    <w:rsid w:val="002A72B3"/>
    <w:rsid w:val="002A74B4"/>
    <w:rsid w:val="002A78CE"/>
    <w:rsid w:val="002A791C"/>
    <w:rsid w:val="002A799E"/>
    <w:rsid w:val="002A7E30"/>
    <w:rsid w:val="002A7F78"/>
    <w:rsid w:val="002A7FB0"/>
    <w:rsid w:val="002B013C"/>
    <w:rsid w:val="002B02D3"/>
    <w:rsid w:val="002B0562"/>
    <w:rsid w:val="002B132E"/>
    <w:rsid w:val="002B1560"/>
    <w:rsid w:val="002B180F"/>
    <w:rsid w:val="002B21CE"/>
    <w:rsid w:val="002B2593"/>
    <w:rsid w:val="002B2767"/>
    <w:rsid w:val="002B2813"/>
    <w:rsid w:val="002B2D14"/>
    <w:rsid w:val="002B309A"/>
    <w:rsid w:val="002B3667"/>
    <w:rsid w:val="002B5589"/>
    <w:rsid w:val="002B55CD"/>
    <w:rsid w:val="002B5B1D"/>
    <w:rsid w:val="002B6C25"/>
    <w:rsid w:val="002B7249"/>
    <w:rsid w:val="002B7773"/>
    <w:rsid w:val="002C010B"/>
    <w:rsid w:val="002C06B7"/>
    <w:rsid w:val="002C0B10"/>
    <w:rsid w:val="002C139E"/>
    <w:rsid w:val="002C180A"/>
    <w:rsid w:val="002C1C79"/>
    <w:rsid w:val="002C1F53"/>
    <w:rsid w:val="002C27FD"/>
    <w:rsid w:val="002C30A5"/>
    <w:rsid w:val="002C32DB"/>
    <w:rsid w:val="002C344A"/>
    <w:rsid w:val="002C3622"/>
    <w:rsid w:val="002C39FE"/>
    <w:rsid w:val="002C4037"/>
    <w:rsid w:val="002C4117"/>
    <w:rsid w:val="002C4565"/>
    <w:rsid w:val="002C4917"/>
    <w:rsid w:val="002C50F4"/>
    <w:rsid w:val="002C5280"/>
    <w:rsid w:val="002C56CC"/>
    <w:rsid w:val="002C584D"/>
    <w:rsid w:val="002C58DD"/>
    <w:rsid w:val="002C5CB0"/>
    <w:rsid w:val="002C5CF1"/>
    <w:rsid w:val="002C5D11"/>
    <w:rsid w:val="002C68EB"/>
    <w:rsid w:val="002C6E3E"/>
    <w:rsid w:val="002C6F90"/>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116"/>
    <w:rsid w:val="002D4159"/>
    <w:rsid w:val="002D4374"/>
    <w:rsid w:val="002D4437"/>
    <w:rsid w:val="002D5619"/>
    <w:rsid w:val="002D571F"/>
    <w:rsid w:val="002D5C69"/>
    <w:rsid w:val="002D5CAA"/>
    <w:rsid w:val="002D65EF"/>
    <w:rsid w:val="002D6662"/>
    <w:rsid w:val="002D6D5D"/>
    <w:rsid w:val="002D73D0"/>
    <w:rsid w:val="002D78A9"/>
    <w:rsid w:val="002D791A"/>
    <w:rsid w:val="002D7994"/>
    <w:rsid w:val="002E09DD"/>
    <w:rsid w:val="002E0A79"/>
    <w:rsid w:val="002E0B0C"/>
    <w:rsid w:val="002E0BD7"/>
    <w:rsid w:val="002E0E1B"/>
    <w:rsid w:val="002E1308"/>
    <w:rsid w:val="002E1D1D"/>
    <w:rsid w:val="002E1D4F"/>
    <w:rsid w:val="002E1DEE"/>
    <w:rsid w:val="002E23CA"/>
    <w:rsid w:val="002E23D5"/>
    <w:rsid w:val="002E2EE0"/>
    <w:rsid w:val="002E3686"/>
    <w:rsid w:val="002E3A21"/>
    <w:rsid w:val="002E3A3B"/>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07"/>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C00"/>
    <w:rsid w:val="00302D86"/>
    <w:rsid w:val="003035D8"/>
    <w:rsid w:val="00303B0C"/>
    <w:rsid w:val="00303B57"/>
    <w:rsid w:val="00303D53"/>
    <w:rsid w:val="003042FE"/>
    <w:rsid w:val="003045C1"/>
    <w:rsid w:val="00304842"/>
    <w:rsid w:val="003048D7"/>
    <w:rsid w:val="00304E42"/>
    <w:rsid w:val="00304EC7"/>
    <w:rsid w:val="0030565B"/>
    <w:rsid w:val="0030573D"/>
    <w:rsid w:val="00305749"/>
    <w:rsid w:val="003061B5"/>
    <w:rsid w:val="00306569"/>
    <w:rsid w:val="003071F6"/>
    <w:rsid w:val="0030773F"/>
    <w:rsid w:val="00307CEF"/>
    <w:rsid w:val="00307D56"/>
    <w:rsid w:val="003102D0"/>
    <w:rsid w:val="00310463"/>
    <w:rsid w:val="00310827"/>
    <w:rsid w:val="003108E0"/>
    <w:rsid w:val="00310E98"/>
    <w:rsid w:val="0031128C"/>
    <w:rsid w:val="00311594"/>
    <w:rsid w:val="0031164B"/>
    <w:rsid w:val="00311C74"/>
    <w:rsid w:val="0031201D"/>
    <w:rsid w:val="003120F1"/>
    <w:rsid w:val="003123A5"/>
    <w:rsid w:val="00312957"/>
    <w:rsid w:val="00312EA0"/>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30B"/>
    <w:rsid w:val="0031668E"/>
    <w:rsid w:val="003173AF"/>
    <w:rsid w:val="0031771F"/>
    <w:rsid w:val="003179C3"/>
    <w:rsid w:val="00317B74"/>
    <w:rsid w:val="00317BF6"/>
    <w:rsid w:val="00317F18"/>
    <w:rsid w:val="00317F47"/>
    <w:rsid w:val="00320020"/>
    <w:rsid w:val="003206C6"/>
    <w:rsid w:val="00320966"/>
    <w:rsid w:val="00320DCD"/>
    <w:rsid w:val="00320E94"/>
    <w:rsid w:val="0032119C"/>
    <w:rsid w:val="003213B9"/>
    <w:rsid w:val="003217F6"/>
    <w:rsid w:val="003218AF"/>
    <w:rsid w:val="003218F9"/>
    <w:rsid w:val="00321A6B"/>
    <w:rsid w:val="00321C89"/>
    <w:rsid w:val="00321DA2"/>
    <w:rsid w:val="00321E55"/>
    <w:rsid w:val="003221E1"/>
    <w:rsid w:val="0032281B"/>
    <w:rsid w:val="00322C09"/>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5CF"/>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CEA"/>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3A4"/>
    <w:rsid w:val="003465E5"/>
    <w:rsid w:val="00346ADA"/>
    <w:rsid w:val="00346B8E"/>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5C75"/>
    <w:rsid w:val="00366142"/>
    <w:rsid w:val="0036620B"/>
    <w:rsid w:val="003662A0"/>
    <w:rsid w:val="003666FD"/>
    <w:rsid w:val="00366C8C"/>
    <w:rsid w:val="00367319"/>
    <w:rsid w:val="003674FD"/>
    <w:rsid w:val="00367BED"/>
    <w:rsid w:val="00370376"/>
    <w:rsid w:val="003705AC"/>
    <w:rsid w:val="0037074C"/>
    <w:rsid w:val="003708AE"/>
    <w:rsid w:val="003709DA"/>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07F"/>
    <w:rsid w:val="003822A2"/>
    <w:rsid w:val="0038294C"/>
    <w:rsid w:val="00383165"/>
    <w:rsid w:val="00383300"/>
    <w:rsid w:val="00383AEA"/>
    <w:rsid w:val="00383F09"/>
    <w:rsid w:val="003840EA"/>
    <w:rsid w:val="00384DA6"/>
    <w:rsid w:val="0038501D"/>
    <w:rsid w:val="00385095"/>
    <w:rsid w:val="0038521D"/>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42F"/>
    <w:rsid w:val="00395ABF"/>
    <w:rsid w:val="00395E5C"/>
    <w:rsid w:val="00395FD5"/>
    <w:rsid w:val="003963DC"/>
    <w:rsid w:val="003967BB"/>
    <w:rsid w:val="003968D6"/>
    <w:rsid w:val="00397468"/>
    <w:rsid w:val="00397969"/>
    <w:rsid w:val="003A03FE"/>
    <w:rsid w:val="003A10D1"/>
    <w:rsid w:val="003A1D1D"/>
    <w:rsid w:val="003A1D7D"/>
    <w:rsid w:val="003A241E"/>
    <w:rsid w:val="003A2ABF"/>
    <w:rsid w:val="003A2DB1"/>
    <w:rsid w:val="003A3614"/>
    <w:rsid w:val="003A4130"/>
    <w:rsid w:val="003A4649"/>
    <w:rsid w:val="003A498F"/>
    <w:rsid w:val="003A5322"/>
    <w:rsid w:val="003A597F"/>
    <w:rsid w:val="003A5DA9"/>
    <w:rsid w:val="003A5DCC"/>
    <w:rsid w:val="003A5F81"/>
    <w:rsid w:val="003A6088"/>
    <w:rsid w:val="003A6AEA"/>
    <w:rsid w:val="003A6DA3"/>
    <w:rsid w:val="003A705A"/>
    <w:rsid w:val="003A75A0"/>
    <w:rsid w:val="003A75F1"/>
    <w:rsid w:val="003A7966"/>
    <w:rsid w:val="003B030B"/>
    <w:rsid w:val="003B0ABB"/>
    <w:rsid w:val="003B104D"/>
    <w:rsid w:val="003B1161"/>
    <w:rsid w:val="003B1788"/>
    <w:rsid w:val="003B2C90"/>
    <w:rsid w:val="003B2E03"/>
    <w:rsid w:val="003B3179"/>
    <w:rsid w:val="003B3569"/>
    <w:rsid w:val="003B35EC"/>
    <w:rsid w:val="003B35FA"/>
    <w:rsid w:val="003B381F"/>
    <w:rsid w:val="003B4008"/>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4D3"/>
    <w:rsid w:val="003C16F3"/>
    <w:rsid w:val="003C20A5"/>
    <w:rsid w:val="003C23B7"/>
    <w:rsid w:val="003C28D3"/>
    <w:rsid w:val="003C2C35"/>
    <w:rsid w:val="003C2E78"/>
    <w:rsid w:val="003C34F0"/>
    <w:rsid w:val="003C42C7"/>
    <w:rsid w:val="003C4715"/>
    <w:rsid w:val="003C509B"/>
    <w:rsid w:val="003C543F"/>
    <w:rsid w:val="003C594A"/>
    <w:rsid w:val="003C5C0C"/>
    <w:rsid w:val="003C616C"/>
    <w:rsid w:val="003C630F"/>
    <w:rsid w:val="003C64E8"/>
    <w:rsid w:val="003C6CAE"/>
    <w:rsid w:val="003C6DFC"/>
    <w:rsid w:val="003C7796"/>
    <w:rsid w:val="003C7A07"/>
    <w:rsid w:val="003D0304"/>
    <w:rsid w:val="003D04E2"/>
    <w:rsid w:val="003D0CCD"/>
    <w:rsid w:val="003D0E58"/>
    <w:rsid w:val="003D1076"/>
    <w:rsid w:val="003D16D3"/>
    <w:rsid w:val="003D174E"/>
    <w:rsid w:val="003D1853"/>
    <w:rsid w:val="003D1E51"/>
    <w:rsid w:val="003D28B1"/>
    <w:rsid w:val="003D3003"/>
    <w:rsid w:val="003D3615"/>
    <w:rsid w:val="003D3618"/>
    <w:rsid w:val="003D38C8"/>
    <w:rsid w:val="003D3A07"/>
    <w:rsid w:val="003D3B9B"/>
    <w:rsid w:val="003D402B"/>
    <w:rsid w:val="003D4118"/>
    <w:rsid w:val="003D4277"/>
    <w:rsid w:val="003D47C3"/>
    <w:rsid w:val="003D49DA"/>
    <w:rsid w:val="003D4F95"/>
    <w:rsid w:val="003D5092"/>
    <w:rsid w:val="003D5630"/>
    <w:rsid w:val="003D58CF"/>
    <w:rsid w:val="003D5E44"/>
    <w:rsid w:val="003D6008"/>
    <w:rsid w:val="003D657A"/>
    <w:rsid w:val="003D662B"/>
    <w:rsid w:val="003D6976"/>
    <w:rsid w:val="003D6CF6"/>
    <w:rsid w:val="003D73D9"/>
    <w:rsid w:val="003D767C"/>
    <w:rsid w:val="003D76FA"/>
    <w:rsid w:val="003D774E"/>
    <w:rsid w:val="003D782D"/>
    <w:rsid w:val="003E031F"/>
    <w:rsid w:val="003E065B"/>
    <w:rsid w:val="003E0F5A"/>
    <w:rsid w:val="003E17F9"/>
    <w:rsid w:val="003E1ED9"/>
    <w:rsid w:val="003E1FA3"/>
    <w:rsid w:val="003E20E0"/>
    <w:rsid w:val="003E2396"/>
    <w:rsid w:val="003E2A36"/>
    <w:rsid w:val="003E3F38"/>
    <w:rsid w:val="003E41E6"/>
    <w:rsid w:val="003E42DD"/>
    <w:rsid w:val="003E4580"/>
    <w:rsid w:val="003E4B5A"/>
    <w:rsid w:val="003E521B"/>
    <w:rsid w:val="003E5428"/>
    <w:rsid w:val="003E5AD0"/>
    <w:rsid w:val="003E5B0C"/>
    <w:rsid w:val="003E5B29"/>
    <w:rsid w:val="003E5E46"/>
    <w:rsid w:val="003E6282"/>
    <w:rsid w:val="003E6A4B"/>
    <w:rsid w:val="003E6B45"/>
    <w:rsid w:val="003E6D71"/>
    <w:rsid w:val="003E6DAE"/>
    <w:rsid w:val="003E6DB3"/>
    <w:rsid w:val="003E6F97"/>
    <w:rsid w:val="003ED73A"/>
    <w:rsid w:val="003F008D"/>
    <w:rsid w:val="003F020E"/>
    <w:rsid w:val="003F113A"/>
    <w:rsid w:val="003F120E"/>
    <w:rsid w:val="003F1329"/>
    <w:rsid w:val="003F164B"/>
    <w:rsid w:val="003F1A7F"/>
    <w:rsid w:val="003F29CC"/>
    <w:rsid w:val="003F2FF7"/>
    <w:rsid w:val="003F305F"/>
    <w:rsid w:val="003F35DC"/>
    <w:rsid w:val="003F3B26"/>
    <w:rsid w:val="003F3EB7"/>
    <w:rsid w:val="003F43D8"/>
    <w:rsid w:val="003F448D"/>
    <w:rsid w:val="003F45C9"/>
    <w:rsid w:val="003F5391"/>
    <w:rsid w:val="003F5869"/>
    <w:rsid w:val="003F5D59"/>
    <w:rsid w:val="003F5ED0"/>
    <w:rsid w:val="003F636B"/>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4C2"/>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07E03"/>
    <w:rsid w:val="00410094"/>
    <w:rsid w:val="004100F6"/>
    <w:rsid w:val="00410AE7"/>
    <w:rsid w:val="00410EA3"/>
    <w:rsid w:val="0041197A"/>
    <w:rsid w:val="00411AA2"/>
    <w:rsid w:val="00411E0F"/>
    <w:rsid w:val="00411E32"/>
    <w:rsid w:val="00412590"/>
    <w:rsid w:val="0041276E"/>
    <w:rsid w:val="00412895"/>
    <w:rsid w:val="00412A9A"/>
    <w:rsid w:val="00412B6E"/>
    <w:rsid w:val="00412E7E"/>
    <w:rsid w:val="00412F13"/>
    <w:rsid w:val="004132D7"/>
    <w:rsid w:val="004132E2"/>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20377"/>
    <w:rsid w:val="00420786"/>
    <w:rsid w:val="004207A1"/>
    <w:rsid w:val="00420A9A"/>
    <w:rsid w:val="00420B61"/>
    <w:rsid w:val="004210C1"/>
    <w:rsid w:val="0042110F"/>
    <w:rsid w:val="0042126C"/>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CB"/>
    <w:rsid w:val="004231E8"/>
    <w:rsid w:val="004234F9"/>
    <w:rsid w:val="00423AA7"/>
    <w:rsid w:val="004241D0"/>
    <w:rsid w:val="0042457E"/>
    <w:rsid w:val="004247C2"/>
    <w:rsid w:val="00424FA7"/>
    <w:rsid w:val="004255B8"/>
    <w:rsid w:val="004257BB"/>
    <w:rsid w:val="00425AFA"/>
    <w:rsid w:val="00425E33"/>
    <w:rsid w:val="00426580"/>
    <w:rsid w:val="0042677C"/>
    <w:rsid w:val="00426BFA"/>
    <w:rsid w:val="00426DA6"/>
    <w:rsid w:val="0042732D"/>
    <w:rsid w:val="004276AD"/>
    <w:rsid w:val="004276EE"/>
    <w:rsid w:val="004276F1"/>
    <w:rsid w:val="00427AAD"/>
    <w:rsid w:val="00427B5F"/>
    <w:rsid w:val="00427DEA"/>
    <w:rsid w:val="004302FA"/>
    <w:rsid w:val="0043062F"/>
    <w:rsid w:val="00430768"/>
    <w:rsid w:val="00430D56"/>
    <w:rsid w:val="00430ECB"/>
    <w:rsid w:val="0043104A"/>
    <w:rsid w:val="0043119A"/>
    <w:rsid w:val="00431684"/>
    <w:rsid w:val="004320BE"/>
    <w:rsid w:val="00432110"/>
    <w:rsid w:val="00432A2F"/>
    <w:rsid w:val="00432DCF"/>
    <w:rsid w:val="00432F43"/>
    <w:rsid w:val="004330D0"/>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598"/>
    <w:rsid w:val="00436693"/>
    <w:rsid w:val="00436E43"/>
    <w:rsid w:val="00436F01"/>
    <w:rsid w:val="00436F49"/>
    <w:rsid w:val="00436FF6"/>
    <w:rsid w:val="004373A2"/>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908"/>
    <w:rsid w:val="00446BA5"/>
    <w:rsid w:val="00446D15"/>
    <w:rsid w:val="00446DAF"/>
    <w:rsid w:val="00446DC4"/>
    <w:rsid w:val="00447709"/>
    <w:rsid w:val="004477A0"/>
    <w:rsid w:val="004478B9"/>
    <w:rsid w:val="004500B7"/>
    <w:rsid w:val="00450392"/>
    <w:rsid w:val="00451000"/>
    <w:rsid w:val="004512ED"/>
    <w:rsid w:val="0045159A"/>
    <w:rsid w:val="00451F27"/>
    <w:rsid w:val="00452253"/>
    <w:rsid w:val="004523DC"/>
    <w:rsid w:val="00453341"/>
    <w:rsid w:val="004536DD"/>
    <w:rsid w:val="00453F99"/>
    <w:rsid w:val="00454106"/>
    <w:rsid w:val="004541B4"/>
    <w:rsid w:val="00454FAC"/>
    <w:rsid w:val="00455DCB"/>
    <w:rsid w:val="00455F11"/>
    <w:rsid w:val="00455F24"/>
    <w:rsid w:val="004562F1"/>
    <w:rsid w:val="004567B7"/>
    <w:rsid w:val="00456D76"/>
    <w:rsid w:val="00456FAE"/>
    <w:rsid w:val="00457152"/>
    <w:rsid w:val="004576B9"/>
    <w:rsid w:val="004577B8"/>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B13"/>
    <w:rsid w:val="00463DFC"/>
    <w:rsid w:val="004643D3"/>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942"/>
    <w:rsid w:val="004733FF"/>
    <w:rsid w:val="00473D37"/>
    <w:rsid w:val="0047415A"/>
    <w:rsid w:val="004742FA"/>
    <w:rsid w:val="00474CFF"/>
    <w:rsid w:val="00475137"/>
    <w:rsid w:val="00475303"/>
    <w:rsid w:val="0047552A"/>
    <w:rsid w:val="00475614"/>
    <w:rsid w:val="004761B6"/>
    <w:rsid w:val="004762AA"/>
    <w:rsid w:val="004762AB"/>
    <w:rsid w:val="004764C5"/>
    <w:rsid w:val="00476A9F"/>
    <w:rsid w:val="004772C9"/>
    <w:rsid w:val="00477593"/>
    <w:rsid w:val="004776F3"/>
    <w:rsid w:val="00477712"/>
    <w:rsid w:val="004778B5"/>
    <w:rsid w:val="00477E0F"/>
    <w:rsid w:val="00480611"/>
    <w:rsid w:val="00481046"/>
    <w:rsid w:val="00481645"/>
    <w:rsid w:val="0048189B"/>
    <w:rsid w:val="00481D65"/>
    <w:rsid w:val="00481E75"/>
    <w:rsid w:val="004823FD"/>
    <w:rsid w:val="00482C1D"/>
    <w:rsid w:val="00483261"/>
    <w:rsid w:val="004832C7"/>
    <w:rsid w:val="0048348A"/>
    <w:rsid w:val="0048350F"/>
    <w:rsid w:val="00484015"/>
    <w:rsid w:val="004843F1"/>
    <w:rsid w:val="00484424"/>
    <w:rsid w:val="00484A7C"/>
    <w:rsid w:val="004854CB"/>
    <w:rsid w:val="00485C28"/>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5C6"/>
    <w:rsid w:val="00490831"/>
    <w:rsid w:val="004908B3"/>
    <w:rsid w:val="0049169D"/>
    <w:rsid w:val="004917AB"/>
    <w:rsid w:val="00491DF0"/>
    <w:rsid w:val="00492033"/>
    <w:rsid w:val="00492535"/>
    <w:rsid w:val="00492D1D"/>
    <w:rsid w:val="00492DF7"/>
    <w:rsid w:val="00492E4E"/>
    <w:rsid w:val="00493239"/>
    <w:rsid w:val="00493584"/>
    <w:rsid w:val="00493C49"/>
    <w:rsid w:val="00493F9C"/>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38D7"/>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CE0"/>
    <w:rsid w:val="004B3259"/>
    <w:rsid w:val="004B3355"/>
    <w:rsid w:val="004B34D1"/>
    <w:rsid w:val="004B37EF"/>
    <w:rsid w:val="004B3F34"/>
    <w:rsid w:val="004B475A"/>
    <w:rsid w:val="004B47C7"/>
    <w:rsid w:val="004B48E8"/>
    <w:rsid w:val="004B529D"/>
    <w:rsid w:val="004B5A20"/>
    <w:rsid w:val="004B5AC0"/>
    <w:rsid w:val="004B6209"/>
    <w:rsid w:val="004B74FF"/>
    <w:rsid w:val="004B76E7"/>
    <w:rsid w:val="004B79D3"/>
    <w:rsid w:val="004B7DFD"/>
    <w:rsid w:val="004B7E88"/>
    <w:rsid w:val="004B7FED"/>
    <w:rsid w:val="004BEEC4"/>
    <w:rsid w:val="004C00A3"/>
    <w:rsid w:val="004C07CD"/>
    <w:rsid w:val="004C0902"/>
    <w:rsid w:val="004C0BD8"/>
    <w:rsid w:val="004C0DC5"/>
    <w:rsid w:val="004C1394"/>
    <w:rsid w:val="004C1930"/>
    <w:rsid w:val="004C1EFA"/>
    <w:rsid w:val="004C20AB"/>
    <w:rsid w:val="004C20B0"/>
    <w:rsid w:val="004C22E5"/>
    <w:rsid w:val="004C249F"/>
    <w:rsid w:val="004C254D"/>
    <w:rsid w:val="004C2A53"/>
    <w:rsid w:val="004C2F27"/>
    <w:rsid w:val="004C3255"/>
    <w:rsid w:val="004C342F"/>
    <w:rsid w:val="004C3A83"/>
    <w:rsid w:val="004C3F2F"/>
    <w:rsid w:val="004C4168"/>
    <w:rsid w:val="004C440C"/>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30C1"/>
    <w:rsid w:val="004D4015"/>
    <w:rsid w:val="004D4619"/>
    <w:rsid w:val="004D5345"/>
    <w:rsid w:val="004D5BE2"/>
    <w:rsid w:val="004D5C84"/>
    <w:rsid w:val="004D6174"/>
    <w:rsid w:val="004D6321"/>
    <w:rsid w:val="004D638E"/>
    <w:rsid w:val="004D6865"/>
    <w:rsid w:val="004D6B47"/>
    <w:rsid w:val="004D7066"/>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E6A"/>
    <w:rsid w:val="004E5FF9"/>
    <w:rsid w:val="004E6272"/>
    <w:rsid w:val="004E6820"/>
    <w:rsid w:val="004E69AE"/>
    <w:rsid w:val="004E7789"/>
    <w:rsid w:val="004E7916"/>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4CA"/>
    <w:rsid w:val="004F47C6"/>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0FEB"/>
    <w:rsid w:val="0050146A"/>
    <w:rsid w:val="00501857"/>
    <w:rsid w:val="005019AD"/>
    <w:rsid w:val="00501C3A"/>
    <w:rsid w:val="00501CBA"/>
    <w:rsid w:val="00501D7F"/>
    <w:rsid w:val="005021E2"/>
    <w:rsid w:val="00502A19"/>
    <w:rsid w:val="00502A5B"/>
    <w:rsid w:val="00502F6A"/>
    <w:rsid w:val="0050360B"/>
    <w:rsid w:val="005039D8"/>
    <w:rsid w:val="00505035"/>
    <w:rsid w:val="005054D9"/>
    <w:rsid w:val="0050588B"/>
    <w:rsid w:val="00506238"/>
    <w:rsid w:val="005063B0"/>
    <w:rsid w:val="00506692"/>
    <w:rsid w:val="00506B4D"/>
    <w:rsid w:val="005072C4"/>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423C"/>
    <w:rsid w:val="0051514C"/>
    <w:rsid w:val="00515349"/>
    <w:rsid w:val="00515422"/>
    <w:rsid w:val="00515519"/>
    <w:rsid w:val="00516666"/>
    <w:rsid w:val="00516806"/>
    <w:rsid w:val="00516B09"/>
    <w:rsid w:val="00516D12"/>
    <w:rsid w:val="00516FD9"/>
    <w:rsid w:val="00517352"/>
    <w:rsid w:val="00517C73"/>
    <w:rsid w:val="005200CC"/>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AD1"/>
    <w:rsid w:val="00524F3D"/>
    <w:rsid w:val="00524FA9"/>
    <w:rsid w:val="005252B8"/>
    <w:rsid w:val="0052543F"/>
    <w:rsid w:val="0052565A"/>
    <w:rsid w:val="005256FD"/>
    <w:rsid w:val="00525D5F"/>
    <w:rsid w:val="005265A7"/>
    <w:rsid w:val="00526BD8"/>
    <w:rsid w:val="00526F62"/>
    <w:rsid w:val="005270D6"/>
    <w:rsid w:val="005275D4"/>
    <w:rsid w:val="005276BC"/>
    <w:rsid w:val="00527E6D"/>
    <w:rsid w:val="00530908"/>
    <w:rsid w:val="005311B2"/>
    <w:rsid w:val="005312A1"/>
    <w:rsid w:val="00531DD5"/>
    <w:rsid w:val="0053236D"/>
    <w:rsid w:val="005325DF"/>
    <w:rsid w:val="00532671"/>
    <w:rsid w:val="005327CE"/>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43E"/>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4FEE"/>
    <w:rsid w:val="00545286"/>
    <w:rsid w:val="00545402"/>
    <w:rsid w:val="00545AB6"/>
    <w:rsid w:val="00545CA7"/>
    <w:rsid w:val="00545D2D"/>
    <w:rsid w:val="00546097"/>
    <w:rsid w:val="00546419"/>
    <w:rsid w:val="0054648D"/>
    <w:rsid w:val="005464A6"/>
    <w:rsid w:val="005469C3"/>
    <w:rsid w:val="0054726D"/>
    <w:rsid w:val="0054734B"/>
    <w:rsid w:val="00547457"/>
    <w:rsid w:val="0054750F"/>
    <w:rsid w:val="005475D7"/>
    <w:rsid w:val="0054774B"/>
    <w:rsid w:val="00547A84"/>
    <w:rsid w:val="00547FA1"/>
    <w:rsid w:val="0055008D"/>
    <w:rsid w:val="0055048D"/>
    <w:rsid w:val="00550587"/>
    <w:rsid w:val="00550C21"/>
    <w:rsid w:val="00550E4E"/>
    <w:rsid w:val="00550F63"/>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9D8"/>
    <w:rsid w:val="00556AA8"/>
    <w:rsid w:val="00556BE7"/>
    <w:rsid w:val="00556FBF"/>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16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67F19"/>
    <w:rsid w:val="0057028C"/>
    <w:rsid w:val="005703A5"/>
    <w:rsid w:val="005705FC"/>
    <w:rsid w:val="005709DA"/>
    <w:rsid w:val="00570C33"/>
    <w:rsid w:val="005712F5"/>
    <w:rsid w:val="00571734"/>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335"/>
    <w:rsid w:val="00580459"/>
    <w:rsid w:val="00580E26"/>
    <w:rsid w:val="0058133D"/>
    <w:rsid w:val="005815FD"/>
    <w:rsid w:val="005818F0"/>
    <w:rsid w:val="00581E43"/>
    <w:rsid w:val="005820C2"/>
    <w:rsid w:val="0058239E"/>
    <w:rsid w:val="00582B47"/>
    <w:rsid w:val="00582BE6"/>
    <w:rsid w:val="0058309D"/>
    <w:rsid w:val="00583325"/>
    <w:rsid w:val="00583631"/>
    <w:rsid w:val="00583871"/>
    <w:rsid w:val="00583C95"/>
    <w:rsid w:val="00584028"/>
    <w:rsid w:val="0058422E"/>
    <w:rsid w:val="0058496C"/>
    <w:rsid w:val="005849C8"/>
    <w:rsid w:val="00584B31"/>
    <w:rsid w:val="00585BDC"/>
    <w:rsid w:val="00585C54"/>
    <w:rsid w:val="00585DA4"/>
    <w:rsid w:val="005866AE"/>
    <w:rsid w:val="00586C06"/>
    <w:rsid w:val="00587209"/>
    <w:rsid w:val="005872C2"/>
    <w:rsid w:val="00587583"/>
    <w:rsid w:val="005876A4"/>
    <w:rsid w:val="00587BBB"/>
    <w:rsid w:val="00587C8C"/>
    <w:rsid w:val="00587DBA"/>
    <w:rsid w:val="0059008F"/>
    <w:rsid w:val="005900E2"/>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61B"/>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421"/>
    <w:rsid w:val="005A252B"/>
    <w:rsid w:val="005A2892"/>
    <w:rsid w:val="005A3658"/>
    <w:rsid w:val="005A36A5"/>
    <w:rsid w:val="005A42AE"/>
    <w:rsid w:val="005A466A"/>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16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7C"/>
    <w:rsid w:val="005C2DA2"/>
    <w:rsid w:val="005C33AD"/>
    <w:rsid w:val="005C384B"/>
    <w:rsid w:val="005C45CC"/>
    <w:rsid w:val="005C492F"/>
    <w:rsid w:val="005C50BD"/>
    <w:rsid w:val="005C52BB"/>
    <w:rsid w:val="005C5563"/>
    <w:rsid w:val="005C5A5E"/>
    <w:rsid w:val="005C63BC"/>
    <w:rsid w:val="005C68E6"/>
    <w:rsid w:val="005C6991"/>
    <w:rsid w:val="005C6DA6"/>
    <w:rsid w:val="005C746F"/>
    <w:rsid w:val="005D1317"/>
    <w:rsid w:val="005D18BD"/>
    <w:rsid w:val="005D1C45"/>
    <w:rsid w:val="005D20F7"/>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0CE"/>
    <w:rsid w:val="005E05C4"/>
    <w:rsid w:val="005E05F4"/>
    <w:rsid w:val="005E0A2E"/>
    <w:rsid w:val="005E0E72"/>
    <w:rsid w:val="005E165C"/>
    <w:rsid w:val="005E1C00"/>
    <w:rsid w:val="005E1C18"/>
    <w:rsid w:val="005E25AA"/>
    <w:rsid w:val="005E2732"/>
    <w:rsid w:val="005E27E4"/>
    <w:rsid w:val="005E2C98"/>
    <w:rsid w:val="005E2EC4"/>
    <w:rsid w:val="005E31D5"/>
    <w:rsid w:val="005E3253"/>
    <w:rsid w:val="005E34A5"/>
    <w:rsid w:val="005E390A"/>
    <w:rsid w:val="005E3AEF"/>
    <w:rsid w:val="005E3D09"/>
    <w:rsid w:val="005E4F2B"/>
    <w:rsid w:val="005E5021"/>
    <w:rsid w:val="005E5281"/>
    <w:rsid w:val="005E58DE"/>
    <w:rsid w:val="005E5FE4"/>
    <w:rsid w:val="005E6613"/>
    <w:rsid w:val="005E6953"/>
    <w:rsid w:val="005E698E"/>
    <w:rsid w:val="005E701C"/>
    <w:rsid w:val="005E7519"/>
    <w:rsid w:val="005E773B"/>
    <w:rsid w:val="005E778E"/>
    <w:rsid w:val="005E7A9F"/>
    <w:rsid w:val="005E7F0A"/>
    <w:rsid w:val="005F0586"/>
    <w:rsid w:val="005F077F"/>
    <w:rsid w:val="005F0B9A"/>
    <w:rsid w:val="005F0E4E"/>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08D"/>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0F8D"/>
    <w:rsid w:val="006011FA"/>
    <w:rsid w:val="00601B65"/>
    <w:rsid w:val="00601BD4"/>
    <w:rsid w:val="00602598"/>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130"/>
    <w:rsid w:val="00607780"/>
    <w:rsid w:val="00607973"/>
    <w:rsid w:val="00607E72"/>
    <w:rsid w:val="00607F41"/>
    <w:rsid w:val="006102A3"/>
    <w:rsid w:val="006106A7"/>
    <w:rsid w:val="0061128F"/>
    <w:rsid w:val="006113BE"/>
    <w:rsid w:val="00611D02"/>
    <w:rsid w:val="00611F34"/>
    <w:rsid w:val="00611F59"/>
    <w:rsid w:val="0061255B"/>
    <w:rsid w:val="006125A3"/>
    <w:rsid w:val="00613286"/>
    <w:rsid w:val="0061331B"/>
    <w:rsid w:val="006139CC"/>
    <w:rsid w:val="00614566"/>
    <w:rsid w:val="00614CD1"/>
    <w:rsid w:val="00614FCF"/>
    <w:rsid w:val="0061505B"/>
    <w:rsid w:val="0061512E"/>
    <w:rsid w:val="00615825"/>
    <w:rsid w:val="00615867"/>
    <w:rsid w:val="00615EE9"/>
    <w:rsid w:val="00616155"/>
    <w:rsid w:val="00616411"/>
    <w:rsid w:val="00616889"/>
    <w:rsid w:val="00616DF5"/>
    <w:rsid w:val="00616EC9"/>
    <w:rsid w:val="00616FAD"/>
    <w:rsid w:val="006173F1"/>
    <w:rsid w:val="00617D97"/>
    <w:rsid w:val="00620974"/>
    <w:rsid w:val="00621A4B"/>
    <w:rsid w:val="00621BAF"/>
    <w:rsid w:val="00621E92"/>
    <w:rsid w:val="0062202B"/>
    <w:rsid w:val="0062222F"/>
    <w:rsid w:val="006229B9"/>
    <w:rsid w:val="00622D14"/>
    <w:rsid w:val="00623485"/>
    <w:rsid w:val="006239D1"/>
    <w:rsid w:val="00623FFB"/>
    <w:rsid w:val="006242E5"/>
    <w:rsid w:val="00624473"/>
    <w:rsid w:val="00624A16"/>
    <w:rsid w:val="0062507B"/>
    <w:rsid w:val="00625185"/>
    <w:rsid w:val="0062529B"/>
    <w:rsid w:val="00625597"/>
    <w:rsid w:val="006258C7"/>
    <w:rsid w:val="006258FF"/>
    <w:rsid w:val="00625CC8"/>
    <w:rsid w:val="00626355"/>
    <w:rsid w:val="00626AC2"/>
    <w:rsid w:val="00626FC7"/>
    <w:rsid w:val="00627595"/>
    <w:rsid w:val="006277F1"/>
    <w:rsid w:val="00627916"/>
    <w:rsid w:val="00627EA0"/>
    <w:rsid w:val="00630102"/>
    <w:rsid w:val="00630964"/>
    <w:rsid w:val="00630A79"/>
    <w:rsid w:val="00630AB5"/>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8D3"/>
    <w:rsid w:val="00633929"/>
    <w:rsid w:val="006340A9"/>
    <w:rsid w:val="006342EE"/>
    <w:rsid w:val="00634495"/>
    <w:rsid w:val="006345C3"/>
    <w:rsid w:val="00634954"/>
    <w:rsid w:val="0063573A"/>
    <w:rsid w:val="00635E1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5B2"/>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3FF"/>
    <w:rsid w:val="00671C19"/>
    <w:rsid w:val="00671E11"/>
    <w:rsid w:val="0067215B"/>
    <w:rsid w:val="00672EAE"/>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737"/>
    <w:rsid w:val="006818A4"/>
    <w:rsid w:val="00682594"/>
    <w:rsid w:val="00682AF4"/>
    <w:rsid w:val="00682B32"/>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36CE"/>
    <w:rsid w:val="00693899"/>
    <w:rsid w:val="00693AE2"/>
    <w:rsid w:val="00693B92"/>
    <w:rsid w:val="00693F5A"/>
    <w:rsid w:val="00694270"/>
    <w:rsid w:val="00694C3E"/>
    <w:rsid w:val="00694D7C"/>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C00"/>
    <w:rsid w:val="006A3DC2"/>
    <w:rsid w:val="006A3DF3"/>
    <w:rsid w:val="006A3E30"/>
    <w:rsid w:val="006A406F"/>
    <w:rsid w:val="006A441B"/>
    <w:rsid w:val="006A458B"/>
    <w:rsid w:val="006A4E28"/>
    <w:rsid w:val="006A59CB"/>
    <w:rsid w:val="006A5E1B"/>
    <w:rsid w:val="006A651A"/>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2AF4"/>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B5"/>
    <w:rsid w:val="006C1760"/>
    <w:rsid w:val="006C17F5"/>
    <w:rsid w:val="006C193A"/>
    <w:rsid w:val="006C1A85"/>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6619"/>
    <w:rsid w:val="006C7A97"/>
    <w:rsid w:val="006C7C97"/>
    <w:rsid w:val="006C7D48"/>
    <w:rsid w:val="006C7EF1"/>
    <w:rsid w:val="006D0379"/>
    <w:rsid w:val="006D03E4"/>
    <w:rsid w:val="006D0555"/>
    <w:rsid w:val="006D0592"/>
    <w:rsid w:val="006D107E"/>
    <w:rsid w:val="006D118F"/>
    <w:rsid w:val="006D1754"/>
    <w:rsid w:val="006D1EC3"/>
    <w:rsid w:val="006D2CF9"/>
    <w:rsid w:val="006D2DFD"/>
    <w:rsid w:val="006D2E5D"/>
    <w:rsid w:val="006D31BC"/>
    <w:rsid w:val="006D36B8"/>
    <w:rsid w:val="006D3FD3"/>
    <w:rsid w:val="006D4697"/>
    <w:rsid w:val="006D4F0B"/>
    <w:rsid w:val="006D5448"/>
    <w:rsid w:val="006D5BBF"/>
    <w:rsid w:val="006D62E3"/>
    <w:rsid w:val="006D63B9"/>
    <w:rsid w:val="006D6485"/>
    <w:rsid w:val="006D678B"/>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3ED7"/>
    <w:rsid w:val="006E421D"/>
    <w:rsid w:val="006E50C2"/>
    <w:rsid w:val="006E52A1"/>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F0B"/>
    <w:rsid w:val="006F62D0"/>
    <w:rsid w:val="006F63D1"/>
    <w:rsid w:val="006F64A4"/>
    <w:rsid w:val="006F670F"/>
    <w:rsid w:val="006F7221"/>
    <w:rsid w:val="006F72B8"/>
    <w:rsid w:val="006F79BC"/>
    <w:rsid w:val="00700297"/>
    <w:rsid w:val="007003C4"/>
    <w:rsid w:val="007004E7"/>
    <w:rsid w:val="00700503"/>
    <w:rsid w:val="00700685"/>
    <w:rsid w:val="007012DE"/>
    <w:rsid w:val="00701381"/>
    <w:rsid w:val="007013CA"/>
    <w:rsid w:val="007013E1"/>
    <w:rsid w:val="00701B65"/>
    <w:rsid w:val="00701C46"/>
    <w:rsid w:val="0070234D"/>
    <w:rsid w:val="00702AE9"/>
    <w:rsid w:val="00702C36"/>
    <w:rsid w:val="00702F29"/>
    <w:rsid w:val="0070320C"/>
    <w:rsid w:val="00703547"/>
    <w:rsid w:val="00703691"/>
    <w:rsid w:val="0070396B"/>
    <w:rsid w:val="00703A4A"/>
    <w:rsid w:val="00703C0A"/>
    <w:rsid w:val="007046FF"/>
    <w:rsid w:val="007048B5"/>
    <w:rsid w:val="007058A3"/>
    <w:rsid w:val="00705D03"/>
    <w:rsid w:val="0070635B"/>
    <w:rsid w:val="007069CE"/>
    <w:rsid w:val="00706AF1"/>
    <w:rsid w:val="007074EC"/>
    <w:rsid w:val="00707503"/>
    <w:rsid w:val="00707A0A"/>
    <w:rsid w:val="00707A3A"/>
    <w:rsid w:val="00707D6F"/>
    <w:rsid w:val="00707F36"/>
    <w:rsid w:val="0071000A"/>
    <w:rsid w:val="00710452"/>
    <w:rsid w:val="00710BCC"/>
    <w:rsid w:val="00711E13"/>
    <w:rsid w:val="007120BA"/>
    <w:rsid w:val="007121C1"/>
    <w:rsid w:val="00712765"/>
    <w:rsid w:val="0071295E"/>
    <w:rsid w:val="00712EDA"/>
    <w:rsid w:val="00714554"/>
    <w:rsid w:val="0071482E"/>
    <w:rsid w:val="00715160"/>
    <w:rsid w:val="007152C6"/>
    <w:rsid w:val="00715417"/>
    <w:rsid w:val="00715B3C"/>
    <w:rsid w:val="00715B85"/>
    <w:rsid w:val="007162D8"/>
    <w:rsid w:val="00716C8C"/>
    <w:rsid w:val="0071705B"/>
    <w:rsid w:val="007175DC"/>
    <w:rsid w:val="00717BB5"/>
    <w:rsid w:val="00717C5C"/>
    <w:rsid w:val="00717CD8"/>
    <w:rsid w:val="00717F09"/>
    <w:rsid w:val="0072000D"/>
    <w:rsid w:val="00720965"/>
    <w:rsid w:val="0072102E"/>
    <w:rsid w:val="0072112C"/>
    <w:rsid w:val="007212ED"/>
    <w:rsid w:val="0072140A"/>
    <w:rsid w:val="00721613"/>
    <w:rsid w:val="00721C54"/>
    <w:rsid w:val="0072256E"/>
    <w:rsid w:val="0072313E"/>
    <w:rsid w:val="00723436"/>
    <w:rsid w:val="00723BD3"/>
    <w:rsid w:val="00723C0E"/>
    <w:rsid w:val="00723C15"/>
    <w:rsid w:val="007241A4"/>
    <w:rsid w:val="007249DE"/>
    <w:rsid w:val="00724B19"/>
    <w:rsid w:val="00725163"/>
    <w:rsid w:val="00725442"/>
    <w:rsid w:val="00725709"/>
    <w:rsid w:val="00725A16"/>
    <w:rsid w:val="00725ECF"/>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850"/>
    <w:rsid w:val="00734B79"/>
    <w:rsid w:val="00734C19"/>
    <w:rsid w:val="00734D3C"/>
    <w:rsid w:val="00735081"/>
    <w:rsid w:val="00735166"/>
    <w:rsid w:val="00735258"/>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551"/>
    <w:rsid w:val="00742814"/>
    <w:rsid w:val="0074295B"/>
    <w:rsid w:val="00742C56"/>
    <w:rsid w:val="00742ED4"/>
    <w:rsid w:val="0074307B"/>
    <w:rsid w:val="00743700"/>
    <w:rsid w:val="00743916"/>
    <w:rsid w:val="00743AE2"/>
    <w:rsid w:val="00743AFC"/>
    <w:rsid w:val="00743E74"/>
    <w:rsid w:val="007446CB"/>
    <w:rsid w:val="0074475C"/>
    <w:rsid w:val="00744D66"/>
    <w:rsid w:val="00744F31"/>
    <w:rsid w:val="0074561F"/>
    <w:rsid w:val="0074586F"/>
    <w:rsid w:val="00745C15"/>
    <w:rsid w:val="00745F93"/>
    <w:rsid w:val="007464B9"/>
    <w:rsid w:val="0074653B"/>
    <w:rsid w:val="0074681D"/>
    <w:rsid w:val="0074683C"/>
    <w:rsid w:val="0074691A"/>
    <w:rsid w:val="007471F9"/>
    <w:rsid w:val="00747490"/>
    <w:rsid w:val="00747BFA"/>
    <w:rsid w:val="007503F6"/>
    <w:rsid w:val="00750A3F"/>
    <w:rsid w:val="00750AD1"/>
    <w:rsid w:val="00750C9F"/>
    <w:rsid w:val="00751166"/>
    <w:rsid w:val="0075131E"/>
    <w:rsid w:val="007515AB"/>
    <w:rsid w:val="00751636"/>
    <w:rsid w:val="0075175D"/>
    <w:rsid w:val="00751FB7"/>
    <w:rsid w:val="00752279"/>
    <w:rsid w:val="0075239E"/>
    <w:rsid w:val="007523D0"/>
    <w:rsid w:val="007526D7"/>
    <w:rsid w:val="00752A90"/>
    <w:rsid w:val="00752EB0"/>
    <w:rsid w:val="00752F4E"/>
    <w:rsid w:val="0075348F"/>
    <w:rsid w:val="00753902"/>
    <w:rsid w:val="00754065"/>
    <w:rsid w:val="00754157"/>
    <w:rsid w:val="007548CB"/>
    <w:rsid w:val="00754B7E"/>
    <w:rsid w:val="00754C7C"/>
    <w:rsid w:val="007557AD"/>
    <w:rsid w:val="00756031"/>
    <w:rsid w:val="007560AA"/>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60"/>
    <w:rsid w:val="00763EF1"/>
    <w:rsid w:val="0076428B"/>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722C"/>
    <w:rsid w:val="007775E9"/>
    <w:rsid w:val="00777B09"/>
    <w:rsid w:val="00777B54"/>
    <w:rsid w:val="00777FE3"/>
    <w:rsid w:val="00780027"/>
    <w:rsid w:val="007800C1"/>
    <w:rsid w:val="0078020A"/>
    <w:rsid w:val="007805A8"/>
    <w:rsid w:val="00781026"/>
    <w:rsid w:val="00781048"/>
    <w:rsid w:val="007812B1"/>
    <w:rsid w:val="007814E7"/>
    <w:rsid w:val="00781B8F"/>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12C"/>
    <w:rsid w:val="0078723A"/>
    <w:rsid w:val="00787C4C"/>
    <w:rsid w:val="00787DCF"/>
    <w:rsid w:val="007905A9"/>
    <w:rsid w:val="007906C3"/>
    <w:rsid w:val="007909D7"/>
    <w:rsid w:val="007909E4"/>
    <w:rsid w:val="00790BE2"/>
    <w:rsid w:val="0079129A"/>
    <w:rsid w:val="00791316"/>
    <w:rsid w:val="007914D5"/>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5136"/>
    <w:rsid w:val="007951C4"/>
    <w:rsid w:val="0079543E"/>
    <w:rsid w:val="007954FD"/>
    <w:rsid w:val="00795532"/>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D5A"/>
    <w:rsid w:val="007A4249"/>
    <w:rsid w:val="007A457B"/>
    <w:rsid w:val="007A48CE"/>
    <w:rsid w:val="007A4B34"/>
    <w:rsid w:val="007A4F03"/>
    <w:rsid w:val="007A4F22"/>
    <w:rsid w:val="007A59B4"/>
    <w:rsid w:val="007A5CF1"/>
    <w:rsid w:val="007A698E"/>
    <w:rsid w:val="007A6C7A"/>
    <w:rsid w:val="007A6EE1"/>
    <w:rsid w:val="007A72CF"/>
    <w:rsid w:val="007A76BA"/>
    <w:rsid w:val="007A77F5"/>
    <w:rsid w:val="007A79C5"/>
    <w:rsid w:val="007A7C00"/>
    <w:rsid w:val="007A7CDC"/>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B79E7"/>
    <w:rsid w:val="007C07AB"/>
    <w:rsid w:val="007C0B23"/>
    <w:rsid w:val="007C0D6E"/>
    <w:rsid w:val="007C0EFD"/>
    <w:rsid w:val="007C1346"/>
    <w:rsid w:val="007C1A05"/>
    <w:rsid w:val="007C2352"/>
    <w:rsid w:val="007C25B1"/>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0"/>
    <w:rsid w:val="007D4699"/>
    <w:rsid w:val="007D47DD"/>
    <w:rsid w:val="007D486A"/>
    <w:rsid w:val="007D48AA"/>
    <w:rsid w:val="007D4C3F"/>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D7D02"/>
    <w:rsid w:val="007D7FBF"/>
    <w:rsid w:val="007E08FC"/>
    <w:rsid w:val="007E099F"/>
    <w:rsid w:val="007E0AB8"/>
    <w:rsid w:val="007E0E93"/>
    <w:rsid w:val="007E14E4"/>
    <w:rsid w:val="007E1584"/>
    <w:rsid w:val="007E1881"/>
    <w:rsid w:val="007E1C10"/>
    <w:rsid w:val="007E1CAA"/>
    <w:rsid w:val="007E1D23"/>
    <w:rsid w:val="007E1F41"/>
    <w:rsid w:val="007E24A9"/>
    <w:rsid w:val="007E27C4"/>
    <w:rsid w:val="007E2BE0"/>
    <w:rsid w:val="007E3495"/>
    <w:rsid w:val="007E3704"/>
    <w:rsid w:val="007E3C98"/>
    <w:rsid w:val="007E3E8E"/>
    <w:rsid w:val="007E4209"/>
    <w:rsid w:val="007E50C3"/>
    <w:rsid w:val="007E547C"/>
    <w:rsid w:val="007E54CB"/>
    <w:rsid w:val="007E5BB1"/>
    <w:rsid w:val="007E6000"/>
    <w:rsid w:val="007E670B"/>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CD0"/>
    <w:rsid w:val="007F29F0"/>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2E91"/>
    <w:rsid w:val="00802F47"/>
    <w:rsid w:val="00803317"/>
    <w:rsid w:val="0080331E"/>
    <w:rsid w:val="008033A0"/>
    <w:rsid w:val="00803F54"/>
    <w:rsid w:val="00804E1E"/>
    <w:rsid w:val="008053B4"/>
    <w:rsid w:val="00806455"/>
    <w:rsid w:val="0080716C"/>
    <w:rsid w:val="008072C7"/>
    <w:rsid w:val="0080743E"/>
    <w:rsid w:val="008074C3"/>
    <w:rsid w:val="00807664"/>
    <w:rsid w:val="00807987"/>
    <w:rsid w:val="00807BA7"/>
    <w:rsid w:val="00807DEB"/>
    <w:rsid w:val="00807E2C"/>
    <w:rsid w:val="0081077D"/>
    <w:rsid w:val="0081098E"/>
    <w:rsid w:val="008109D2"/>
    <w:rsid w:val="00810EAC"/>
    <w:rsid w:val="00810ECE"/>
    <w:rsid w:val="0081121A"/>
    <w:rsid w:val="00811319"/>
    <w:rsid w:val="00811731"/>
    <w:rsid w:val="00811A17"/>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52E"/>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C2E"/>
    <w:rsid w:val="0082505B"/>
    <w:rsid w:val="00825578"/>
    <w:rsid w:val="00825DC0"/>
    <w:rsid w:val="00825E16"/>
    <w:rsid w:val="008266BA"/>
    <w:rsid w:val="00826DD9"/>
    <w:rsid w:val="00826FDA"/>
    <w:rsid w:val="00827256"/>
    <w:rsid w:val="008273F4"/>
    <w:rsid w:val="00827842"/>
    <w:rsid w:val="008278B6"/>
    <w:rsid w:val="00827AAC"/>
    <w:rsid w:val="008302DC"/>
    <w:rsid w:val="0083040E"/>
    <w:rsid w:val="00830E79"/>
    <w:rsid w:val="0083160A"/>
    <w:rsid w:val="0083170B"/>
    <w:rsid w:val="00831748"/>
    <w:rsid w:val="008319A6"/>
    <w:rsid w:val="008325BC"/>
    <w:rsid w:val="00832A04"/>
    <w:rsid w:val="00832E54"/>
    <w:rsid w:val="00832F96"/>
    <w:rsid w:val="0083334C"/>
    <w:rsid w:val="008337CD"/>
    <w:rsid w:val="00833884"/>
    <w:rsid w:val="00833AE1"/>
    <w:rsid w:val="00833E0D"/>
    <w:rsid w:val="00834147"/>
    <w:rsid w:val="008344AB"/>
    <w:rsid w:val="00834643"/>
    <w:rsid w:val="008348EC"/>
    <w:rsid w:val="00834974"/>
    <w:rsid w:val="00834A94"/>
    <w:rsid w:val="00834A98"/>
    <w:rsid w:val="00834B77"/>
    <w:rsid w:val="00834C45"/>
    <w:rsid w:val="00835883"/>
    <w:rsid w:val="00835DDD"/>
    <w:rsid w:val="00836FA9"/>
    <w:rsid w:val="00837131"/>
    <w:rsid w:val="0083753E"/>
    <w:rsid w:val="0083787A"/>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2E52"/>
    <w:rsid w:val="0084315A"/>
    <w:rsid w:val="00843846"/>
    <w:rsid w:val="00843CD4"/>
    <w:rsid w:val="00843F42"/>
    <w:rsid w:val="008443CE"/>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2307"/>
    <w:rsid w:val="008526C0"/>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68D"/>
    <w:rsid w:val="00862B50"/>
    <w:rsid w:val="008632B9"/>
    <w:rsid w:val="0086362F"/>
    <w:rsid w:val="00864320"/>
    <w:rsid w:val="008644EC"/>
    <w:rsid w:val="0086480D"/>
    <w:rsid w:val="00864A8B"/>
    <w:rsid w:val="00864BD9"/>
    <w:rsid w:val="00864D59"/>
    <w:rsid w:val="00865910"/>
    <w:rsid w:val="00865A71"/>
    <w:rsid w:val="0086636E"/>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1B02"/>
    <w:rsid w:val="008721A2"/>
    <w:rsid w:val="0087238B"/>
    <w:rsid w:val="0087266D"/>
    <w:rsid w:val="008729F3"/>
    <w:rsid w:val="008730CD"/>
    <w:rsid w:val="008730D6"/>
    <w:rsid w:val="008730DA"/>
    <w:rsid w:val="008730F8"/>
    <w:rsid w:val="00873BF4"/>
    <w:rsid w:val="00873D87"/>
    <w:rsid w:val="008743F3"/>
    <w:rsid w:val="0087444A"/>
    <w:rsid w:val="00874783"/>
    <w:rsid w:val="00874FC8"/>
    <w:rsid w:val="00875139"/>
    <w:rsid w:val="00875186"/>
    <w:rsid w:val="00875410"/>
    <w:rsid w:val="00875416"/>
    <w:rsid w:val="0087569B"/>
    <w:rsid w:val="00875DC0"/>
    <w:rsid w:val="00875E25"/>
    <w:rsid w:val="00876907"/>
    <w:rsid w:val="00876FA5"/>
    <w:rsid w:val="00877DDE"/>
    <w:rsid w:val="00877FFD"/>
    <w:rsid w:val="008801F3"/>
    <w:rsid w:val="00880320"/>
    <w:rsid w:val="0088064F"/>
    <w:rsid w:val="00880B0D"/>
    <w:rsid w:val="00881163"/>
    <w:rsid w:val="00881473"/>
    <w:rsid w:val="00881789"/>
    <w:rsid w:val="00881A2E"/>
    <w:rsid w:val="00881CB4"/>
    <w:rsid w:val="00881CBA"/>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C47"/>
    <w:rsid w:val="008855B5"/>
    <w:rsid w:val="0088573F"/>
    <w:rsid w:val="00885E60"/>
    <w:rsid w:val="0088648A"/>
    <w:rsid w:val="00886663"/>
    <w:rsid w:val="008872E0"/>
    <w:rsid w:val="00887507"/>
    <w:rsid w:val="00887569"/>
    <w:rsid w:val="00887AAE"/>
    <w:rsid w:val="0089048C"/>
    <w:rsid w:val="00890889"/>
    <w:rsid w:val="00890CAB"/>
    <w:rsid w:val="0089133E"/>
    <w:rsid w:val="00891D63"/>
    <w:rsid w:val="00891D92"/>
    <w:rsid w:val="0089220F"/>
    <w:rsid w:val="00892218"/>
    <w:rsid w:val="008926FE"/>
    <w:rsid w:val="008927BA"/>
    <w:rsid w:val="00893131"/>
    <w:rsid w:val="00893408"/>
    <w:rsid w:val="008935B2"/>
    <w:rsid w:val="0089365F"/>
    <w:rsid w:val="008938CB"/>
    <w:rsid w:val="0089406C"/>
    <w:rsid w:val="008948E8"/>
    <w:rsid w:val="00894E25"/>
    <w:rsid w:val="00895453"/>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415D"/>
    <w:rsid w:val="008A4316"/>
    <w:rsid w:val="008A4614"/>
    <w:rsid w:val="008A4D4C"/>
    <w:rsid w:val="008A4E38"/>
    <w:rsid w:val="008A57E5"/>
    <w:rsid w:val="008A6D42"/>
    <w:rsid w:val="008A6E95"/>
    <w:rsid w:val="008A6FDE"/>
    <w:rsid w:val="008A71F3"/>
    <w:rsid w:val="008A7340"/>
    <w:rsid w:val="008B0118"/>
    <w:rsid w:val="008B016F"/>
    <w:rsid w:val="008B01EE"/>
    <w:rsid w:val="008B0387"/>
    <w:rsid w:val="008B0B9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FEE"/>
    <w:rsid w:val="008C138B"/>
    <w:rsid w:val="008C1512"/>
    <w:rsid w:val="008C1AD6"/>
    <w:rsid w:val="008C1B58"/>
    <w:rsid w:val="008C1DC0"/>
    <w:rsid w:val="008C1DCE"/>
    <w:rsid w:val="008C1E05"/>
    <w:rsid w:val="008C20EB"/>
    <w:rsid w:val="008C239D"/>
    <w:rsid w:val="008C2964"/>
    <w:rsid w:val="008C2A03"/>
    <w:rsid w:val="008C2EE6"/>
    <w:rsid w:val="008C375E"/>
    <w:rsid w:val="008C3BBB"/>
    <w:rsid w:val="008C44CD"/>
    <w:rsid w:val="008C46B9"/>
    <w:rsid w:val="008C4C4D"/>
    <w:rsid w:val="008C53A7"/>
    <w:rsid w:val="008C54FB"/>
    <w:rsid w:val="008C57DF"/>
    <w:rsid w:val="008C59BA"/>
    <w:rsid w:val="008C5B1B"/>
    <w:rsid w:val="008C606E"/>
    <w:rsid w:val="008C62C8"/>
    <w:rsid w:val="008C62F0"/>
    <w:rsid w:val="008C685E"/>
    <w:rsid w:val="008C6EF2"/>
    <w:rsid w:val="008C72ED"/>
    <w:rsid w:val="008C7E65"/>
    <w:rsid w:val="008D0543"/>
    <w:rsid w:val="008D0B2D"/>
    <w:rsid w:val="008D137D"/>
    <w:rsid w:val="008D1688"/>
    <w:rsid w:val="008D18C0"/>
    <w:rsid w:val="008D19DF"/>
    <w:rsid w:val="008D20FF"/>
    <w:rsid w:val="008D3935"/>
    <w:rsid w:val="008D396B"/>
    <w:rsid w:val="008D3C28"/>
    <w:rsid w:val="008D3DA7"/>
    <w:rsid w:val="008D3F7D"/>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2C8"/>
    <w:rsid w:val="008E647D"/>
    <w:rsid w:val="008E6629"/>
    <w:rsid w:val="008E6943"/>
    <w:rsid w:val="008E6BA8"/>
    <w:rsid w:val="008E785F"/>
    <w:rsid w:val="008E79D3"/>
    <w:rsid w:val="008F0300"/>
    <w:rsid w:val="008F0360"/>
    <w:rsid w:val="008F0580"/>
    <w:rsid w:val="008F06A6"/>
    <w:rsid w:val="008F0A7D"/>
    <w:rsid w:val="008F0D60"/>
    <w:rsid w:val="008F0D6C"/>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52A"/>
    <w:rsid w:val="008F5959"/>
    <w:rsid w:val="008F5C53"/>
    <w:rsid w:val="008F6514"/>
    <w:rsid w:val="008F65D8"/>
    <w:rsid w:val="008F6E1C"/>
    <w:rsid w:val="008F701B"/>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2EB"/>
    <w:rsid w:val="009065E7"/>
    <w:rsid w:val="009068FB"/>
    <w:rsid w:val="00906AFD"/>
    <w:rsid w:val="00906F1D"/>
    <w:rsid w:val="00906FD4"/>
    <w:rsid w:val="00906FEA"/>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53AB"/>
    <w:rsid w:val="0092543B"/>
    <w:rsid w:val="0092599D"/>
    <w:rsid w:val="00925E77"/>
    <w:rsid w:val="00926519"/>
    <w:rsid w:val="009266D3"/>
    <w:rsid w:val="009269B1"/>
    <w:rsid w:val="00926E6D"/>
    <w:rsid w:val="00927241"/>
    <w:rsid w:val="00927A98"/>
    <w:rsid w:val="00927AAC"/>
    <w:rsid w:val="00927B77"/>
    <w:rsid w:val="00927C14"/>
    <w:rsid w:val="00927E04"/>
    <w:rsid w:val="009300F1"/>
    <w:rsid w:val="00930369"/>
    <w:rsid w:val="00930390"/>
    <w:rsid w:val="009303FC"/>
    <w:rsid w:val="00930502"/>
    <w:rsid w:val="00930C3E"/>
    <w:rsid w:val="00930C42"/>
    <w:rsid w:val="0093165B"/>
    <w:rsid w:val="009316C5"/>
    <w:rsid w:val="00931A33"/>
    <w:rsid w:val="00931A65"/>
    <w:rsid w:val="00931B76"/>
    <w:rsid w:val="00932215"/>
    <w:rsid w:val="00932295"/>
    <w:rsid w:val="00932889"/>
    <w:rsid w:val="00932CF2"/>
    <w:rsid w:val="00932FC6"/>
    <w:rsid w:val="00933B9D"/>
    <w:rsid w:val="00933E1F"/>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424"/>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A88"/>
    <w:rsid w:val="0095117D"/>
    <w:rsid w:val="0095170A"/>
    <w:rsid w:val="00951861"/>
    <w:rsid w:val="00952283"/>
    <w:rsid w:val="00952C93"/>
    <w:rsid w:val="00952DD1"/>
    <w:rsid w:val="00952E2A"/>
    <w:rsid w:val="00952F1E"/>
    <w:rsid w:val="009535B1"/>
    <w:rsid w:val="00953FF1"/>
    <w:rsid w:val="00954365"/>
    <w:rsid w:val="009547CF"/>
    <w:rsid w:val="00954816"/>
    <w:rsid w:val="00954A70"/>
    <w:rsid w:val="00954ACA"/>
    <w:rsid w:val="00954BA3"/>
    <w:rsid w:val="00954C6A"/>
    <w:rsid w:val="00954ECD"/>
    <w:rsid w:val="00954F9C"/>
    <w:rsid w:val="0095519E"/>
    <w:rsid w:val="0095520C"/>
    <w:rsid w:val="00955274"/>
    <w:rsid w:val="0095599A"/>
    <w:rsid w:val="00955EBE"/>
    <w:rsid w:val="00956211"/>
    <w:rsid w:val="009562A9"/>
    <w:rsid w:val="009564FC"/>
    <w:rsid w:val="00956686"/>
    <w:rsid w:val="00956889"/>
    <w:rsid w:val="0095694C"/>
    <w:rsid w:val="009569C6"/>
    <w:rsid w:val="009569E1"/>
    <w:rsid w:val="00956D9D"/>
    <w:rsid w:val="009570D4"/>
    <w:rsid w:val="009572C4"/>
    <w:rsid w:val="009576FD"/>
    <w:rsid w:val="00957C23"/>
    <w:rsid w:val="00957D08"/>
    <w:rsid w:val="0096020A"/>
    <w:rsid w:val="009605D7"/>
    <w:rsid w:val="00960969"/>
    <w:rsid w:val="00961208"/>
    <w:rsid w:val="00961386"/>
    <w:rsid w:val="009613A5"/>
    <w:rsid w:val="00962028"/>
    <w:rsid w:val="0096207F"/>
    <w:rsid w:val="009621D3"/>
    <w:rsid w:val="009626AA"/>
    <w:rsid w:val="00962779"/>
    <w:rsid w:val="009627A8"/>
    <w:rsid w:val="00963581"/>
    <w:rsid w:val="00963CBD"/>
    <w:rsid w:val="00963E63"/>
    <w:rsid w:val="00964786"/>
    <w:rsid w:val="0096496B"/>
    <w:rsid w:val="00964B36"/>
    <w:rsid w:val="00964B4E"/>
    <w:rsid w:val="00964FA5"/>
    <w:rsid w:val="009651BC"/>
    <w:rsid w:val="00965227"/>
    <w:rsid w:val="0096525E"/>
    <w:rsid w:val="0096536C"/>
    <w:rsid w:val="009655C6"/>
    <w:rsid w:val="0096583E"/>
    <w:rsid w:val="00965938"/>
    <w:rsid w:val="00965BD4"/>
    <w:rsid w:val="00966093"/>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3541"/>
    <w:rsid w:val="0097371B"/>
    <w:rsid w:val="0097373C"/>
    <w:rsid w:val="00973C34"/>
    <w:rsid w:val="009743A7"/>
    <w:rsid w:val="00974C59"/>
    <w:rsid w:val="00974CAB"/>
    <w:rsid w:val="00974DDE"/>
    <w:rsid w:val="009753E9"/>
    <w:rsid w:val="009753FC"/>
    <w:rsid w:val="00975622"/>
    <w:rsid w:val="00976348"/>
    <w:rsid w:val="009767EC"/>
    <w:rsid w:val="00976B7D"/>
    <w:rsid w:val="00976FA2"/>
    <w:rsid w:val="009771FF"/>
    <w:rsid w:val="009776D6"/>
    <w:rsid w:val="00977FC0"/>
    <w:rsid w:val="00980169"/>
    <w:rsid w:val="009802BC"/>
    <w:rsid w:val="00980460"/>
    <w:rsid w:val="0098092C"/>
    <w:rsid w:val="00980A0C"/>
    <w:rsid w:val="009811A7"/>
    <w:rsid w:val="009817B6"/>
    <w:rsid w:val="0098181F"/>
    <w:rsid w:val="009818AE"/>
    <w:rsid w:val="009821C0"/>
    <w:rsid w:val="00982743"/>
    <w:rsid w:val="00982C76"/>
    <w:rsid w:val="00982C98"/>
    <w:rsid w:val="00982CDF"/>
    <w:rsid w:val="009832A8"/>
    <w:rsid w:val="00983AFA"/>
    <w:rsid w:val="00984141"/>
    <w:rsid w:val="009846ED"/>
    <w:rsid w:val="0098492B"/>
    <w:rsid w:val="00984E48"/>
    <w:rsid w:val="0098508B"/>
    <w:rsid w:val="009857AA"/>
    <w:rsid w:val="00985CEC"/>
    <w:rsid w:val="00985EF7"/>
    <w:rsid w:val="00985F02"/>
    <w:rsid w:val="00985F6E"/>
    <w:rsid w:val="009864B1"/>
    <w:rsid w:val="00986573"/>
    <w:rsid w:val="009867F7"/>
    <w:rsid w:val="009867FD"/>
    <w:rsid w:val="009868B0"/>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725"/>
    <w:rsid w:val="00994873"/>
    <w:rsid w:val="00994E09"/>
    <w:rsid w:val="00995141"/>
    <w:rsid w:val="009958A4"/>
    <w:rsid w:val="00996354"/>
    <w:rsid w:val="0099668E"/>
    <w:rsid w:val="009968AF"/>
    <w:rsid w:val="00996AEB"/>
    <w:rsid w:val="00996EAE"/>
    <w:rsid w:val="009972A1"/>
    <w:rsid w:val="0099736A"/>
    <w:rsid w:val="0099747B"/>
    <w:rsid w:val="00997662"/>
    <w:rsid w:val="009978E4"/>
    <w:rsid w:val="009A0398"/>
    <w:rsid w:val="009A0518"/>
    <w:rsid w:val="009A086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B0D"/>
    <w:rsid w:val="009A3CE1"/>
    <w:rsid w:val="009A458E"/>
    <w:rsid w:val="009A4661"/>
    <w:rsid w:val="009A48D8"/>
    <w:rsid w:val="009A4D63"/>
    <w:rsid w:val="009A50E6"/>
    <w:rsid w:val="009A5C17"/>
    <w:rsid w:val="009A6733"/>
    <w:rsid w:val="009A69E0"/>
    <w:rsid w:val="009A6D81"/>
    <w:rsid w:val="009A72A3"/>
    <w:rsid w:val="009A72A7"/>
    <w:rsid w:val="009A78F0"/>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A28"/>
    <w:rsid w:val="009B4C67"/>
    <w:rsid w:val="009B4E5E"/>
    <w:rsid w:val="009B57D9"/>
    <w:rsid w:val="009B6351"/>
    <w:rsid w:val="009B63DC"/>
    <w:rsid w:val="009B65DA"/>
    <w:rsid w:val="009B76D9"/>
    <w:rsid w:val="009B773D"/>
    <w:rsid w:val="009B77B1"/>
    <w:rsid w:val="009B7ABB"/>
    <w:rsid w:val="009C01A9"/>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59C1"/>
    <w:rsid w:val="009C5BDF"/>
    <w:rsid w:val="009C611B"/>
    <w:rsid w:val="009C62F8"/>
    <w:rsid w:val="009C6335"/>
    <w:rsid w:val="009C69B6"/>
    <w:rsid w:val="009C7454"/>
    <w:rsid w:val="009C74DA"/>
    <w:rsid w:val="009C7554"/>
    <w:rsid w:val="009C77E0"/>
    <w:rsid w:val="009C7B02"/>
    <w:rsid w:val="009C7E3F"/>
    <w:rsid w:val="009D043B"/>
    <w:rsid w:val="009D05DF"/>
    <w:rsid w:val="009D06AD"/>
    <w:rsid w:val="009D1D92"/>
    <w:rsid w:val="009D276C"/>
    <w:rsid w:val="009D4039"/>
    <w:rsid w:val="009D444F"/>
    <w:rsid w:val="009D450A"/>
    <w:rsid w:val="009D4859"/>
    <w:rsid w:val="009D4D68"/>
    <w:rsid w:val="009D5107"/>
    <w:rsid w:val="009D544F"/>
    <w:rsid w:val="009D5906"/>
    <w:rsid w:val="009D594D"/>
    <w:rsid w:val="009D5976"/>
    <w:rsid w:val="009D6782"/>
    <w:rsid w:val="009D698E"/>
    <w:rsid w:val="009D772B"/>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142"/>
    <w:rsid w:val="009F554D"/>
    <w:rsid w:val="009F55C9"/>
    <w:rsid w:val="009F58FE"/>
    <w:rsid w:val="009F62DF"/>
    <w:rsid w:val="009F633D"/>
    <w:rsid w:val="009F64A9"/>
    <w:rsid w:val="009F6C3E"/>
    <w:rsid w:val="009F6D83"/>
    <w:rsid w:val="009F6DF4"/>
    <w:rsid w:val="009F742B"/>
    <w:rsid w:val="009F74F9"/>
    <w:rsid w:val="009F763A"/>
    <w:rsid w:val="009F775C"/>
    <w:rsid w:val="009F7909"/>
    <w:rsid w:val="009F7D66"/>
    <w:rsid w:val="009F7EA4"/>
    <w:rsid w:val="009F7F58"/>
    <w:rsid w:val="00A002B9"/>
    <w:rsid w:val="00A0047F"/>
    <w:rsid w:val="00A007D4"/>
    <w:rsid w:val="00A00C4A"/>
    <w:rsid w:val="00A00E50"/>
    <w:rsid w:val="00A013FD"/>
    <w:rsid w:val="00A01651"/>
    <w:rsid w:val="00A01714"/>
    <w:rsid w:val="00A01903"/>
    <w:rsid w:val="00A01970"/>
    <w:rsid w:val="00A019DE"/>
    <w:rsid w:val="00A02FCE"/>
    <w:rsid w:val="00A038DE"/>
    <w:rsid w:val="00A0394F"/>
    <w:rsid w:val="00A03C18"/>
    <w:rsid w:val="00A04123"/>
    <w:rsid w:val="00A04B4A"/>
    <w:rsid w:val="00A04B6F"/>
    <w:rsid w:val="00A04CAD"/>
    <w:rsid w:val="00A04DB5"/>
    <w:rsid w:val="00A04DF0"/>
    <w:rsid w:val="00A0528D"/>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4FD"/>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0F"/>
    <w:rsid w:val="00A20BFC"/>
    <w:rsid w:val="00A2103E"/>
    <w:rsid w:val="00A217B0"/>
    <w:rsid w:val="00A21DA8"/>
    <w:rsid w:val="00A21FB5"/>
    <w:rsid w:val="00A2232A"/>
    <w:rsid w:val="00A22417"/>
    <w:rsid w:val="00A22A57"/>
    <w:rsid w:val="00A22AC3"/>
    <w:rsid w:val="00A22F6C"/>
    <w:rsid w:val="00A2310A"/>
    <w:rsid w:val="00A23398"/>
    <w:rsid w:val="00A2373A"/>
    <w:rsid w:val="00A23915"/>
    <w:rsid w:val="00A2406C"/>
    <w:rsid w:val="00A24226"/>
    <w:rsid w:val="00A2465B"/>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27487"/>
    <w:rsid w:val="00A3033D"/>
    <w:rsid w:val="00A30C39"/>
    <w:rsid w:val="00A30FB4"/>
    <w:rsid w:val="00A31230"/>
    <w:rsid w:val="00A31769"/>
    <w:rsid w:val="00A31917"/>
    <w:rsid w:val="00A31AF6"/>
    <w:rsid w:val="00A31B94"/>
    <w:rsid w:val="00A31C5B"/>
    <w:rsid w:val="00A31EF1"/>
    <w:rsid w:val="00A3235E"/>
    <w:rsid w:val="00A32865"/>
    <w:rsid w:val="00A32E0C"/>
    <w:rsid w:val="00A32E39"/>
    <w:rsid w:val="00A32ED5"/>
    <w:rsid w:val="00A33438"/>
    <w:rsid w:val="00A33455"/>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0F9"/>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B72"/>
    <w:rsid w:val="00A56C22"/>
    <w:rsid w:val="00A56D8C"/>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D4C"/>
    <w:rsid w:val="00A66E3B"/>
    <w:rsid w:val="00A671E0"/>
    <w:rsid w:val="00A672C0"/>
    <w:rsid w:val="00A67938"/>
    <w:rsid w:val="00A679A4"/>
    <w:rsid w:val="00A67D68"/>
    <w:rsid w:val="00A706A2"/>
    <w:rsid w:val="00A70AF1"/>
    <w:rsid w:val="00A70DDB"/>
    <w:rsid w:val="00A71568"/>
    <w:rsid w:val="00A71855"/>
    <w:rsid w:val="00A718F9"/>
    <w:rsid w:val="00A7203C"/>
    <w:rsid w:val="00A724C5"/>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4E53"/>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62C"/>
    <w:rsid w:val="00AA0AFC"/>
    <w:rsid w:val="00AA137E"/>
    <w:rsid w:val="00AA1440"/>
    <w:rsid w:val="00AA15EE"/>
    <w:rsid w:val="00AA1EBF"/>
    <w:rsid w:val="00AA2654"/>
    <w:rsid w:val="00AA299F"/>
    <w:rsid w:val="00AA33A6"/>
    <w:rsid w:val="00AA33AD"/>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FE"/>
    <w:rsid w:val="00AA7FA4"/>
    <w:rsid w:val="00AB09F9"/>
    <w:rsid w:val="00AB0C3F"/>
    <w:rsid w:val="00AB0E52"/>
    <w:rsid w:val="00AB1584"/>
    <w:rsid w:val="00AB165B"/>
    <w:rsid w:val="00AB1A72"/>
    <w:rsid w:val="00AB1D3F"/>
    <w:rsid w:val="00AB2574"/>
    <w:rsid w:val="00AB2697"/>
    <w:rsid w:val="00AB2E67"/>
    <w:rsid w:val="00AB2FE2"/>
    <w:rsid w:val="00AB3413"/>
    <w:rsid w:val="00AB3462"/>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54"/>
    <w:rsid w:val="00AC59EA"/>
    <w:rsid w:val="00AC63DC"/>
    <w:rsid w:val="00AC64E1"/>
    <w:rsid w:val="00AC689E"/>
    <w:rsid w:val="00AC6C63"/>
    <w:rsid w:val="00AC733F"/>
    <w:rsid w:val="00AC7667"/>
    <w:rsid w:val="00AC79AF"/>
    <w:rsid w:val="00AC7AF3"/>
    <w:rsid w:val="00AC7B39"/>
    <w:rsid w:val="00AC7DED"/>
    <w:rsid w:val="00AD014B"/>
    <w:rsid w:val="00AD03AB"/>
    <w:rsid w:val="00AD0502"/>
    <w:rsid w:val="00AD0928"/>
    <w:rsid w:val="00AD0F10"/>
    <w:rsid w:val="00AD17C7"/>
    <w:rsid w:val="00AD18C1"/>
    <w:rsid w:val="00AD2080"/>
    <w:rsid w:val="00AD2289"/>
    <w:rsid w:val="00AD2D07"/>
    <w:rsid w:val="00AD32C0"/>
    <w:rsid w:val="00AD3990"/>
    <w:rsid w:val="00AD3B5D"/>
    <w:rsid w:val="00AD3CAD"/>
    <w:rsid w:val="00AD4080"/>
    <w:rsid w:val="00AD413D"/>
    <w:rsid w:val="00AD44B5"/>
    <w:rsid w:val="00AD47E1"/>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E05D1"/>
    <w:rsid w:val="00AE0662"/>
    <w:rsid w:val="00AE066D"/>
    <w:rsid w:val="00AE06ED"/>
    <w:rsid w:val="00AE0E89"/>
    <w:rsid w:val="00AE1078"/>
    <w:rsid w:val="00AE13D3"/>
    <w:rsid w:val="00AE1792"/>
    <w:rsid w:val="00AE1C84"/>
    <w:rsid w:val="00AE2112"/>
    <w:rsid w:val="00AE2F67"/>
    <w:rsid w:val="00AE2F7E"/>
    <w:rsid w:val="00AE3502"/>
    <w:rsid w:val="00AE3742"/>
    <w:rsid w:val="00AE3D24"/>
    <w:rsid w:val="00AE3D35"/>
    <w:rsid w:val="00AE466C"/>
    <w:rsid w:val="00AE48E4"/>
    <w:rsid w:val="00AE4D6F"/>
    <w:rsid w:val="00AE4DC1"/>
    <w:rsid w:val="00AE516B"/>
    <w:rsid w:val="00AE572E"/>
    <w:rsid w:val="00AE5772"/>
    <w:rsid w:val="00AE5E52"/>
    <w:rsid w:val="00AE6161"/>
    <w:rsid w:val="00AE6A47"/>
    <w:rsid w:val="00AE6B28"/>
    <w:rsid w:val="00AE6DE8"/>
    <w:rsid w:val="00AE714C"/>
    <w:rsid w:val="00AE714D"/>
    <w:rsid w:val="00AE776C"/>
    <w:rsid w:val="00AE7A30"/>
    <w:rsid w:val="00AE7D11"/>
    <w:rsid w:val="00AF05BB"/>
    <w:rsid w:val="00AF0CC9"/>
    <w:rsid w:val="00AF1890"/>
    <w:rsid w:val="00AF1979"/>
    <w:rsid w:val="00AF1A43"/>
    <w:rsid w:val="00AF2095"/>
    <w:rsid w:val="00AF2210"/>
    <w:rsid w:val="00AF3233"/>
    <w:rsid w:val="00AF3494"/>
    <w:rsid w:val="00AF3AAE"/>
    <w:rsid w:val="00AF47E0"/>
    <w:rsid w:val="00AF4B25"/>
    <w:rsid w:val="00AF4D89"/>
    <w:rsid w:val="00AF4FEE"/>
    <w:rsid w:val="00AF58BD"/>
    <w:rsid w:val="00AF6064"/>
    <w:rsid w:val="00AF614F"/>
    <w:rsid w:val="00AF6415"/>
    <w:rsid w:val="00AF685E"/>
    <w:rsid w:val="00AF69BA"/>
    <w:rsid w:val="00AF6F5B"/>
    <w:rsid w:val="00AF7018"/>
    <w:rsid w:val="00AF70E2"/>
    <w:rsid w:val="00AF7142"/>
    <w:rsid w:val="00B00263"/>
    <w:rsid w:val="00B00474"/>
    <w:rsid w:val="00B008B4"/>
    <w:rsid w:val="00B00FCB"/>
    <w:rsid w:val="00B013C2"/>
    <w:rsid w:val="00B0182C"/>
    <w:rsid w:val="00B0235B"/>
    <w:rsid w:val="00B024A1"/>
    <w:rsid w:val="00B0254E"/>
    <w:rsid w:val="00B026C5"/>
    <w:rsid w:val="00B02D45"/>
    <w:rsid w:val="00B0308D"/>
    <w:rsid w:val="00B031F1"/>
    <w:rsid w:val="00B037B6"/>
    <w:rsid w:val="00B03F30"/>
    <w:rsid w:val="00B04187"/>
    <w:rsid w:val="00B04729"/>
    <w:rsid w:val="00B04B60"/>
    <w:rsid w:val="00B05D27"/>
    <w:rsid w:val="00B05FBE"/>
    <w:rsid w:val="00B061D9"/>
    <w:rsid w:val="00B067C1"/>
    <w:rsid w:val="00B06B0E"/>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530"/>
    <w:rsid w:val="00B137A6"/>
    <w:rsid w:val="00B13900"/>
    <w:rsid w:val="00B13947"/>
    <w:rsid w:val="00B13D3D"/>
    <w:rsid w:val="00B14046"/>
    <w:rsid w:val="00B14357"/>
    <w:rsid w:val="00B148C6"/>
    <w:rsid w:val="00B14B73"/>
    <w:rsid w:val="00B14DF2"/>
    <w:rsid w:val="00B14FBA"/>
    <w:rsid w:val="00B1513F"/>
    <w:rsid w:val="00B153B0"/>
    <w:rsid w:val="00B1573C"/>
    <w:rsid w:val="00B15D4C"/>
    <w:rsid w:val="00B15F4D"/>
    <w:rsid w:val="00B1600D"/>
    <w:rsid w:val="00B16246"/>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B86"/>
    <w:rsid w:val="00B21CFE"/>
    <w:rsid w:val="00B21F8B"/>
    <w:rsid w:val="00B22519"/>
    <w:rsid w:val="00B22616"/>
    <w:rsid w:val="00B22A39"/>
    <w:rsid w:val="00B22E5E"/>
    <w:rsid w:val="00B2331B"/>
    <w:rsid w:val="00B23578"/>
    <w:rsid w:val="00B236C0"/>
    <w:rsid w:val="00B23B6D"/>
    <w:rsid w:val="00B23D9C"/>
    <w:rsid w:val="00B24246"/>
    <w:rsid w:val="00B248C8"/>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FD9"/>
    <w:rsid w:val="00B37255"/>
    <w:rsid w:val="00B375D0"/>
    <w:rsid w:val="00B37A18"/>
    <w:rsid w:val="00B37EE7"/>
    <w:rsid w:val="00B4038D"/>
    <w:rsid w:val="00B406C9"/>
    <w:rsid w:val="00B411A9"/>
    <w:rsid w:val="00B41444"/>
    <w:rsid w:val="00B41A42"/>
    <w:rsid w:val="00B41CE3"/>
    <w:rsid w:val="00B4235B"/>
    <w:rsid w:val="00B42793"/>
    <w:rsid w:val="00B42877"/>
    <w:rsid w:val="00B42980"/>
    <w:rsid w:val="00B43495"/>
    <w:rsid w:val="00B4379C"/>
    <w:rsid w:val="00B43DEC"/>
    <w:rsid w:val="00B43FB1"/>
    <w:rsid w:val="00B4438A"/>
    <w:rsid w:val="00B447BC"/>
    <w:rsid w:val="00B45072"/>
    <w:rsid w:val="00B4511F"/>
    <w:rsid w:val="00B45355"/>
    <w:rsid w:val="00B45528"/>
    <w:rsid w:val="00B45E70"/>
    <w:rsid w:val="00B46167"/>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507"/>
    <w:rsid w:val="00B54668"/>
    <w:rsid w:val="00B54B15"/>
    <w:rsid w:val="00B54B5C"/>
    <w:rsid w:val="00B54D86"/>
    <w:rsid w:val="00B5511F"/>
    <w:rsid w:val="00B5528B"/>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28F"/>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B2B"/>
    <w:rsid w:val="00B66C99"/>
    <w:rsid w:val="00B66D8E"/>
    <w:rsid w:val="00B6700A"/>
    <w:rsid w:val="00B67588"/>
    <w:rsid w:val="00B677B5"/>
    <w:rsid w:val="00B67C1D"/>
    <w:rsid w:val="00B67DC2"/>
    <w:rsid w:val="00B67F0C"/>
    <w:rsid w:val="00B70222"/>
    <w:rsid w:val="00B7043D"/>
    <w:rsid w:val="00B71489"/>
    <w:rsid w:val="00B718A0"/>
    <w:rsid w:val="00B718AB"/>
    <w:rsid w:val="00B7212A"/>
    <w:rsid w:val="00B7267A"/>
    <w:rsid w:val="00B729E1"/>
    <w:rsid w:val="00B730A7"/>
    <w:rsid w:val="00B732FC"/>
    <w:rsid w:val="00B736C1"/>
    <w:rsid w:val="00B73B9B"/>
    <w:rsid w:val="00B73E37"/>
    <w:rsid w:val="00B743A6"/>
    <w:rsid w:val="00B745E6"/>
    <w:rsid w:val="00B74AB6"/>
    <w:rsid w:val="00B74EC9"/>
    <w:rsid w:val="00B7530E"/>
    <w:rsid w:val="00B754DC"/>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7F7"/>
    <w:rsid w:val="00B82E91"/>
    <w:rsid w:val="00B832B8"/>
    <w:rsid w:val="00B83AD7"/>
    <w:rsid w:val="00B8422C"/>
    <w:rsid w:val="00B8434E"/>
    <w:rsid w:val="00B84372"/>
    <w:rsid w:val="00B84437"/>
    <w:rsid w:val="00B84483"/>
    <w:rsid w:val="00B844A8"/>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87CC9"/>
    <w:rsid w:val="00B902B1"/>
    <w:rsid w:val="00B90B95"/>
    <w:rsid w:val="00B910E8"/>
    <w:rsid w:val="00B91105"/>
    <w:rsid w:val="00B91972"/>
    <w:rsid w:val="00B922F0"/>
    <w:rsid w:val="00B92668"/>
    <w:rsid w:val="00B927A9"/>
    <w:rsid w:val="00B93008"/>
    <w:rsid w:val="00B9331A"/>
    <w:rsid w:val="00B9350A"/>
    <w:rsid w:val="00B93761"/>
    <w:rsid w:val="00B93931"/>
    <w:rsid w:val="00B93C15"/>
    <w:rsid w:val="00B9462D"/>
    <w:rsid w:val="00B94862"/>
    <w:rsid w:val="00B94E0E"/>
    <w:rsid w:val="00B94F1E"/>
    <w:rsid w:val="00B953D1"/>
    <w:rsid w:val="00B9557D"/>
    <w:rsid w:val="00B95D85"/>
    <w:rsid w:val="00B95EF4"/>
    <w:rsid w:val="00B96083"/>
    <w:rsid w:val="00B965C1"/>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281"/>
    <w:rsid w:val="00BA6B6F"/>
    <w:rsid w:val="00BA7050"/>
    <w:rsid w:val="00BA7517"/>
    <w:rsid w:val="00BA7CE0"/>
    <w:rsid w:val="00BA7D5C"/>
    <w:rsid w:val="00BB05B6"/>
    <w:rsid w:val="00BB0779"/>
    <w:rsid w:val="00BB0D59"/>
    <w:rsid w:val="00BB0D7F"/>
    <w:rsid w:val="00BB0FC7"/>
    <w:rsid w:val="00BB1D7F"/>
    <w:rsid w:val="00BB1FA5"/>
    <w:rsid w:val="00BB24D3"/>
    <w:rsid w:val="00BB2CB6"/>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694"/>
    <w:rsid w:val="00BB7895"/>
    <w:rsid w:val="00BB7B79"/>
    <w:rsid w:val="00BB7BBD"/>
    <w:rsid w:val="00BC0D16"/>
    <w:rsid w:val="00BC10A4"/>
    <w:rsid w:val="00BC139E"/>
    <w:rsid w:val="00BC2050"/>
    <w:rsid w:val="00BC209D"/>
    <w:rsid w:val="00BC227A"/>
    <w:rsid w:val="00BC2548"/>
    <w:rsid w:val="00BC3022"/>
    <w:rsid w:val="00BC358C"/>
    <w:rsid w:val="00BC3858"/>
    <w:rsid w:val="00BC38B6"/>
    <w:rsid w:val="00BC3DE0"/>
    <w:rsid w:val="00BC3E73"/>
    <w:rsid w:val="00BC3F6E"/>
    <w:rsid w:val="00BC4177"/>
    <w:rsid w:val="00BC4571"/>
    <w:rsid w:val="00BC4D60"/>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1481"/>
    <w:rsid w:val="00BE1F1E"/>
    <w:rsid w:val="00BE2A6F"/>
    <w:rsid w:val="00BE2C45"/>
    <w:rsid w:val="00BE2D0D"/>
    <w:rsid w:val="00BE33CD"/>
    <w:rsid w:val="00BE3594"/>
    <w:rsid w:val="00BE35FD"/>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65C7"/>
    <w:rsid w:val="00BF69B8"/>
    <w:rsid w:val="00BF6F3B"/>
    <w:rsid w:val="00BF7664"/>
    <w:rsid w:val="00BF7889"/>
    <w:rsid w:val="00C0055C"/>
    <w:rsid w:val="00C007A3"/>
    <w:rsid w:val="00C00F6B"/>
    <w:rsid w:val="00C01601"/>
    <w:rsid w:val="00C01854"/>
    <w:rsid w:val="00C0196A"/>
    <w:rsid w:val="00C019B9"/>
    <w:rsid w:val="00C01F91"/>
    <w:rsid w:val="00C024FC"/>
    <w:rsid w:val="00C02581"/>
    <w:rsid w:val="00C0275C"/>
    <w:rsid w:val="00C02AE7"/>
    <w:rsid w:val="00C02C37"/>
    <w:rsid w:val="00C03547"/>
    <w:rsid w:val="00C03773"/>
    <w:rsid w:val="00C03CAB"/>
    <w:rsid w:val="00C03CAE"/>
    <w:rsid w:val="00C0418E"/>
    <w:rsid w:val="00C041D2"/>
    <w:rsid w:val="00C04BA4"/>
    <w:rsid w:val="00C052AB"/>
    <w:rsid w:val="00C054FB"/>
    <w:rsid w:val="00C05DCE"/>
    <w:rsid w:val="00C05E95"/>
    <w:rsid w:val="00C06B1F"/>
    <w:rsid w:val="00C0702E"/>
    <w:rsid w:val="00C07061"/>
    <w:rsid w:val="00C071A7"/>
    <w:rsid w:val="00C078FB"/>
    <w:rsid w:val="00C07E16"/>
    <w:rsid w:val="00C07E61"/>
    <w:rsid w:val="00C100BF"/>
    <w:rsid w:val="00C10455"/>
    <w:rsid w:val="00C1091C"/>
    <w:rsid w:val="00C10998"/>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BBA"/>
    <w:rsid w:val="00C16C4F"/>
    <w:rsid w:val="00C1757D"/>
    <w:rsid w:val="00C1770D"/>
    <w:rsid w:val="00C1776E"/>
    <w:rsid w:val="00C17FCF"/>
    <w:rsid w:val="00C20531"/>
    <w:rsid w:val="00C20BEA"/>
    <w:rsid w:val="00C20C7C"/>
    <w:rsid w:val="00C21016"/>
    <w:rsid w:val="00C21368"/>
    <w:rsid w:val="00C21D22"/>
    <w:rsid w:val="00C2245A"/>
    <w:rsid w:val="00C2255D"/>
    <w:rsid w:val="00C22776"/>
    <w:rsid w:val="00C22A7E"/>
    <w:rsid w:val="00C22B9D"/>
    <w:rsid w:val="00C23068"/>
    <w:rsid w:val="00C237AB"/>
    <w:rsid w:val="00C2392F"/>
    <w:rsid w:val="00C23D87"/>
    <w:rsid w:val="00C2477A"/>
    <w:rsid w:val="00C248C4"/>
    <w:rsid w:val="00C24C76"/>
    <w:rsid w:val="00C25681"/>
    <w:rsid w:val="00C2571F"/>
    <w:rsid w:val="00C25874"/>
    <w:rsid w:val="00C26B90"/>
    <w:rsid w:val="00C26CD4"/>
    <w:rsid w:val="00C26E55"/>
    <w:rsid w:val="00C271C5"/>
    <w:rsid w:val="00C278C0"/>
    <w:rsid w:val="00C278F3"/>
    <w:rsid w:val="00C27913"/>
    <w:rsid w:val="00C27C11"/>
    <w:rsid w:val="00C27EB7"/>
    <w:rsid w:val="00C30444"/>
    <w:rsid w:val="00C30936"/>
    <w:rsid w:val="00C30D27"/>
    <w:rsid w:val="00C3126A"/>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170"/>
    <w:rsid w:val="00C3661A"/>
    <w:rsid w:val="00C3677C"/>
    <w:rsid w:val="00C36840"/>
    <w:rsid w:val="00C37122"/>
    <w:rsid w:val="00C372ED"/>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8AD"/>
    <w:rsid w:val="00C50C57"/>
    <w:rsid w:val="00C50C92"/>
    <w:rsid w:val="00C50CE7"/>
    <w:rsid w:val="00C50DF6"/>
    <w:rsid w:val="00C50E2C"/>
    <w:rsid w:val="00C5117A"/>
    <w:rsid w:val="00C51760"/>
    <w:rsid w:val="00C51BC6"/>
    <w:rsid w:val="00C51FAA"/>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751"/>
    <w:rsid w:val="00C57A8E"/>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928"/>
    <w:rsid w:val="00C81576"/>
    <w:rsid w:val="00C81BA7"/>
    <w:rsid w:val="00C81BC0"/>
    <w:rsid w:val="00C81C2D"/>
    <w:rsid w:val="00C82656"/>
    <w:rsid w:val="00C82691"/>
    <w:rsid w:val="00C826BB"/>
    <w:rsid w:val="00C82A66"/>
    <w:rsid w:val="00C82D6B"/>
    <w:rsid w:val="00C83964"/>
    <w:rsid w:val="00C83A80"/>
    <w:rsid w:val="00C83AC3"/>
    <w:rsid w:val="00C83C34"/>
    <w:rsid w:val="00C842B6"/>
    <w:rsid w:val="00C8439A"/>
    <w:rsid w:val="00C84CD2"/>
    <w:rsid w:val="00C85F0B"/>
    <w:rsid w:val="00C8623C"/>
    <w:rsid w:val="00C86255"/>
    <w:rsid w:val="00C863B4"/>
    <w:rsid w:val="00C866F4"/>
    <w:rsid w:val="00C869C7"/>
    <w:rsid w:val="00C86CEF"/>
    <w:rsid w:val="00C86F22"/>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31C7"/>
    <w:rsid w:val="00C931EC"/>
    <w:rsid w:val="00C938A6"/>
    <w:rsid w:val="00C939A5"/>
    <w:rsid w:val="00C93BD1"/>
    <w:rsid w:val="00C9469F"/>
    <w:rsid w:val="00C9477F"/>
    <w:rsid w:val="00C9499F"/>
    <w:rsid w:val="00C949CD"/>
    <w:rsid w:val="00C94C95"/>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C83"/>
    <w:rsid w:val="00CA3055"/>
    <w:rsid w:val="00CA31DA"/>
    <w:rsid w:val="00CA3622"/>
    <w:rsid w:val="00CA37F1"/>
    <w:rsid w:val="00CA39EE"/>
    <w:rsid w:val="00CA3A30"/>
    <w:rsid w:val="00CA3C36"/>
    <w:rsid w:val="00CA4191"/>
    <w:rsid w:val="00CA4730"/>
    <w:rsid w:val="00CA4852"/>
    <w:rsid w:val="00CA49CE"/>
    <w:rsid w:val="00CA4A1D"/>
    <w:rsid w:val="00CA5583"/>
    <w:rsid w:val="00CA567D"/>
    <w:rsid w:val="00CA619E"/>
    <w:rsid w:val="00CA6227"/>
    <w:rsid w:val="00CA62B1"/>
    <w:rsid w:val="00CA65F0"/>
    <w:rsid w:val="00CA66A8"/>
    <w:rsid w:val="00CA6B5A"/>
    <w:rsid w:val="00CA6EBC"/>
    <w:rsid w:val="00CA7198"/>
    <w:rsid w:val="00CA75AD"/>
    <w:rsid w:val="00CA78E9"/>
    <w:rsid w:val="00CA7E2D"/>
    <w:rsid w:val="00CB02D2"/>
    <w:rsid w:val="00CB057D"/>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6D9"/>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7F2"/>
    <w:rsid w:val="00CC6FCF"/>
    <w:rsid w:val="00CC763E"/>
    <w:rsid w:val="00CC7DBA"/>
    <w:rsid w:val="00CD0686"/>
    <w:rsid w:val="00CD163B"/>
    <w:rsid w:val="00CD16BD"/>
    <w:rsid w:val="00CD1A6C"/>
    <w:rsid w:val="00CD22B7"/>
    <w:rsid w:val="00CD2C2C"/>
    <w:rsid w:val="00CD2CA5"/>
    <w:rsid w:val="00CD2F63"/>
    <w:rsid w:val="00CD2FE6"/>
    <w:rsid w:val="00CD3079"/>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E06"/>
    <w:rsid w:val="00CD5EB0"/>
    <w:rsid w:val="00CD6864"/>
    <w:rsid w:val="00CD6980"/>
    <w:rsid w:val="00CD7479"/>
    <w:rsid w:val="00CD7C19"/>
    <w:rsid w:val="00CD7D2E"/>
    <w:rsid w:val="00CE021E"/>
    <w:rsid w:val="00CE0B26"/>
    <w:rsid w:val="00CE10EF"/>
    <w:rsid w:val="00CE1312"/>
    <w:rsid w:val="00CE13B2"/>
    <w:rsid w:val="00CE1757"/>
    <w:rsid w:val="00CE2493"/>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92"/>
    <w:rsid w:val="00CF13F3"/>
    <w:rsid w:val="00CF17FE"/>
    <w:rsid w:val="00CF1ABC"/>
    <w:rsid w:val="00CF1D0B"/>
    <w:rsid w:val="00CF1E2E"/>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74F"/>
    <w:rsid w:val="00D02C40"/>
    <w:rsid w:val="00D030EF"/>
    <w:rsid w:val="00D03499"/>
    <w:rsid w:val="00D034D6"/>
    <w:rsid w:val="00D03718"/>
    <w:rsid w:val="00D039D8"/>
    <w:rsid w:val="00D03A33"/>
    <w:rsid w:val="00D03A8A"/>
    <w:rsid w:val="00D03C60"/>
    <w:rsid w:val="00D04576"/>
    <w:rsid w:val="00D04CFC"/>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8E2"/>
    <w:rsid w:val="00D12359"/>
    <w:rsid w:val="00D12417"/>
    <w:rsid w:val="00D12600"/>
    <w:rsid w:val="00D12CBD"/>
    <w:rsid w:val="00D12F03"/>
    <w:rsid w:val="00D13049"/>
    <w:rsid w:val="00D130CA"/>
    <w:rsid w:val="00D136FB"/>
    <w:rsid w:val="00D13ABA"/>
    <w:rsid w:val="00D1428B"/>
    <w:rsid w:val="00D1455A"/>
    <w:rsid w:val="00D14976"/>
    <w:rsid w:val="00D14E8C"/>
    <w:rsid w:val="00D14FD8"/>
    <w:rsid w:val="00D15AA0"/>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05F"/>
    <w:rsid w:val="00D2418F"/>
    <w:rsid w:val="00D24294"/>
    <w:rsid w:val="00D242AE"/>
    <w:rsid w:val="00D2476A"/>
    <w:rsid w:val="00D250DC"/>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E1D"/>
    <w:rsid w:val="00D27EDF"/>
    <w:rsid w:val="00D300B0"/>
    <w:rsid w:val="00D301BA"/>
    <w:rsid w:val="00D30216"/>
    <w:rsid w:val="00D30399"/>
    <w:rsid w:val="00D310A6"/>
    <w:rsid w:val="00D31600"/>
    <w:rsid w:val="00D318E6"/>
    <w:rsid w:val="00D319B7"/>
    <w:rsid w:val="00D31B95"/>
    <w:rsid w:val="00D31BB7"/>
    <w:rsid w:val="00D31C5D"/>
    <w:rsid w:val="00D32059"/>
    <w:rsid w:val="00D32284"/>
    <w:rsid w:val="00D324CC"/>
    <w:rsid w:val="00D329EA"/>
    <w:rsid w:val="00D33147"/>
    <w:rsid w:val="00D3351F"/>
    <w:rsid w:val="00D3473E"/>
    <w:rsid w:val="00D34903"/>
    <w:rsid w:val="00D35511"/>
    <w:rsid w:val="00D3583A"/>
    <w:rsid w:val="00D36010"/>
    <w:rsid w:val="00D3626A"/>
    <w:rsid w:val="00D3683C"/>
    <w:rsid w:val="00D37177"/>
    <w:rsid w:val="00D37204"/>
    <w:rsid w:val="00D37570"/>
    <w:rsid w:val="00D37AD5"/>
    <w:rsid w:val="00D37DC4"/>
    <w:rsid w:val="00D4006C"/>
    <w:rsid w:val="00D40835"/>
    <w:rsid w:val="00D41349"/>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75"/>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347"/>
    <w:rsid w:val="00D62439"/>
    <w:rsid w:val="00D62582"/>
    <w:rsid w:val="00D62D0A"/>
    <w:rsid w:val="00D63597"/>
    <w:rsid w:val="00D63A22"/>
    <w:rsid w:val="00D63CFE"/>
    <w:rsid w:val="00D63E66"/>
    <w:rsid w:val="00D6443E"/>
    <w:rsid w:val="00D64472"/>
    <w:rsid w:val="00D64EDA"/>
    <w:rsid w:val="00D653DA"/>
    <w:rsid w:val="00D65B35"/>
    <w:rsid w:val="00D66419"/>
    <w:rsid w:val="00D666D0"/>
    <w:rsid w:val="00D6712F"/>
    <w:rsid w:val="00D67CF3"/>
    <w:rsid w:val="00D70520"/>
    <w:rsid w:val="00D70627"/>
    <w:rsid w:val="00D7099D"/>
    <w:rsid w:val="00D70B9C"/>
    <w:rsid w:val="00D70FD1"/>
    <w:rsid w:val="00D7126A"/>
    <w:rsid w:val="00D716D2"/>
    <w:rsid w:val="00D7181F"/>
    <w:rsid w:val="00D71D0C"/>
    <w:rsid w:val="00D72111"/>
    <w:rsid w:val="00D7222E"/>
    <w:rsid w:val="00D723CD"/>
    <w:rsid w:val="00D72B42"/>
    <w:rsid w:val="00D72C1F"/>
    <w:rsid w:val="00D72E0D"/>
    <w:rsid w:val="00D732DF"/>
    <w:rsid w:val="00D739E3"/>
    <w:rsid w:val="00D73F6B"/>
    <w:rsid w:val="00D74499"/>
    <w:rsid w:val="00D745B1"/>
    <w:rsid w:val="00D74A6C"/>
    <w:rsid w:val="00D74AC9"/>
    <w:rsid w:val="00D74F2E"/>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94"/>
    <w:rsid w:val="00D95DC5"/>
    <w:rsid w:val="00D96096"/>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2EEF"/>
    <w:rsid w:val="00DA3695"/>
    <w:rsid w:val="00DA37B3"/>
    <w:rsid w:val="00DA3A6A"/>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668"/>
    <w:rsid w:val="00DB2744"/>
    <w:rsid w:val="00DB2C9A"/>
    <w:rsid w:val="00DB3225"/>
    <w:rsid w:val="00DB3440"/>
    <w:rsid w:val="00DB351A"/>
    <w:rsid w:val="00DB35BD"/>
    <w:rsid w:val="00DB36F8"/>
    <w:rsid w:val="00DB3915"/>
    <w:rsid w:val="00DB3A0F"/>
    <w:rsid w:val="00DB3A47"/>
    <w:rsid w:val="00DB3F78"/>
    <w:rsid w:val="00DB3FC7"/>
    <w:rsid w:val="00DB444C"/>
    <w:rsid w:val="00DB449C"/>
    <w:rsid w:val="00DB47E8"/>
    <w:rsid w:val="00DB4C52"/>
    <w:rsid w:val="00DB50ED"/>
    <w:rsid w:val="00DB5380"/>
    <w:rsid w:val="00DB5789"/>
    <w:rsid w:val="00DB6284"/>
    <w:rsid w:val="00DB64C0"/>
    <w:rsid w:val="00DB6528"/>
    <w:rsid w:val="00DB68D5"/>
    <w:rsid w:val="00DB6907"/>
    <w:rsid w:val="00DB75C7"/>
    <w:rsid w:val="00DB762F"/>
    <w:rsid w:val="00DB79E6"/>
    <w:rsid w:val="00DB7A38"/>
    <w:rsid w:val="00DC0A03"/>
    <w:rsid w:val="00DC0CBA"/>
    <w:rsid w:val="00DC0EC3"/>
    <w:rsid w:val="00DC0FE6"/>
    <w:rsid w:val="00DC14C6"/>
    <w:rsid w:val="00DC18CE"/>
    <w:rsid w:val="00DC1A3B"/>
    <w:rsid w:val="00DC1AC2"/>
    <w:rsid w:val="00DC1ADE"/>
    <w:rsid w:val="00DC222C"/>
    <w:rsid w:val="00DC248C"/>
    <w:rsid w:val="00DC24F4"/>
    <w:rsid w:val="00DC27DF"/>
    <w:rsid w:val="00DC2817"/>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0E64"/>
    <w:rsid w:val="00DD1979"/>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C91"/>
    <w:rsid w:val="00DD75DD"/>
    <w:rsid w:val="00DD78CA"/>
    <w:rsid w:val="00DD78EC"/>
    <w:rsid w:val="00DE0C19"/>
    <w:rsid w:val="00DE0D40"/>
    <w:rsid w:val="00DE16C2"/>
    <w:rsid w:val="00DE1FBC"/>
    <w:rsid w:val="00DE20B4"/>
    <w:rsid w:val="00DE20BB"/>
    <w:rsid w:val="00DE22B5"/>
    <w:rsid w:val="00DE259A"/>
    <w:rsid w:val="00DE25D7"/>
    <w:rsid w:val="00DE2930"/>
    <w:rsid w:val="00DE3035"/>
    <w:rsid w:val="00DE335D"/>
    <w:rsid w:val="00DE3BAD"/>
    <w:rsid w:val="00DE3C97"/>
    <w:rsid w:val="00DE3DBB"/>
    <w:rsid w:val="00DE41CD"/>
    <w:rsid w:val="00DE4356"/>
    <w:rsid w:val="00DE46AC"/>
    <w:rsid w:val="00DE4DB4"/>
    <w:rsid w:val="00DE5AB6"/>
    <w:rsid w:val="00DE5B89"/>
    <w:rsid w:val="00DE605C"/>
    <w:rsid w:val="00DE6BBD"/>
    <w:rsid w:val="00DE70C6"/>
    <w:rsid w:val="00DE7B66"/>
    <w:rsid w:val="00DE7C8E"/>
    <w:rsid w:val="00DF0159"/>
    <w:rsid w:val="00DF03AE"/>
    <w:rsid w:val="00DF062B"/>
    <w:rsid w:val="00DF0718"/>
    <w:rsid w:val="00DF0DFE"/>
    <w:rsid w:val="00DF11BA"/>
    <w:rsid w:val="00DF1274"/>
    <w:rsid w:val="00DF192B"/>
    <w:rsid w:val="00DF1BA7"/>
    <w:rsid w:val="00DF1E1C"/>
    <w:rsid w:val="00DF2184"/>
    <w:rsid w:val="00DF247E"/>
    <w:rsid w:val="00DF2800"/>
    <w:rsid w:val="00DF42E0"/>
    <w:rsid w:val="00DF44CC"/>
    <w:rsid w:val="00DF4895"/>
    <w:rsid w:val="00DF48A8"/>
    <w:rsid w:val="00DF4F4F"/>
    <w:rsid w:val="00DF57A2"/>
    <w:rsid w:val="00DF5A00"/>
    <w:rsid w:val="00DF5B4A"/>
    <w:rsid w:val="00DF5E4B"/>
    <w:rsid w:val="00DF6810"/>
    <w:rsid w:val="00DF6CD2"/>
    <w:rsid w:val="00DF6D84"/>
    <w:rsid w:val="00DF7288"/>
    <w:rsid w:val="00DF747F"/>
    <w:rsid w:val="00DF777C"/>
    <w:rsid w:val="00DF7ED2"/>
    <w:rsid w:val="00E00AC0"/>
    <w:rsid w:val="00E00BE4"/>
    <w:rsid w:val="00E00F83"/>
    <w:rsid w:val="00E01223"/>
    <w:rsid w:val="00E0167C"/>
    <w:rsid w:val="00E01A76"/>
    <w:rsid w:val="00E01B64"/>
    <w:rsid w:val="00E02820"/>
    <w:rsid w:val="00E029F0"/>
    <w:rsid w:val="00E02D44"/>
    <w:rsid w:val="00E0315B"/>
    <w:rsid w:val="00E03756"/>
    <w:rsid w:val="00E0381C"/>
    <w:rsid w:val="00E03ABE"/>
    <w:rsid w:val="00E03DF3"/>
    <w:rsid w:val="00E03FAC"/>
    <w:rsid w:val="00E040ED"/>
    <w:rsid w:val="00E04778"/>
    <w:rsid w:val="00E04D53"/>
    <w:rsid w:val="00E04E5D"/>
    <w:rsid w:val="00E04F40"/>
    <w:rsid w:val="00E054D1"/>
    <w:rsid w:val="00E05605"/>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438"/>
    <w:rsid w:val="00E126CF"/>
    <w:rsid w:val="00E127B7"/>
    <w:rsid w:val="00E12874"/>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6DB"/>
    <w:rsid w:val="00E1683E"/>
    <w:rsid w:val="00E168DA"/>
    <w:rsid w:val="00E16CE6"/>
    <w:rsid w:val="00E16D35"/>
    <w:rsid w:val="00E16EA0"/>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768"/>
    <w:rsid w:val="00E26C7D"/>
    <w:rsid w:val="00E26DB9"/>
    <w:rsid w:val="00E26F0C"/>
    <w:rsid w:val="00E26F95"/>
    <w:rsid w:val="00E271BB"/>
    <w:rsid w:val="00E27CBD"/>
    <w:rsid w:val="00E27CC7"/>
    <w:rsid w:val="00E30117"/>
    <w:rsid w:val="00E30565"/>
    <w:rsid w:val="00E30A82"/>
    <w:rsid w:val="00E30E7B"/>
    <w:rsid w:val="00E30E87"/>
    <w:rsid w:val="00E30EE0"/>
    <w:rsid w:val="00E31330"/>
    <w:rsid w:val="00E31603"/>
    <w:rsid w:val="00E31F13"/>
    <w:rsid w:val="00E32378"/>
    <w:rsid w:val="00E32470"/>
    <w:rsid w:val="00E324E7"/>
    <w:rsid w:val="00E32EFD"/>
    <w:rsid w:val="00E33150"/>
    <w:rsid w:val="00E3348A"/>
    <w:rsid w:val="00E343E3"/>
    <w:rsid w:val="00E349EA"/>
    <w:rsid w:val="00E34B44"/>
    <w:rsid w:val="00E3508A"/>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D62"/>
    <w:rsid w:val="00E41083"/>
    <w:rsid w:val="00E41430"/>
    <w:rsid w:val="00E41440"/>
    <w:rsid w:val="00E414D3"/>
    <w:rsid w:val="00E4174D"/>
    <w:rsid w:val="00E420B1"/>
    <w:rsid w:val="00E422B2"/>
    <w:rsid w:val="00E42325"/>
    <w:rsid w:val="00E42FF8"/>
    <w:rsid w:val="00E4315E"/>
    <w:rsid w:val="00E4396A"/>
    <w:rsid w:val="00E43B5F"/>
    <w:rsid w:val="00E43EB7"/>
    <w:rsid w:val="00E43F8E"/>
    <w:rsid w:val="00E44C11"/>
    <w:rsid w:val="00E44CD7"/>
    <w:rsid w:val="00E44D5C"/>
    <w:rsid w:val="00E4517B"/>
    <w:rsid w:val="00E45E5C"/>
    <w:rsid w:val="00E45F36"/>
    <w:rsid w:val="00E45FB6"/>
    <w:rsid w:val="00E464DA"/>
    <w:rsid w:val="00E46725"/>
    <w:rsid w:val="00E4675F"/>
    <w:rsid w:val="00E469DD"/>
    <w:rsid w:val="00E46A24"/>
    <w:rsid w:val="00E46EDF"/>
    <w:rsid w:val="00E47226"/>
    <w:rsid w:val="00E477BD"/>
    <w:rsid w:val="00E5039C"/>
    <w:rsid w:val="00E506A0"/>
    <w:rsid w:val="00E51205"/>
    <w:rsid w:val="00E51477"/>
    <w:rsid w:val="00E51559"/>
    <w:rsid w:val="00E51AFB"/>
    <w:rsid w:val="00E51CE8"/>
    <w:rsid w:val="00E52E45"/>
    <w:rsid w:val="00E53B86"/>
    <w:rsid w:val="00E542BB"/>
    <w:rsid w:val="00E5492C"/>
    <w:rsid w:val="00E54AB1"/>
    <w:rsid w:val="00E54D5E"/>
    <w:rsid w:val="00E54D94"/>
    <w:rsid w:val="00E54ED3"/>
    <w:rsid w:val="00E554AD"/>
    <w:rsid w:val="00E5554E"/>
    <w:rsid w:val="00E557DB"/>
    <w:rsid w:val="00E56278"/>
    <w:rsid w:val="00E56BAD"/>
    <w:rsid w:val="00E56E6E"/>
    <w:rsid w:val="00E574BB"/>
    <w:rsid w:val="00E57718"/>
    <w:rsid w:val="00E60188"/>
    <w:rsid w:val="00E603C9"/>
    <w:rsid w:val="00E6072E"/>
    <w:rsid w:val="00E60734"/>
    <w:rsid w:val="00E609CF"/>
    <w:rsid w:val="00E60C2E"/>
    <w:rsid w:val="00E610C8"/>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382"/>
    <w:rsid w:val="00E656E1"/>
    <w:rsid w:val="00E66098"/>
    <w:rsid w:val="00E66874"/>
    <w:rsid w:val="00E66C6E"/>
    <w:rsid w:val="00E67218"/>
    <w:rsid w:val="00E6738A"/>
    <w:rsid w:val="00E674C4"/>
    <w:rsid w:val="00E67580"/>
    <w:rsid w:val="00E67C1A"/>
    <w:rsid w:val="00E67D5C"/>
    <w:rsid w:val="00E7018D"/>
    <w:rsid w:val="00E70D2E"/>
    <w:rsid w:val="00E71528"/>
    <w:rsid w:val="00E71E0B"/>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854"/>
    <w:rsid w:val="00E76A1A"/>
    <w:rsid w:val="00E76A94"/>
    <w:rsid w:val="00E76DAC"/>
    <w:rsid w:val="00E7723E"/>
    <w:rsid w:val="00E778BD"/>
    <w:rsid w:val="00E77DAA"/>
    <w:rsid w:val="00E803F1"/>
    <w:rsid w:val="00E80CF3"/>
    <w:rsid w:val="00E80E7F"/>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2C3"/>
    <w:rsid w:val="00E85307"/>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7DA"/>
    <w:rsid w:val="00EB2CA2"/>
    <w:rsid w:val="00EB2D87"/>
    <w:rsid w:val="00EB2EFE"/>
    <w:rsid w:val="00EB3773"/>
    <w:rsid w:val="00EB3F39"/>
    <w:rsid w:val="00EB4456"/>
    <w:rsid w:val="00EB4523"/>
    <w:rsid w:val="00EB4DA6"/>
    <w:rsid w:val="00EB53AC"/>
    <w:rsid w:val="00EB584A"/>
    <w:rsid w:val="00EB5DE7"/>
    <w:rsid w:val="00EB5EEA"/>
    <w:rsid w:val="00EB6399"/>
    <w:rsid w:val="00EB6B73"/>
    <w:rsid w:val="00EB6FAC"/>
    <w:rsid w:val="00EB7013"/>
    <w:rsid w:val="00EB7507"/>
    <w:rsid w:val="00EB763C"/>
    <w:rsid w:val="00EB7EBC"/>
    <w:rsid w:val="00EC0140"/>
    <w:rsid w:val="00EC060E"/>
    <w:rsid w:val="00EC08C6"/>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6FF8"/>
    <w:rsid w:val="00EC71DA"/>
    <w:rsid w:val="00EC7C04"/>
    <w:rsid w:val="00EC7DB7"/>
    <w:rsid w:val="00ED0049"/>
    <w:rsid w:val="00ED007F"/>
    <w:rsid w:val="00ED0245"/>
    <w:rsid w:val="00ED0335"/>
    <w:rsid w:val="00ED03EC"/>
    <w:rsid w:val="00ED058D"/>
    <w:rsid w:val="00ED0811"/>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1CD"/>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36B"/>
    <w:rsid w:val="00EF557F"/>
    <w:rsid w:val="00EF5FE4"/>
    <w:rsid w:val="00EF611B"/>
    <w:rsid w:val="00EF6523"/>
    <w:rsid w:val="00EF69F9"/>
    <w:rsid w:val="00EF720B"/>
    <w:rsid w:val="00EF7323"/>
    <w:rsid w:val="00EF7502"/>
    <w:rsid w:val="00EF7891"/>
    <w:rsid w:val="00EF7D9F"/>
    <w:rsid w:val="00F00BFF"/>
    <w:rsid w:val="00F00E42"/>
    <w:rsid w:val="00F017AE"/>
    <w:rsid w:val="00F01C15"/>
    <w:rsid w:val="00F0226F"/>
    <w:rsid w:val="00F022D3"/>
    <w:rsid w:val="00F0264D"/>
    <w:rsid w:val="00F02700"/>
    <w:rsid w:val="00F03047"/>
    <w:rsid w:val="00F034FB"/>
    <w:rsid w:val="00F04563"/>
    <w:rsid w:val="00F04725"/>
    <w:rsid w:val="00F04729"/>
    <w:rsid w:val="00F05F75"/>
    <w:rsid w:val="00F063A7"/>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2C89"/>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5EE"/>
    <w:rsid w:val="00F24E08"/>
    <w:rsid w:val="00F24F91"/>
    <w:rsid w:val="00F25459"/>
    <w:rsid w:val="00F26324"/>
    <w:rsid w:val="00F2658D"/>
    <w:rsid w:val="00F26682"/>
    <w:rsid w:val="00F26A59"/>
    <w:rsid w:val="00F26B7F"/>
    <w:rsid w:val="00F26BB8"/>
    <w:rsid w:val="00F26EB5"/>
    <w:rsid w:val="00F26FEB"/>
    <w:rsid w:val="00F27AF8"/>
    <w:rsid w:val="00F30006"/>
    <w:rsid w:val="00F306D6"/>
    <w:rsid w:val="00F306ED"/>
    <w:rsid w:val="00F30875"/>
    <w:rsid w:val="00F30A8C"/>
    <w:rsid w:val="00F30E3C"/>
    <w:rsid w:val="00F31505"/>
    <w:rsid w:val="00F31908"/>
    <w:rsid w:val="00F31A1F"/>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3FD"/>
    <w:rsid w:val="00F36515"/>
    <w:rsid w:val="00F36608"/>
    <w:rsid w:val="00F366C5"/>
    <w:rsid w:val="00F366F1"/>
    <w:rsid w:val="00F36F53"/>
    <w:rsid w:val="00F37A15"/>
    <w:rsid w:val="00F37A26"/>
    <w:rsid w:val="00F402B8"/>
    <w:rsid w:val="00F40331"/>
    <w:rsid w:val="00F40C30"/>
    <w:rsid w:val="00F41CF1"/>
    <w:rsid w:val="00F41DEF"/>
    <w:rsid w:val="00F42DAB"/>
    <w:rsid w:val="00F42DFF"/>
    <w:rsid w:val="00F42EE1"/>
    <w:rsid w:val="00F42FBD"/>
    <w:rsid w:val="00F43CE9"/>
    <w:rsid w:val="00F444F9"/>
    <w:rsid w:val="00F446A8"/>
    <w:rsid w:val="00F44A3D"/>
    <w:rsid w:val="00F44AEE"/>
    <w:rsid w:val="00F45117"/>
    <w:rsid w:val="00F452D6"/>
    <w:rsid w:val="00F457E2"/>
    <w:rsid w:val="00F457FA"/>
    <w:rsid w:val="00F45C4C"/>
    <w:rsid w:val="00F464CC"/>
    <w:rsid w:val="00F46518"/>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5FA9"/>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3252"/>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46A"/>
    <w:rsid w:val="00F76C9A"/>
    <w:rsid w:val="00F77622"/>
    <w:rsid w:val="00F776EF"/>
    <w:rsid w:val="00F77EA8"/>
    <w:rsid w:val="00F80605"/>
    <w:rsid w:val="00F81111"/>
    <w:rsid w:val="00F81692"/>
    <w:rsid w:val="00F81874"/>
    <w:rsid w:val="00F81885"/>
    <w:rsid w:val="00F8242A"/>
    <w:rsid w:val="00F826E6"/>
    <w:rsid w:val="00F82FC1"/>
    <w:rsid w:val="00F8305A"/>
    <w:rsid w:val="00F83247"/>
    <w:rsid w:val="00F83751"/>
    <w:rsid w:val="00F8385A"/>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CBE"/>
    <w:rsid w:val="00F94E8F"/>
    <w:rsid w:val="00F95061"/>
    <w:rsid w:val="00F95107"/>
    <w:rsid w:val="00F95166"/>
    <w:rsid w:val="00F952B4"/>
    <w:rsid w:val="00F95377"/>
    <w:rsid w:val="00F95AEB"/>
    <w:rsid w:val="00F96366"/>
    <w:rsid w:val="00F96550"/>
    <w:rsid w:val="00F9657A"/>
    <w:rsid w:val="00F96CE2"/>
    <w:rsid w:val="00F96E5C"/>
    <w:rsid w:val="00F9721B"/>
    <w:rsid w:val="00F97A0C"/>
    <w:rsid w:val="00F97A11"/>
    <w:rsid w:val="00F97DD7"/>
    <w:rsid w:val="00FA0072"/>
    <w:rsid w:val="00FA011B"/>
    <w:rsid w:val="00FA01AA"/>
    <w:rsid w:val="00FA024F"/>
    <w:rsid w:val="00FA02B7"/>
    <w:rsid w:val="00FA05BA"/>
    <w:rsid w:val="00FA0717"/>
    <w:rsid w:val="00FA0AF3"/>
    <w:rsid w:val="00FA1D35"/>
    <w:rsid w:val="00FA1E4D"/>
    <w:rsid w:val="00FA2397"/>
    <w:rsid w:val="00FA29A7"/>
    <w:rsid w:val="00FA302E"/>
    <w:rsid w:val="00FA3264"/>
    <w:rsid w:val="00FA38F5"/>
    <w:rsid w:val="00FA3C9B"/>
    <w:rsid w:val="00FA3CBA"/>
    <w:rsid w:val="00FA3E8C"/>
    <w:rsid w:val="00FA432C"/>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3D43"/>
    <w:rsid w:val="00FB4474"/>
    <w:rsid w:val="00FB477A"/>
    <w:rsid w:val="00FB4A07"/>
    <w:rsid w:val="00FB4D6F"/>
    <w:rsid w:val="00FB5018"/>
    <w:rsid w:val="00FB52FA"/>
    <w:rsid w:val="00FB5C3C"/>
    <w:rsid w:val="00FB5D5E"/>
    <w:rsid w:val="00FB5E64"/>
    <w:rsid w:val="00FB5EB4"/>
    <w:rsid w:val="00FB5FEE"/>
    <w:rsid w:val="00FB6659"/>
    <w:rsid w:val="00FB6C2F"/>
    <w:rsid w:val="00FB7746"/>
    <w:rsid w:val="00FB7CB0"/>
    <w:rsid w:val="00FC00AF"/>
    <w:rsid w:val="00FC02C2"/>
    <w:rsid w:val="00FC0687"/>
    <w:rsid w:val="00FC0696"/>
    <w:rsid w:val="00FC06AB"/>
    <w:rsid w:val="00FC086C"/>
    <w:rsid w:val="00FC0F5F"/>
    <w:rsid w:val="00FC10B8"/>
    <w:rsid w:val="00FC11D9"/>
    <w:rsid w:val="00FC172A"/>
    <w:rsid w:val="00FC1C8B"/>
    <w:rsid w:val="00FC1EEE"/>
    <w:rsid w:val="00FC1FD4"/>
    <w:rsid w:val="00FC2740"/>
    <w:rsid w:val="00FC2B74"/>
    <w:rsid w:val="00FC2D85"/>
    <w:rsid w:val="00FC2F6F"/>
    <w:rsid w:val="00FC2FFB"/>
    <w:rsid w:val="00FC3A33"/>
    <w:rsid w:val="00FC3AEE"/>
    <w:rsid w:val="00FC4711"/>
    <w:rsid w:val="00FC49FF"/>
    <w:rsid w:val="00FC4B60"/>
    <w:rsid w:val="00FC4DDC"/>
    <w:rsid w:val="00FC4EA4"/>
    <w:rsid w:val="00FC5171"/>
    <w:rsid w:val="00FC5F4E"/>
    <w:rsid w:val="00FC5FF6"/>
    <w:rsid w:val="00FC67D7"/>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6200"/>
    <w:rsid w:val="00FD6224"/>
    <w:rsid w:val="00FD626D"/>
    <w:rsid w:val="00FD6325"/>
    <w:rsid w:val="00FD69BA"/>
    <w:rsid w:val="00FD6C26"/>
    <w:rsid w:val="00FD7CCF"/>
    <w:rsid w:val="00FE002E"/>
    <w:rsid w:val="00FE089B"/>
    <w:rsid w:val="00FE1696"/>
    <w:rsid w:val="00FE1943"/>
    <w:rsid w:val="00FE1AA0"/>
    <w:rsid w:val="00FE1CEF"/>
    <w:rsid w:val="00FE2022"/>
    <w:rsid w:val="00FE22D1"/>
    <w:rsid w:val="00FE2AF4"/>
    <w:rsid w:val="00FE35B3"/>
    <w:rsid w:val="00FE37FF"/>
    <w:rsid w:val="00FE3897"/>
    <w:rsid w:val="00FE3AFA"/>
    <w:rsid w:val="00FE3E38"/>
    <w:rsid w:val="00FE43CE"/>
    <w:rsid w:val="00FE47A4"/>
    <w:rsid w:val="00FE4831"/>
    <w:rsid w:val="00FE50B0"/>
    <w:rsid w:val="00FE5148"/>
    <w:rsid w:val="00FE5352"/>
    <w:rsid w:val="00FE55F1"/>
    <w:rsid w:val="00FE6313"/>
    <w:rsid w:val="00FE68E2"/>
    <w:rsid w:val="00FE6A75"/>
    <w:rsid w:val="00FE6B28"/>
    <w:rsid w:val="00FE6F80"/>
    <w:rsid w:val="00FE70A3"/>
    <w:rsid w:val="00FE7317"/>
    <w:rsid w:val="00FE78AD"/>
    <w:rsid w:val="00FE7C7C"/>
    <w:rsid w:val="00FF0687"/>
    <w:rsid w:val="00FF076B"/>
    <w:rsid w:val="00FF0779"/>
    <w:rsid w:val="00FF0BE7"/>
    <w:rsid w:val="00FF0C58"/>
    <w:rsid w:val="00FF0F06"/>
    <w:rsid w:val="00FF10BD"/>
    <w:rsid w:val="00FF1447"/>
    <w:rsid w:val="00FF16F2"/>
    <w:rsid w:val="00FF1EE1"/>
    <w:rsid w:val="00FF1FE4"/>
    <w:rsid w:val="00FF201A"/>
    <w:rsid w:val="00FF2A3F"/>
    <w:rsid w:val="00FF2B76"/>
    <w:rsid w:val="00FF2C4F"/>
    <w:rsid w:val="00FF2CDC"/>
    <w:rsid w:val="00FF38D5"/>
    <w:rsid w:val="00FF3D64"/>
    <w:rsid w:val="00FF423D"/>
    <w:rsid w:val="00FF453D"/>
    <w:rsid w:val="00FF50A6"/>
    <w:rsid w:val="00FF5240"/>
    <w:rsid w:val="00FF5C0D"/>
    <w:rsid w:val="00FF5E57"/>
    <w:rsid w:val="00FF6A5C"/>
    <w:rsid w:val="00FF6A69"/>
    <w:rsid w:val="00FF767B"/>
    <w:rsid w:val="00FF789C"/>
    <w:rsid w:val="00FF7F32"/>
    <w:rsid w:val="01225B75"/>
    <w:rsid w:val="01B435DE"/>
    <w:rsid w:val="0225C5A8"/>
    <w:rsid w:val="02360460"/>
    <w:rsid w:val="0496A0F9"/>
    <w:rsid w:val="04A5E392"/>
    <w:rsid w:val="04C5C98A"/>
    <w:rsid w:val="06B62922"/>
    <w:rsid w:val="07BB040E"/>
    <w:rsid w:val="07CBA157"/>
    <w:rsid w:val="080557D2"/>
    <w:rsid w:val="095D6034"/>
    <w:rsid w:val="0A304015"/>
    <w:rsid w:val="0A681F7A"/>
    <w:rsid w:val="0A759BAB"/>
    <w:rsid w:val="0AF39F40"/>
    <w:rsid w:val="0C66A1B3"/>
    <w:rsid w:val="0CF40054"/>
    <w:rsid w:val="0D456091"/>
    <w:rsid w:val="0D5806C6"/>
    <w:rsid w:val="0D872F57"/>
    <w:rsid w:val="0D9446E1"/>
    <w:rsid w:val="0DF923C8"/>
    <w:rsid w:val="0F1C0F4C"/>
    <w:rsid w:val="0F61063B"/>
    <w:rsid w:val="0FCB62D5"/>
    <w:rsid w:val="10448A76"/>
    <w:rsid w:val="111B5BCE"/>
    <w:rsid w:val="11DEF916"/>
    <w:rsid w:val="11EE3BAF"/>
    <w:rsid w:val="121EC601"/>
    <w:rsid w:val="123E4752"/>
    <w:rsid w:val="13030397"/>
    <w:rsid w:val="13306CE6"/>
    <w:rsid w:val="13370178"/>
    <w:rsid w:val="135F1A4A"/>
    <w:rsid w:val="140D6E29"/>
    <w:rsid w:val="14CBE16D"/>
    <w:rsid w:val="154ECEEC"/>
    <w:rsid w:val="1606C65E"/>
    <w:rsid w:val="16961111"/>
    <w:rsid w:val="16DA0AE6"/>
    <w:rsid w:val="19432C7D"/>
    <w:rsid w:val="195B46AD"/>
    <w:rsid w:val="19F3BDEE"/>
    <w:rsid w:val="1BA5F425"/>
    <w:rsid w:val="1C89DD07"/>
    <w:rsid w:val="1CB394B3"/>
    <w:rsid w:val="1D0BAB89"/>
    <w:rsid w:val="1F5679C4"/>
    <w:rsid w:val="1F7BEF62"/>
    <w:rsid w:val="1FF50710"/>
    <w:rsid w:val="207F5995"/>
    <w:rsid w:val="23173F16"/>
    <w:rsid w:val="2474717C"/>
    <w:rsid w:val="24F6A4A5"/>
    <w:rsid w:val="261B796F"/>
    <w:rsid w:val="27E8B700"/>
    <w:rsid w:val="27F7F999"/>
    <w:rsid w:val="28FB63CC"/>
    <w:rsid w:val="2925801F"/>
    <w:rsid w:val="29D49304"/>
    <w:rsid w:val="2B576DD9"/>
    <w:rsid w:val="2C47B825"/>
    <w:rsid w:val="2CAF763B"/>
    <w:rsid w:val="2CFBF50E"/>
    <w:rsid w:val="2DB80A72"/>
    <w:rsid w:val="2E592774"/>
    <w:rsid w:val="2FF19EFB"/>
    <w:rsid w:val="30AA1CCD"/>
    <w:rsid w:val="30CEAA75"/>
    <w:rsid w:val="30D9455E"/>
    <w:rsid w:val="314B39CF"/>
    <w:rsid w:val="31AFB20F"/>
    <w:rsid w:val="3396A07D"/>
    <w:rsid w:val="367B9B4E"/>
    <w:rsid w:val="36B2CF2B"/>
    <w:rsid w:val="375F8430"/>
    <w:rsid w:val="38826FB4"/>
    <w:rsid w:val="38841586"/>
    <w:rsid w:val="388F873E"/>
    <w:rsid w:val="3A8FC91A"/>
    <w:rsid w:val="3C05F7D1"/>
    <w:rsid w:val="3CBFC896"/>
    <w:rsid w:val="3F9959FF"/>
    <w:rsid w:val="40DEF89A"/>
    <w:rsid w:val="44AA3A2D"/>
    <w:rsid w:val="46F01AD2"/>
    <w:rsid w:val="4848BAAC"/>
    <w:rsid w:val="48A5039D"/>
    <w:rsid w:val="4A229190"/>
    <w:rsid w:val="4A96B110"/>
    <w:rsid w:val="4AA3C89A"/>
    <w:rsid w:val="4C0AB7C7"/>
    <w:rsid w:val="4C4D79D3"/>
    <w:rsid w:val="4CBC8D15"/>
    <w:rsid w:val="4D26A90B"/>
    <w:rsid w:val="4EB92B20"/>
    <w:rsid w:val="4F5A1551"/>
    <w:rsid w:val="4FFDFF72"/>
    <w:rsid w:val="50018C42"/>
    <w:rsid w:val="5035DED7"/>
    <w:rsid w:val="51F0346A"/>
    <w:rsid w:val="5420C07C"/>
    <w:rsid w:val="5478D752"/>
    <w:rsid w:val="559112C9"/>
    <w:rsid w:val="5651B11C"/>
    <w:rsid w:val="56A4243C"/>
    <w:rsid w:val="57DF092D"/>
    <w:rsid w:val="58EF8AEA"/>
    <w:rsid w:val="59D62148"/>
    <w:rsid w:val="59DB2D86"/>
    <w:rsid w:val="5AB19A37"/>
    <w:rsid w:val="5AD11B88"/>
    <w:rsid w:val="5B873C9F"/>
    <w:rsid w:val="5CECC132"/>
    <w:rsid w:val="5D5EB5A3"/>
    <w:rsid w:val="5D7E36F4"/>
    <w:rsid w:val="5E61BB2F"/>
    <w:rsid w:val="5ED3AFA0"/>
    <w:rsid w:val="6078CE4D"/>
    <w:rsid w:val="64310EA1"/>
    <w:rsid w:val="651EDC4C"/>
    <w:rsid w:val="65FBA2EC"/>
    <w:rsid w:val="660B4A2C"/>
    <w:rsid w:val="672385A3"/>
    <w:rsid w:val="6B0B8600"/>
    <w:rsid w:val="6B1340B5"/>
    <w:rsid w:val="6CF2746E"/>
    <w:rsid w:val="6DC945C6"/>
    <w:rsid w:val="6DF5DEA1"/>
    <w:rsid w:val="6EA73A5B"/>
    <w:rsid w:val="6ED961E1"/>
    <w:rsid w:val="6EF667A5"/>
    <w:rsid w:val="7095E283"/>
    <w:rsid w:val="71B14623"/>
    <w:rsid w:val="72848AAB"/>
    <w:rsid w:val="7353A249"/>
    <w:rsid w:val="7387F4DE"/>
    <w:rsid w:val="74D05600"/>
    <w:rsid w:val="777D716C"/>
    <w:rsid w:val="780EE72E"/>
    <w:rsid w:val="784BF192"/>
    <w:rsid w:val="7860F5A7"/>
    <w:rsid w:val="78A4BDA6"/>
    <w:rsid w:val="79574850"/>
    <w:rsid w:val="7A7FB387"/>
    <w:rsid w:val="7B45F078"/>
    <w:rsid w:val="7CE84C9E"/>
    <w:rsid w:val="7E060E1E"/>
    <w:rsid w:val="7EC1BEDB"/>
    <w:rsid w:val="7ED952A6"/>
    <w:rsid w:val="7F8A9F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668"/>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DB26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266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spacing w:after="0"/>
      <w:ind w:left="601" w:hanging="601"/>
    </w:pPr>
    <w:rPr>
      <w:rFonts w:eastAsia="Batang"/>
      <w:b/>
      <w:i/>
      <w:szCs w:val="24"/>
      <w:lang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 w:type="character" w:customStyle="1" w:styleId="B1Zchn">
    <w:name w:val="B1 Zchn"/>
    <w:qFormat/>
    <w:rsid w:val="00D74A6C"/>
    <w:rPr>
      <w:lang w:eastAsia="en-US"/>
    </w:rPr>
  </w:style>
  <w:style w:type="paragraph" w:styleId="TOCHeading">
    <w:name w:val="TOC Heading"/>
    <w:basedOn w:val="Heading1"/>
    <w:next w:val="Normal"/>
    <w:uiPriority w:val="39"/>
    <w:unhideWhenUsed/>
    <w:qFormat/>
    <w:rsid w:val="00BC4D6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sid w:val="00BC4D60"/>
    <w:rPr>
      <w:lang w:val="en-GB" w:eastAsia="en-US"/>
    </w:rPr>
  </w:style>
  <w:style w:type="character" w:customStyle="1" w:styleId="normaltextrun">
    <w:name w:val="normaltextrun"/>
    <w:basedOn w:val="DefaultParagraphFont"/>
    <w:qFormat/>
    <w:rsid w:val="007B0867"/>
  </w:style>
  <w:style w:type="character" w:customStyle="1" w:styleId="eop">
    <w:name w:val="eop"/>
    <w:basedOn w:val="DefaultParagraphFont"/>
    <w:qFormat/>
    <w:rsid w:val="007B0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86228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429277">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271758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2193873">
      <w:bodyDiv w:val="1"/>
      <w:marLeft w:val="0"/>
      <w:marRight w:val="0"/>
      <w:marTop w:val="0"/>
      <w:marBottom w:val="0"/>
      <w:divBdr>
        <w:top w:val="none" w:sz="0" w:space="0" w:color="auto"/>
        <w:left w:val="none" w:sz="0" w:space="0" w:color="auto"/>
        <w:bottom w:val="none" w:sz="0" w:space="0" w:color="auto"/>
        <w:right w:val="none" w:sz="0" w:space="0" w:color="auto"/>
      </w:divBdr>
    </w:div>
    <w:div w:id="757679735">
      <w:bodyDiv w:val="1"/>
      <w:marLeft w:val="0"/>
      <w:marRight w:val="0"/>
      <w:marTop w:val="0"/>
      <w:marBottom w:val="0"/>
      <w:divBdr>
        <w:top w:val="none" w:sz="0" w:space="0" w:color="auto"/>
        <w:left w:val="none" w:sz="0" w:space="0" w:color="auto"/>
        <w:bottom w:val="none" w:sz="0" w:space="0" w:color="auto"/>
        <w:right w:val="none" w:sz="0" w:space="0" w:color="auto"/>
      </w:divBdr>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61237772">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4354580">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5131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120697">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92837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52369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58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5AIRPNAIUNRU-1977188174-1178</_dlc_DocId>
    <HideFromDelve xmlns="71c5aaf6-e6ce-465b-b873-5148d2a4c105">false</HideFromDelve>
    <Document_x0020_category xmlns="3b34c8f0-1ef5-4d1e-bb66-517ce7fe7356" xsi:nil="true"/>
    <_dlc_DocIdUrl xmlns="71c5aaf6-e6ce-465b-b873-5148d2a4c105">
      <Url>https://nokia.sharepoint.com/sites/c5g/projects/mIoT/_layouts/15/DocIdRedir.aspx?ID=5AIRPNAIUNRU-1977188174-1178</Url>
      <Description>5AIRPNAIUNRU-1977188174-1178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2.xml><?xml version="1.0" encoding="utf-8"?>
<ds:datastoreItem xmlns:ds="http://schemas.openxmlformats.org/officeDocument/2006/customXml" ds:itemID="{08B29F7F-0AC8-4469-89EF-22782F30F2B7}">
  <ds:schemaRefs>
    <ds:schemaRef ds:uri="http://www.w3.org/XML/1998/namespace"/>
    <ds:schemaRef ds:uri="http://schemas.microsoft.com/office/2006/documentManagement/types"/>
    <ds:schemaRef ds:uri="http://purl.org/dc/elements/1.1/"/>
    <ds:schemaRef ds:uri="71c5aaf6-e6ce-465b-b873-5148d2a4c105"/>
    <ds:schemaRef ds:uri="http://schemas.microsoft.com/office/2006/metadata/properties"/>
    <ds:schemaRef ds:uri="http://purl.org/dc/terms/"/>
    <ds:schemaRef ds:uri="http://schemas.microsoft.com/office/infopath/2007/PartnerControls"/>
    <ds:schemaRef ds:uri="http://schemas.openxmlformats.org/package/2006/metadata/core-properties"/>
    <ds:schemaRef ds:uri="3b34c8f0-1ef5-4d1e-bb66-517ce7fe7356"/>
    <ds:schemaRef ds:uri="eba96c7d-946c-4676-82fc-426bab2a7139"/>
    <ds:schemaRef ds:uri="http://purl.org/dc/dcmitype/"/>
  </ds:schemaRefs>
</ds:datastoreItem>
</file>

<file path=customXml/itemProps3.xml><?xml version="1.0" encoding="utf-8"?>
<ds:datastoreItem xmlns:ds="http://schemas.openxmlformats.org/officeDocument/2006/customXml" ds:itemID="{6E6F9DD2-D14E-49E7-A4A0-EBD9103D0589}">
  <ds:schemaRefs>
    <ds:schemaRef ds:uri="http://schemas.openxmlformats.org/officeDocument/2006/bibliography"/>
  </ds:schemaRefs>
</ds:datastoreItem>
</file>

<file path=customXml/itemProps4.xml><?xml version="1.0" encoding="utf-8"?>
<ds:datastoreItem xmlns:ds="http://schemas.openxmlformats.org/officeDocument/2006/customXml" ds:itemID="{67F965A9-1E2F-4008-A5D9-CA5A4ADC3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6.xml><?xml version="1.0" encoding="utf-8"?>
<ds:datastoreItem xmlns:ds="http://schemas.openxmlformats.org/officeDocument/2006/customXml" ds:itemID="{F75F9B87-A1FC-445A-A3D8-8B88581334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2207</Words>
  <Characters>12585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2022-09-06T11:32:00Z</dcterms:created>
  <dcterms:modified xsi:type="dcterms:W3CDTF">2022-09-06T11:32:00Z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0x010100714395552EF1C5469942478885057EC2</vt:lpwstr>
  </property>
  <property fmtid="{D5CDD505-2E9C-101B-9397-08002B2CF9AE}" pid="4" name="_dlc_DocIdItemGuid">
    <vt:lpwstr>9ca57c03-fa3a-4318-9a5a-0fa13d3cad31</vt:lpwstr>
  </property>
  <property fmtid="{D5CDD505-2E9C-101B-9397-08002B2CF9AE}" pid="5" name="NokiaConfidentiality">
    <vt:lpwstr>Company Confidential</vt:lpwstr>
  </property>
</Properties>
</file>