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D8BCC" w14:textId="3B7EA873" w:rsidR="006A1971" w:rsidRPr="00A079D3" w:rsidRDefault="006A1971" w:rsidP="006A1971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#96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</w:t>
      </w:r>
      <w:r w:rsidR="00B961E3">
        <w:rPr>
          <w:rFonts w:ascii="Arial" w:hAnsi="Arial" w:cs="Arial"/>
          <w:b/>
          <w:sz w:val="28"/>
          <w:szCs w:val="28"/>
        </w:rPr>
        <w:t>17</w:t>
      </w:r>
      <w:r w:rsidR="005130C4">
        <w:rPr>
          <w:rFonts w:ascii="Arial" w:hAnsi="Arial" w:cs="Arial"/>
          <w:b/>
          <w:sz w:val="28"/>
          <w:szCs w:val="28"/>
        </w:rPr>
        <w:t>81</w:t>
      </w:r>
    </w:p>
    <w:p w14:paraId="4988E4CE" w14:textId="77777777" w:rsidR="006A1971" w:rsidRPr="00A079D3" w:rsidRDefault="006A1971" w:rsidP="006A197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Budapest, Hungary, June 6-9,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34733102" w14:textId="77777777" w:rsidR="00981485" w:rsidRDefault="00981485">
      <w:pPr>
        <w:rPr>
          <w:rFonts w:ascii="Arial" w:hAnsi="Arial" w:cs="Arial"/>
        </w:rPr>
      </w:pPr>
    </w:p>
    <w:p w14:paraId="34733103" w14:textId="571FD7A8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Test methods for over-the-air TRP field measurements of unwanted emissions from IMT radio equipment utilizing active antennas</w:t>
      </w:r>
    </w:p>
    <w:p w14:paraId="34733104" w14:textId="5F000199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C3C4B" w:rsidRPr="003C3C4B">
        <w:rPr>
          <w:rFonts w:ascii="Arial" w:hAnsi="Arial" w:cs="Arial"/>
          <w:b/>
          <w:bCs/>
          <w:sz w:val="22"/>
          <w:szCs w:val="22"/>
        </w:rPr>
        <w:t>RP-212741</w:t>
      </w:r>
      <w:r w:rsidR="003C3C4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on test methods for over-the-air TRP field measurements of unwanted emissions from IMT radio equipment utilizing active antennas from ITU-R WP1C</w:t>
      </w:r>
    </w:p>
    <w:p w14:paraId="34733105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2"/>
    <w:bookmarkEnd w:id="3"/>
    <w:bookmarkEnd w:id="4"/>
    <w:p w14:paraId="34733106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p w14:paraId="34733107" w14:textId="77777777" w:rsidR="00981485" w:rsidRDefault="009814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733108" w14:textId="79824C68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D612FB">
        <w:rPr>
          <w:rFonts w:ascii="Arial" w:hAnsi="Arial" w:cs="Arial"/>
          <w:b/>
          <w:sz w:val="22"/>
          <w:szCs w:val="22"/>
        </w:rPr>
        <w:t xml:space="preserve">3GPP </w:t>
      </w:r>
      <w:r>
        <w:rPr>
          <w:rFonts w:ascii="Arial" w:hAnsi="Arial" w:cs="Arial"/>
          <w:b/>
          <w:sz w:val="22"/>
          <w:szCs w:val="22"/>
        </w:rPr>
        <w:t>TSG RAN</w:t>
      </w:r>
    </w:p>
    <w:p w14:paraId="34733109" w14:textId="011A379F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612FB">
        <w:rPr>
          <w:rFonts w:ascii="Arial" w:hAnsi="Arial" w:cs="Arial"/>
          <w:b/>
          <w:bCs/>
          <w:sz w:val="22"/>
          <w:szCs w:val="22"/>
        </w:rPr>
        <w:t>ITU-R WP1C</w:t>
      </w:r>
    </w:p>
    <w:p w14:paraId="3473310A" w14:textId="4BABCDC0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612FB" w:rsidRPr="00D612FB">
        <w:rPr>
          <w:rFonts w:ascii="Arial" w:hAnsi="Arial" w:cs="Arial"/>
          <w:b/>
          <w:bCs/>
          <w:sz w:val="22"/>
          <w:szCs w:val="22"/>
        </w:rPr>
        <w:t>CEPT/ECC SE21</w:t>
      </w:r>
    </w:p>
    <w:bookmarkEnd w:id="5"/>
    <w:bookmarkEnd w:id="6"/>
    <w:p w14:paraId="3473310B" w14:textId="77777777" w:rsidR="00981485" w:rsidRDefault="00981485">
      <w:pPr>
        <w:spacing w:after="60"/>
        <w:ind w:left="1985" w:hanging="1985"/>
        <w:rPr>
          <w:rFonts w:ascii="Arial" w:hAnsi="Arial" w:cs="Arial"/>
          <w:bCs/>
        </w:rPr>
      </w:pPr>
    </w:p>
    <w:p w14:paraId="3473310C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Torbjörn Elfström</w:t>
      </w:r>
    </w:p>
    <w:p w14:paraId="3473310D" w14:textId="77777777" w:rsidR="00981485" w:rsidRDefault="00255912">
      <w:pPr>
        <w:spacing w:after="60"/>
        <w:ind w:left="1985" w:hanging="545"/>
      </w:pP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noProof/>
          <w:lang w:val="en-US" w:eastAsia="zh-CN"/>
        </w:rPr>
        <w:drawing>
          <wp:inline distT="0" distB="0" distL="0" distR="0" wp14:anchorId="3473313B" wp14:editId="3473313C">
            <wp:extent cx="2369185" cy="25527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918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3310E" w14:textId="568C482E" w:rsidR="00981485" w:rsidRDefault="00981485">
      <w:pPr>
        <w:spacing w:after="60"/>
        <w:ind w:left="1985" w:hanging="545"/>
        <w:rPr>
          <w:rFonts w:ascii="Arial" w:hAnsi="Arial" w:cs="Arial"/>
          <w:b/>
          <w:bCs/>
          <w:sz w:val="22"/>
          <w:szCs w:val="22"/>
        </w:rPr>
      </w:pPr>
    </w:p>
    <w:p w14:paraId="3473310F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733110" w14:textId="77777777" w:rsidR="00981485" w:rsidRDefault="00981485">
      <w:pPr>
        <w:spacing w:after="60"/>
        <w:ind w:left="1985" w:hanging="1985"/>
        <w:rPr>
          <w:rFonts w:ascii="Arial" w:hAnsi="Arial" w:cs="Arial"/>
          <w:b/>
        </w:rPr>
      </w:pPr>
    </w:p>
    <w:p w14:paraId="34733111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bCs/>
          <w:color w:val="0070C0"/>
          <w:sz w:val="22"/>
          <w:szCs w:val="22"/>
        </w:rPr>
        <w:t>-</w:t>
      </w:r>
    </w:p>
    <w:p w14:paraId="34733112" w14:textId="77777777" w:rsidR="00981485" w:rsidRDefault="00981485">
      <w:pPr>
        <w:rPr>
          <w:rFonts w:ascii="Arial" w:hAnsi="Arial" w:cs="Arial"/>
        </w:rPr>
      </w:pPr>
    </w:p>
    <w:p w14:paraId="34733113" w14:textId="77777777" w:rsidR="00981485" w:rsidRDefault="00255912">
      <w:pPr>
        <w:pStyle w:val="Heading1"/>
      </w:pPr>
      <w:r>
        <w:t>1</w:t>
      </w:r>
      <w:r>
        <w:tab/>
        <w:t>Overall description</w:t>
      </w:r>
    </w:p>
    <w:p w14:paraId="34733114" w14:textId="44BFB58F" w:rsidR="00981485" w:rsidRDefault="00D612FB">
      <w:r>
        <w:t>3GPP TSG RAN would like to thanks ITU-R WP1C for the response</w:t>
      </w:r>
      <w:r w:rsidR="003C3C4B">
        <w:t xml:space="preserve"> </w:t>
      </w:r>
      <w:r w:rsidR="00255912">
        <w:t xml:space="preserve">LS on Test methods for over-the-air TRP (Total Radiated Power) field measurements of unwanted emissions from IMT radio equipment utilizing active antennas </w:t>
      </w:r>
      <w:r w:rsidR="003C3C4B">
        <w:t>(</w:t>
      </w:r>
      <w:r>
        <w:t xml:space="preserve">see </w:t>
      </w:r>
      <w:r w:rsidRPr="00D612FB">
        <w:t>1C/TEMP/31 =</w:t>
      </w:r>
      <w:r>
        <w:rPr>
          <w:rFonts w:ascii="Verdana" w:hAnsi="Verdana"/>
          <w:szCs w:val="16"/>
          <w:lang w:val="fr-FR"/>
        </w:rPr>
        <w:t xml:space="preserve"> </w:t>
      </w:r>
      <w:hyperlink r:id="rId14" w:history="1">
        <w:r w:rsidR="003C3C4B" w:rsidRPr="003C3C4B">
          <w:rPr>
            <w:rStyle w:val="Hyperlink"/>
          </w:rPr>
          <w:t>RP-212741</w:t>
        </w:r>
      </w:hyperlink>
      <w:r w:rsidR="003C3C4B">
        <w:t>)</w:t>
      </w:r>
      <w:r w:rsidR="00631158">
        <w:t>.</w:t>
      </w:r>
      <w:r w:rsidR="00255912">
        <w:t xml:space="preserve"> </w:t>
      </w:r>
    </w:p>
    <w:p w14:paraId="34733116" w14:textId="5D72163E" w:rsidR="00981485" w:rsidRDefault="00D612FB">
      <w:r>
        <w:t>3GPP TSG RAN</w:t>
      </w:r>
      <w:r w:rsidR="00255912" w:rsidRPr="00651DB4">
        <w:t xml:space="preserve"> </w:t>
      </w:r>
      <w:r>
        <w:t>provides</w:t>
      </w:r>
      <w:r w:rsidR="00255912" w:rsidRPr="00651DB4">
        <w:t xml:space="preserve"> the information below </w:t>
      </w:r>
      <w:r>
        <w:t>in answer to the request from ITU-R WP1C</w:t>
      </w:r>
      <w:r w:rsidR="00255912" w:rsidRPr="00651DB4">
        <w:t>.</w:t>
      </w:r>
    </w:p>
    <w:p w14:paraId="34733117" w14:textId="6A0D5A0D" w:rsidR="00981485" w:rsidRDefault="00255912">
      <w:pPr>
        <w:pStyle w:val="Heading1"/>
      </w:pPr>
      <w:r>
        <w:t>2</w:t>
      </w:r>
      <w:r>
        <w:tab/>
        <w:t>In-field unwanted emission and test signal aspects</w:t>
      </w:r>
    </w:p>
    <w:p w14:paraId="57619531" w14:textId="16371706" w:rsidR="00276573" w:rsidRPr="003C3C4B" w:rsidRDefault="009F2733" w:rsidP="00276573">
      <w:r>
        <w:t xml:space="preserve">Even though there are many similarities between </w:t>
      </w:r>
      <w:r w:rsidR="00260A19">
        <w:t xml:space="preserve">OTA </w:t>
      </w:r>
      <w:r w:rsidR="00A872FA">
        <w:t>chamber-based</w:t>
      </w:r>
      <w:r w:rsidR="00260A19">
        <w:t xml:space="preserve"> conformance testing and </w:t>
      </w:r>
      <w:r w:rsidR="009A4337">
        <w:t>in-</w:t>
      </w:r>
      <w:r w:rsidR="007A43C7">
        <w:t xml:space="preserve">field OTA </w:t>
      </w:r>
      <w:r w:rsidR="004337C1">
        <w:t xml:space="preserve">testing. </w:t>
      </w:r>
      <w:r w:rsidR="00AF3545">
        <w:t xml:space="preserve">In-field OTA testing is not </w:t>
      </w:r>
      <w:r w:rsidR="00781B5E">
        <w:t xml:space="preserve">within the scope of </w:t>
      </w:r>
      <w:r w:rsidR="00DC33C6">
        <w:t>3GPP RAN4</w:t>
      </w:r>
      <w:r w:rsidR="00A872FA">
        <w:t xml:space="preserve">. </w:t>
      </w:r>
      <w:r w:rsidR="00631158">
        <w:t>No further conclusions have been made</w:t>
      </w:r>
      <w:r w:rsidR="00276573">
        <w:t xml:space="preserve"> concerning the viability of such a test signal and the questions raised in the previous LS remain. Any continuous or frequently transmitted test signal will break the fundamental 5G design principle of having a lean transmission allowing for low power consumption and low overhead.</w:t>
      </w:r>
    </w:p>
    <w:p w14:paraId="1D449724" w14:textId="05AEB723" w:rsidR="003C3C4B" w:rsidRDefault="00276573" w:rsidP="003C3C4B">
      <w:r>
        <w:t xml:space="preserve">There is </w:t>
      </w:r>
      <w:r w:rsidR="00A872FA">
        <w:t xml:space="preserve">an </w:t>
      </w:r>
      <w:bookmarkStart w:id="7" w:name="_Hlk100945219"/>
      <w:r w:rsidR="00A872FA">
        <w:t xml:space="preserve">activity </w:t>
      </w:r>
      <w:r>
        <w:t>ongoing</w:t>
      </w:r>
      <w:r w:rsidR="00A872FA">
        <w:t xml:space="preserve"> </w:t>
      </w:r>
      <w:r w:rsidR="008062D5">
        <w:t>within CEPT</w:t>
      </w:r>
      <w:r w:rsidR="008862E1">
        <w:t xml:space="preserve">/ECC </w:t>
      </w:r>
      <w:r w:rsidR="00BD67E0">
        <w:t>SE</w:t>
      </w:r>
      <w:r w:rsidR="008862E1">
        <w:t>21</w:t>
      </w:r>
      <w:bookmarkEnd w:id="7"/>
      <w:r>
        <w:t xml:space="preserve">, which intends </w:t>
      </w:r>
      <w:r w:rsidR="003A62E3">
        <w:t xml:space="preserve">to capture </w:t>
      </w:r>
      <w:r w:rsidR="0022579C">
        <w:t xml:space="preserve">descriptions </w:t>
      </w:r>
      <w:r w:rsidR="009E419D">
        <w:t xml:space="preserve">of measurement methodologies </w:t>
      </w:r>
      <w:r w:rsidR="00140432">
        <w:t>and measurement res</w:t>
      </w:r>
      <w:r w:rsidR="009E419D">
        <w:t>ults related to</w:t>
      </w:r>
      <w:r w:rsidR="0022579C">
        <w:t xml:space="preserve"> in-field OTA </w:t>
      </w:r>
      <w:r w:rsidR="009E419D">
        <w:t>testing</w:t>
      </w:r>
      <w:r>
        <w:t>, both for in-band emissions and unwanted emissions</w:t>
      </w:r>
      <w:r w:rsidR="009E419D">
        <w:t>.</w:t>
      </w:r>
    </w:p>
    <w:p w14:paraId="34733129" w14:textId="7374FBDF" w:rsidR="00981485" w:rsidRDefault="00255912">
      <w:pPr>
        <w:pStyle w:val="Heading1"/>
      </w:pPr>
      <w:r>
        <w:t>3</w:t>
      </w:r>
      <w:r>
        <w:tab/>
      </w:r>
      <w:r w:rsidR="008862E1">
        <w:t>Options for configuration of test object</w:t>
      </w:r>
    </w:p>
    <w:p w14:paraId="2E4C3953" w14:textId="0AFC75ED" w:rsidR="00276573" w:rsidRDefault="00276573" w:rsidP="00276573">
      <w:r>
        <w:t xml:space="preserve">As pointed out in previous LS, </w:t>
      </w:r>
      <w:r w:rsidR="00122465">
        <w:t xml:space="preserve">the test object </w:t>
      </w:r>
      <w:r>
        <w:t xml:space="preserve">needs to be </w:t>
      </w:r>
      <w:r w:rsidR="00122465">
        <w:t xml:space="preserve">in a transmission mode that </w:t>
      </w:r>
      <w:r w:rsidR="005D7AE1">
        <w:t xml:space="preserve">assures </w:t>
      </w:r>
      <w:r w:rsidR="00122465">
        <w:t>full power to be transmitted</w:t>
      </w:r>
      <w:r w:rsidR="001F516B">
        <w:t xml:space="preserve"> during the measurement of unwanted emissions</w:t>
      </w:r>
      <w:r>
        <w:t>, unlike traditional in-fie</w:t>
      </w:r>
      <w:r w:rsidR="00113B94">
        <w:t>l</w:t>
      </w:r>
      <w:r>
        <w:t>d testing where this can be assumed</w:t>
      </w:r>
      <w:r w:rsidR="00122465">
        <w:t>.</w:t>
      </w:r>
      <w:r w:rsidR="00A9464C">
        <w:t xml:space="preserve"> </w:t>
      </w:r>
      <w:r w:rsidR="007A1A07">
        <w:t>Another</w:t>
      </w:r>
      <w:r w:rsidR="00CF1829">
        <w:t xml:space="preserve"> differen</w:t>
      </w:r>
      <w:r w:rsidR="00D83F93">
        <w:t>ce</w:t>
      </w:r>
      <w:r w:rsidR="00CF1829">
        <w:t xml:space="preserve"> </w:t>
      </w:r>
      <w:r w:rsidR="00FE6700">
        <w:t xml:space="preserve">compared to traditional in-field testing is that </w:t>
      </w:r>
      <w:r w:rsidR="005107E6">
        <w:t xml:space="preserve">TRP is used as </w:t>
      </w:r>
      <w:r>
        <w:t>the</w:t>
      </w:r>
      <w:r w:rsidR="008862E1">
        <w:t xml:space="preserve"> parameter</w:t>
      </w:r>
      <w:r w:rsidR="005107E6">
        <w:t xml:space="preserve"> </w:t>
      </w:r>
      <w:r>
        <w:t xml:space="preserve">to define emissions </w:t>
      </w:r>
      <w:r w:rsidR="00D83F93">
        <w:t>for certain AAS BS types</w:t>
      </w:r>
      <w:r w:rsidR="00FC26CC">
        <w:t xml:space="preserve"> </w:t>
      </w:r>
      <w:r w:rsidR="003603E2">
        <w:t>specified</w:t>
      </w:r>
      <w:r w:rsidR="00FC26CC">
        <w:t xml:space="preserve"> in 3GPP. </w:t>
      </w:r>
      <w:r w:rsidR="003603E2">
        <w:t xml:space="preserve">In the </w:t>
      </w:r>
      <w:r w:rsidR="003603E2" w:rsidRPr="003603E2">
        <w:t xml:space="preserve">activity ongoing within CEPT/ECC </w:t>
      </w:r>
      <w:r w:rsidR="00BD67E0">
        <w:t>SE</w:t>
      </w:r>
      <w:r w:rsidR="003603E2" w:rsidRPr="003603E2">
        <w:t>21</w:t>
      </w:r>
      <w:r w:rsidR="003603E2">
        <w:t>, t</w:t>
      </w:r>
      <w:r w:rsidR="002731D6">
        <w:t xml:space="preserve">est methods for in-field TRP measurement </w:t>
      </w:r>
      <w:r w:rsidR="003603E2">
        <w:t xml:space="preserve">of in-band emissions </w:t>
      </w:r>
      <w:r w:rsidR="00651DB4">
        <w:t>are</w:t>
      </w:r>
      <w:r w:rsidR="002731D6">
        <w:t xml:space="preserve"> documented </w:t>
      </w:r>
      <w:r w:rsidR="006E2403">
        <w:t>i</w:t>
      </w:r>
      <w:r w:rsidR="00A67216">
        <w:t xml:space="preserve">n </w:t>
      </w:r>
      <w:r w:rsidR="00651DB4">
        <w:t>an ECC report</w:t>
      </w:r>
      <w:r w:rsidR="005D7AE1">
        <w:t xml:space="preserve"> (see Draft SE21 report in</w:t>
      </w:r>
      <w:r w:rsidR="005D7AE1" w:rsidRPr="005D7AE1">
        <w:t xml:space="preserve"> </w:t>
      </w:r>
      <w:hyperlink r:id="rId15" w:history="1">
        <w:r w:rsidR="005D7AE1" w:rsidRPr="00651DB4">
          <w:rPr>
            <w:rStyle w:val="Hyperlink"/>
            <w:color w:val="293285"/>
          </w:rPr>
          <w:t>SE21(22)011A06</w:t>
        </w:r>
      </w:hyperlink>
      <w:r w:rsidR="005D7AE1">
        <w:t>)</w:t>
      </w:r>
      <w:r w:rsidR="00A67216">
        <w:t xml:space="preserve">. </w:t>
      </w:r>
    </w:p>
    <w:p w14:paraId="516408A7" w14:textId="335B4C69" w:rsidR="0031153E" w:rsidRPr="003C3C4B" w:rsidRDefault="004853BF" w:rsidP="00651DB4">
      <w:r>
        <w:lastRenderedPageBreak/>
        <w:t xml:space="preserve">Below </w:t>
      </w:r>
      <w:r w:rsidR="00276573">
        <w:t xml:space="preserve">are </w:t>
      </w:r>
      <w:r w:rsidR="00664284">
        <w:t xml:space="preserve">further </w:t>
      </w:r>
      <w:r w:rsidR="00276573">
        <w:t xml:space="preserve">details </w:t>
      </w:r>
      <w:r w:rsidR="00664284">
        <w:t xml:space="preserve">for the three </w:t>
      </w:r>
      <w:r w:rsidR="00D83F93">
        <w:t xml:space="preserve">options </w:t>
      </w:r>
      <w:r w:rsidR="00664284">
        <w:t>given</w:t>
      </w:r>
      <w:r w:rsidR="00276573">
        <w:t xml:space="preserve"> for configuring the test object</w:t>
      </w:r>
      <w:r w:rsidR="00651DB4">
        <w:t xml:space="preserve"> when measuring unwanted emissions</w:t>
      </w:r>
      <w:r w:rsidR="00664284">
        <w:t>.</w:t>
      </w:r>
    </w:p>
    <w:p w14:paraId="34733132" w14:textId="20693103" w:rsidR="00981485" w:rsidRPr="00760808" w:rsidRDefault="0058297D">
      <w:pPr>
        <w:rPr>
          <w:u w:val="single"/>
        </w:rPr>
      </w:pPr>
      <w:r w:rsidRPr="00760808">
        <w:rPr>
          <w:u w:val="single"/>
        </w:rPr>
        <w:t>Normal operation</w:t>
      </w:r>
    </w:p>
    <w:p w14:paraId="6DF5F3F8" w14:textId="6EC46253" w:rsidR="00D05D30" w:rsidRDefault="0058297D">
      <w:r>
        <w:t xml:space="preserve">When </w:t>
      </w:r>
      <w:r w:rsidR="00992093">
        <w:t>UE</w:t>
      </w:r>
      <w:r w:rsidR="007C2646">
        <w:t>(s)</w:t>
      </w:r>
      <w:r w:rsidR="00992093">
        <w:t xml:space="preserve"> are camping on the cell, </w:t>
      </w:r>
      <w:r w:rsidR="002C20C1">
        <w:t>signals</w:t>
      </w:r>
      <w:r w:rsidR="00992093">
        <w:t xml:space="preserve"> will be transmitted to </w:t>
      </w:r>
      <w:r w:rsidR="004934A5">
        <w:t xml:space="preserve">guarantee </w:t>
      </w:r>
      <w:r w:rsidR="009C796F">
        <w:t xml:space="preserve">synchronization </w:t>
      </w:r>
      <w:r w:rsidR="004D2916">
        <w:t xml:space="preserve">and facilitate </w:t>
      </w:r>
      <w:r w:rsidR="007D0572">
        <w:t>cell hand over.</w:t>
      </w:r>
      <w:r w:rsidR="00626328">
        <w:t xml:space="preserve"> Th</w:t>
      </w:r>
      <w:r w:rsidR="00D83F93">
        <w:t>ese signals</w:t>
      </w:r>
      <w:r w:rsidR="00626328">
        <w:t xml:space="preserve"> will just use a </w:t>
      </w:r>
      <w:r w:rsidR="00CD6A3F">
        <w:t>fraction</w:t>
      </w:r>
      <w:r w:rsidR="00626328">
        <w:t xml:space="preserve"> of the </w:t>
      </w:r>
      <w:r w:rsidR="00CD6A3F">
        <w:t xml:space="preserve">maximum carrier power. </w:t>
      </w:r>
      <w:r w:rsidR="00146413">
        <w:t xml:space="preserve"> </w:t>
      </w:r>
      <w:r w:rsidR="0010721E">
        <w:t xml:space="preserve">When data is scheduled to </w:t>
      </w:r>
      <w:r w:rsidR="0043664F">
        <w:t xml:space="preserve">a </w:t>
      </w:r>
      <w:r w:rsidR="0010721E">
        <w:t>UE</w:t>
      </w:r>
      <w:r w:rsidR="00146413">
        <w:t xml:space="preserve"> </w:t>
      </w:r>
      <w:r w:rsidR="0043664F">
        <w:t>within the cell</w:t>
      </w:r>
      <w:r w:rsidR="00D83F93">
        <w:t>,</w:t>
      </w:r>
      <w:r w:rsidR="0043664F">
        <w:t xml:space="preserve"> </w:t>
      </w:r>
      <w:r w:rsidR="0010721E">
        <w:t>signals will be</w:t>
      </w:r>
      <w:r w:rsidR="00146413">
        <w:t xml:space="preserve"> transmitted regularly using </w:t>
      </w:r>
      <w:r w:rsidR="0010721E">
        <w:t>all</w:t>
      </w:r>
      <w:r w:rsidR="00F27E29">
        <w:t xml:space="preserve"> </w:t>
      </w:r>
      <w:r w:rsidR="00EB52A7">
        <w:t xml:space="preserve">frequency </w:t>
      </w:r>
      <w:r w:rsidR="009268BF">
        <w:t>resources</w:t>
      </w:r>
      <w:r w:rsidR="0010721E">
        <w:t>.</w:t>
      </w:r>
      <w:r w:rsidR="00480649">
        <w:t xml:space="preserve"> Typically, </w:t>
      </w:r>
      <w:r w:rsidR="00C3221A">
        <w:t xml:space="preserve">the whole carrier bandwidth will be allocated </w:t>
      </w:r>
      <w:r w:rsidR="00D05D30">
        <w:t>to provide highest possible throughput with low</w:t>
      </w:r>
      <w:r w:rsidR="003E2BB4">
        <w:t>est possible</w:t>
      </w:r>
      <w:r w:rsidR="00D05D30">
        <w:t xml:space="preserve"> latency</w:t>
      </w:r>
      <w:r w:rsidR="00D83F93">
        <w:t>, in particular for large amounts of data</w:t>
      </w:r>
      <w:r w:rsidR="00D05D30">
        <w:t xml:space="preserve">. </w:t>
      </w:r>
      <w:r w:rsidR="009633CB">
        <w:rPr>
          <w:lang w:eastAsia="zh-CN"/>
        </w:rPr>
        <w:t>Thi</w:t>
      </w:r>
      <w:r w:rsidR="009633CB">
        <w:t>s approach need</w:t>
      </w:r>
      <w:r w:rsidR="00A802EA">
        <w:t>s</w:t>
      </w:r>
      <w:r w:rsidR="009633CB">
        <w:t xml:space="preserve"> to be conducted at peak traffic hours. When the carrier is fully loaded the condition </w:t>
      </w:r>
      <w:r w:rsidR="00A802EA">
        <w:t xml:space="preserve">of </w:t>
      </w:r>
      <w:r w:rsidR="009633CB">
        <w:t>transmission with maximum configured power can be fulfilled.</w:t>
      </w:r>
      <w:r w:rsidR="009D34CE">
        <w:t xml:space="preserve"> </w:t>
      </w:r>
      <w:r w:rsidR="009633CB">
        <w:t>The transmission power can be monitored through the measurement by spectrum analyser or it can be monitored from OAM system.</w:t>
      </w:r>
      <w:r w:rsidR="001A46AD">
        <w:t xml:space="preserve"> </w:t>
      </w:r>
      <w:r w:rsidR="00B61524">
        <w:t>To</w:t>
      </w:r>
      <w:r w:rsidR="00B61524" w:rsidRPr="00D4488B">
        <w:t xml:space="preserve"> properly capture the time-varying emissions due to varying beam direction</w:t>
      </w:r>
      <w:r w:rsidR="00F749B1">
        <w:t>, a</w:t>
      </w:r>
      <w:r w:rsidR="00D4488B" w:rsidRPr="00D4488B">
        <w:t xml:space="preserve">veraging measurement over longer time could </w:t>
      </w:r>
      <w:r w:rsidR="00F749B1">
        <w:t>be conducted</w:t>
      </w:r>
      <w:r w:rsidR="00B61524">
        <w:t>.</w:t>
      </w:r>
    </w:p>
    <w:p w14:paraId="24A052E9" w14:textId="513DF87B" w:rsidR="00D05D30" w:rsidRPr="00CE3E14" w:rsidRDefault="00D31278">
      <w:pPr>
        <w:rPr>
          <w:u w:val="single"/>
        </w:rPr>
      </w:pPr>
      <w:r w:rsidRPr="00CE3E14">
        <w:rPr>
          <w:u w:val="single"/>
        </w:rPr>
        <w:t>Proprietary test configuration</w:t>
      </w:r>
    </w:p>
    <w:p w14:paraId="140AB605" w14:textId="1244C743" w:rsidR="00A6755E" w:rsidRDefault="007D1623">
      <w:r>
        <w:t>Proprietary</w:t>
      </w:r>
      <w:r w:rsidR="006439BB">
        <w:t xml:space="preserve"> test modes </w:t>
      </w:r>
      <w:r>
        <w:t>required to generate the proposed</w:t>
      </w:r>
      <w:r w:rsidR="006439BB">
        <w:t xml:space="preserve"> test signal</w:t>
      </w:r>
      <w:r>
        <w:t xml:space="preserve"> may be supported </w:t>
      </w:r>
      <w:r w:rsidR="00452659">
        <w:t xml:space="preserve">by some </w:t>
      </w:r>
      <w:r w:rsidR="00C824F8">
        <w:t>AAS implementations</w:t>
      </w:r>
      <w:r w:rsidR="00D83F93">
        <w:t>, those are however vendor specific</w:t>
      </w:r>
      <w:r w:rsidR="00C824F8">
        <w:t xml:space="preserve">. </w:t>
      </w:r>
      <w:r w:rsidR="00EF6F71">
        <w:t xml:space="preserve">Currently, no plans </w:t>
      </w:r>
      <w:r w:rsidR="00331F5B">
        <w:t>exi</w:t>
      </w:r>
      <w:r w:rsidR="00490255">
        <w:t>st</w:t>
      </w:r>
      <w:r w:rsidR="00EF6F71">
        <w:t xml:space="preserve"> to design a </w:t>
      </w:r>
      <w:r w:rsidR="00331F5B">
        <w:t xml:space="preserve">unified </w:t>
      </w:r>
      <w:r w:rsidR="00110169">
        <w:t>test signal</w:t>
      </w:r>
      <w:r w:rsidR="00331F5B">
        <w:t xml:space="preserve"> </w:t>
      </w:r>
      <w:r w:rsidR="00631329">
        <w:t xml:space="preserve">outside of normal standardization </w:t>
      </w:r>
      <w:r w:rsidR="00331F5B">
        <w:t xml:space="preserve">to be supported by all AAS BS implementations. </w:t>
      </w:r>
    </w:p>
    <w:p w14:paraId="3EF85F18" w14:textId="4FE16E33" w:rsidR="00CE3E14" w:rsidRPr="009C72B9" w:rsidRDefault="00CE3E14">
      <w:pPr>
        <w:rPr>
          <w:u w:val="single"/>
        </w:rPr>
      </w:pPr>
      <w:r w:rsidRPr="00CE3E14">
        <w:rPr>
          <w:u w:val="single"/>
        </w:rPr>
        <w:t>Provoking traffic</w:t>
      </w:r>
    </w:p>
    <w:p w14:paraId="0E759FEC" w14:textId="58484C78" w:rsidR="00CE3E14" w:rsidRDefault="00E109AE">
      <w:r>
        <w:t>To provoke traffic a</w:t>
      </w:r>
      <w:r w:rsidR="00D61E0D">
        <w:t xml:space="preserve">n </w:t>
      </w:r>
      <w:r w:rsidR="009B5B25">
        <w:t>ordinary</w:t>
      </w:r>
      <w:r>
        <w:t xml:space="preserve"> UE can be used. The UE is configured to download a large f</w:t>
      </w:r>
      <w:r w:rsidR="00F77294">
        <w:t xml:space="preserve">ile (e.g., </w:t>
      </w:r>
      <w:r w:rsidR="009C72B9">
        <w:t>with a pre-installed FTP</w:t>
      </w:r>
      <w:r w:rsidR="00F77294">
        <w:t xml:space="preserve"> client application).</w:t>
      </w:r>
      <w:r w:rsidR="00652610">
        <w:t xml:space="preserve"> The </w:t>
      </w:r>
      <w:r w:rsidR="00CE1503">
        <w:t xml:space="preserve">field </w:t>
      </w:r>
      <w:r w:rsidR="00652610">
        <w:t>test</w:t>
      </w:r>
      <w:r w:rsidR="00CE1503">
        <w:t>er</w:t>
      </w:r>
      <w:r w:rsidR="00652610">
        <w:t xml:space="preserve"> can then download the file from a</w:t>
      </w:r>
      <w:r w:rsidR="00D71E84">
        <w:t>n</w:t>
      </w:r>
      <w:r w:rsidR="00652610">
        <w:t xml:space="preserve"> FTP server controlled by the </w:t>
      </w:r>
      <w:r w:rsidR="00CE1503">
        <w:t xml:space="preserve">administration. </w:t>
      </w:r>
      <w:r w:rsidR="001C1AE2">
        <w:t xml:space="preserve">Additionally, </w:t>
      </w:r>
      <w:r w:rsidR="00342618">
        <w:t xml:space="preserve">such provoking </w:t>
      </w:r>
      <w:r w:rsidR="00342618" w:rsidRPr="00342618">
        <w:t>traffic can be generated by a test UE or a few test UEs.</w:t>
      </w:r>
      <w:r w:rsidR="00342618">
        <w:t xml:space="preserve"> </w:t>
      </w:r>
      <w:r w:rsidR="002D09D4">
        <w:t xml:space="preserve">For the case where the </w:t>
      </w:r>
      <w:r w:rsidR="002F3CDA">
        <w:t xml:space="preserve">BS carrier bandwidth is larger than maximum </w:t>
      </w:r>
      <w:r w:rsidR="00AF4701">
        <w:t xml:space="preserve">supported </w:t>
      </w:r>
      <w:r w:rsidR="002F3CDA">
        <w:t>UE carrier bandwidth multiple test UE</w:t>
      </w:r>
      <w:r w:rsidR="002E777B">
        <w:t>s will be</w:t>
      </w:r>
      <w:r w:rsidR="002F3CDA">
        <w:t xml:space="preserve"> required to excite </w:t>
      </w:r>
      <w:r w:rsidR="002E777B">
        <w:t>maximum</w:t>
      </w:r>
      <w:r w:rsidR="002F3CDA">
        <w:t xml:space="preserve"> BS transmit power. </w:t>
      </w:r>
      <w:r w:rsidR="004B693E">
        <w:t xml:space="preserve">This approach can be conducted </w:t>
      </w:r>
      <w:r w:rsidR="00A802EA">
        <w:t>during</w:t>
      </w:r>
      <w:r w:rsidR="004B693E">
        <w:t xml:space="preserve"> no or low network traffic which can have less impact on the network service.</w:t>
      </w:r>
    </w:p>
    <w:p w14:paraId="3D835D8B" w14:textId="5651447C" w:rsidR="00B631EE" w:rsidRDefault="001C1CEB">
      <w:r>
        <w:t xml:space="preserve">Both for </w:t>
      </w:r>
      <w:r w:rsidR="009C72B9">
        <w:t>Standalone (</w:t>
      </w:r>
      <w:r>
        <w:t>SA</w:t>
      </w:r>
      <w:r w:rsidR="009C72B9">
        <w:t>)</w:t>
      </w:r>
      <w:r>
        <w:t xml:space="preserve"> and </w:t>
      </w:r>
      <w:r w:rsidR="009C72B9">
        <w:t>Non-standalone (</w:t>
      </w:r>
      <w:r>
        <w:t>NSA</w:t>
      </w:r>
      <w:r w:rsidR="009C72B9">
        <w:t>)</w:t>
      </w:r>
      <w:r>
        <w:t xml:space="preserve"> operation the scheduler will </w:t>
      </w:r>
      <w:r w:rsidR="00AD4251">
        <w:t xml:space="preserve">typically </w:t>
      </w:r>
      <w:r>
        <w:t xml:space="preserve">allocate the whole carrier </w:t>
      </w:r>
      <w:r w:rsidR="00576541">
        <w:t xml:space="preserve">to provide </w:t>
      </w:r>
      <w:r w:rsidR="009C72B9">
        <w:t xml:space="preserve">the </w:t>
      </w:r>
      <w:r w:rsidR="00576541">
        <w:t xml:space="preserve">end-user </w:t>
      </w:r>
      <w:r w:rsidR="009C72B9">
        <w:t xml:space="preserve">with maximum </w:t>
      </w:r>
      <w:r w:rsidR="00576541">
        <w:t xml:space="preserve">throughput and </w:t>
      </w:r>
      <w:r w:rsidR="009C72B9">
        <w:t xml:space="preserve">minimum </w:t>
      </w:r>
      <w:r w:rsidR="00576541">
        <w:t>low latency</w:t>
      </w:r>
      <w:r w:rsidR="009C72B9">
        <w:t>.</w:t>
      </w:r>
      <w:r w:rsidR="00631329">
        <w:t xml:space="preserve"> </w:t>
      </w:r>
      <w:r w:rsidR="00490229">
        <w:t xml:space="preserve">For NSA operation, </w:t>
      </w:r>
      <w:r w:rsidR="00631329">
        <w:t>there is</w:t>
      </w:r>
      <w:r w:rsidR="008F3588">
        <w:t xml:space="preserve"> no need to have a dedicated feature to direct the data to the 5G carrier only, under the condition that the UE downloads a large enough file</w:t>
      </w:r>
      <w:r w:rsidR="009C72B9">
        <w:t xml:space="preserve">, which will </w:t>
      </w:r>
      <w:r w:rsidR="00A802EA">
        <w:t xml:space="preserve">necessitate </w:t>
      </w:r>
      <w:r w:rsidR="00962DE5">
        <w:t xml:space="preserve">the scheduler to allocate both carriers in the NSA case. </w:t>
      </w:r>
      <w:r w:rsidR="008F3588">
        <w:t xml:space="preserve"> </w:t>
      </w:r>
    </w:p>
    <w:p w14:paraId="34733133" w14:textId="71A9D6A5" w:rsidR="00981485" w:rsidRDefault="00255912">
      <w:pPr>
        <w:pStyle w:val="Heading1"/>
      </w:pPr>
      <w:r>
        <w:t>4</w:t>
      </w:r>
      <w:r>
        <w:tab/>
        <w:t>Actions</w:t>
      </w:r>
    </w:p>
    <w:p w14:paraId="34733134" w14:textId="366EF502" w:rsidR="00981485" w:rsidRDefault="00255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12FB">
        <w:rPr>
          <w:rFonts w:ascii="Arial" w:hAnsi="Arial" w:cs="Arial"/>
          <w:b/>
        </w:rPr>
        <w:t>ITU-R WP1C</w:t>
      </w:r>
      <w:r w:rsidR="00E63F44">
        <w:rPr>
          <w:rFonts w:ascii="Arial" w:hAnsi="Arial" w:cs="Arial"/>
          <w:b/>
        </w:rPr>
        <w:t>:</w:t>
      </w:r>
    </w:p>
    <w:p w14:paraId="34733135" w14:textId="5E3BBEEA" w:rsidR="00981485" w:rsidRDefault="0025591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612FB" w:rsidRPr="00D612FB">
        <w:t xml:space="preserve">3GPP TSG </w:t>
      </w:r>
      <w:r>
        <w:t xml:space="preserve">RAN asks </w:t>
      </w:r>
      <w:r w:rsidR="00D612FB">
        <w:t>ITU-R WP1C</w:t>
      </w:r>
      <w:r>
        <w:t xml:space="preserve"> to take </w:t>
      </w:r>
      <w:r w:rsidR="00D612FB">
        <w:t xml:space="preserve">into account </w:t>
      </w:r>
      <w:r>
        <w:t xml:space="preserve">the information provided concerning OTA in-field test aspects related to measuring TRP unwanted emissions. </w:t>
      </w:r>
      <w:r>
        <w:br/>
        <w:t>In order to facilitate discussions and enable progress of the issue, th</w:t>
      </w:r>
      <w:r w:rsidR="00D612FB">
        <w:t>is</w:t>
      </w:r>
      <w:r>
        <w:t xml:space="preserve"> LS reply </w:t>
      </w:r>
      <w:r w:rsidR="00D612FB">
        <w:t xml:space="preserve">is also </w:t>
      </w:r>
      <w:r>
        <w:t xml:space="preserve">copied to </w:t>
      </w:r>
      <w:r>
        <w:rPr>
          <w:b/>
          <w:bCs/>
        </w:rPr>
        <w:t>CEPT/ECC SE21</w:t>
      </w:r>
      <w:r>
        <w:t>.</w:t>
      </w:r>
    </w:p>
    <w:p w14:paraId="34733136" w14:textId="77777777" w:rsidR="00981485" w:rsidRDefault="00981485">
      <w:pPr>
        <w:spacing w:after="120"/>
        <w:ind w:left="993" w:hanging="993"/>
        <w:rPr>
          <w:rFonts w:ascii="Arial" w:hAnsi="Arial" w:cs="Arial"/>
        </w:rPr>
      </w:pPr>
    </w:p>
    <w:p w14:paraId="34733137" w14:textId="7EFFE3A5" w:rsidR="00981485" w:rsidRDefault="00255912">
      <w:pPr>
        <w:pStyle w:val="Heading1"/>
        <w:rPr>
          <w:szCs w:val="36"/>
        </w:rPr>
      </w:pPr>
      <w:r>
        <w:rPr>
          <w:szCs w:val="36"/>
        </w:rPr>
        <w:t>5</w:t>
      </w:r>
      <w:r>
        <w:rPr>
          <w:szCs w:val="36"/>
        </w:rPr>
        <w:tab/>
        <w:t xml:space="preserve">Dates of next </w:t>
      </w:r>
      <w:r w:rsidR="00D612FB">
        <w:rPr>
          <w:szCs w:val="36"/>
        </w:rPr>
        <w:t xml:space="preserve">3GPP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473313A" w14:textId="2F2E30BF" w:rsidR="00981485" w:rsidRDefault="00D612FB" w:rsidP="003C3C4B">
      <w:r>
        <w:t xml:space="preserve">3GPP </w:t>
      </w:r>
      <w:r w:rsidR="00255912" w:rsidRPr="00651DB4">
        <w:t xml:space="preserve">TSG RAN </w:t>
      </w:r>
      <w:r>
        <w:t>#97e</w:t>
      </w:r>
      <w:r w:rsidR="003603E2">
        <w:tab/>
      </w:r>
      <w:r w:rsidR="003603E2">
        <w:tab/>
      </w:r>
      <w:r>
        <w:t>12-16 September</w:t>
      </w:r>
      <w:r w:rsidR="003603E2">
        <w:t xml:space="preserve"> 2022</w:t>
      </w:r>
      <w:r w:rsidR="003603E2">
        <w:tab/>
      </w:r>
      <w:r>
        <w:t>Online</w:t>
      </w:r>
    </w:p>
    <w:p w14:paraId="40AA526C" w14:textId="4F19648C" w:rsidR="007C6A31" w:rsidRDefault="007C6A31" w:rsidP="007C6A31">
      <w:r>
        <w:t xml:space="preserve">3GPP </w:t>
      </w:r>
      <w:r w:rsidRPr="00651DB4">
        <w:t xml:space="preserve">TSG RAN </w:t>
      </w:r>
      <w:r>
        <w:t>#98</w:t>
      </w:r>
      <w:r>
        <w:tab/>
      </w:r>
      <w:r>
        <w:tab/>
        <w:t>12-15 December 2022</w:t>
      </w:r>
      <w:r>
        <w:tab/>
        <w:t>Sevilla (Spain)</w:t>
      </w:r>
    </w:p>
    <w:sectPr w:rsidR="007C6A3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C0701" w14:textId="77777777" w:rsidR="00DD46FF" w:rsidRDefault="00DD46FF" w:rsidP="00A6755E">
      <w:pPr>
        <w:spacing w:after="0"/>
      </w:pPr>
      <w:r>
        <w:separator/>
      </w:r>
    </w:p>
  </w:endnote>
  <w:endnote w:type="continuationSeparator" w:id="0">
    <w:p w14:paraId="1505B7E7" w14:textId="77777777" w:rsidR="00DD46FF" w:rsidRDefault="00DD46FF" w:rsidP="00A675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885E2" w14:textId="77777777" w:rsidR="00DD46FF" w:rsidRDefault="00DD46FF" w:rsidP="00A6755E">
      <w:pPr>
        <w:spacing w:after="0"/>
      </w:pPr>
      <w:r>
        <w:separator/>
      </w:r>
    </w:p>
  </w:footnote>
  <w:footnote w:type="continuationSeparator" w:id="0">
    <w:p w14:paraId="6803B2F4" w14:textId="77777777" w:rsidR="00DD46FF" w:rsidRDefault="00DD46FF" w:rsidP="00A675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40065F"/>
    <w:multiLevelType w:val="multilevel"/>
    <w:tmpl w:val="1F4006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5B65E08"/>
    <w:multiLevelType w:val="multilevel"/>
    <w:tmpl w:val="55B65E08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77556B"/>
    <w:multiLevelType w:val="multilevel"/>
    <w:tmpl w:val="5A77556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F03711"/>
    <w:multiLevelType w:val="multilevel"/>
    <w:tmpl w:val="76F037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24"/>
    <w:rsid w:val="00013D8C"/>
    <w:rsid w:val="00017F23"/>
    <w:rsid w:val="0002479E"/>
    <w:rsid w:val="000250E2"/>
    <w:rsid w:val="000564B7"/>
    <w:rsid w:val="00063352"/>
    <w:rsid w:val="000A3BA5"/>
    <w:rsid w:val="000A6581"/>
    <w:rsid w:val="000B1720"/>
    <w:rsid w:val="000C1300"/>
    <w:rsid w:val="000F6242"/>
    <w:rsid w:val="0010721E"/>
    <w:rsid w:val="00110169"/>
    <w:rsid w:val="00113B94"/>
    <w:rsid w:val="00122465"/>
    <w:rsid w:val="00140432"/>
    <w:rsid w:val="00146413"/>
    <w:rsid w:val="0018027D"/>
    <w:rsid w:val="001A3786"/>
    <w:rsid w:val="001A46AD"/>
    <w:rsid w:val="001C1AE2"/>
    <w:rsid w:val="001C1CEB"/>
    <w:rsid w:val="001D5355"/>
    <w:rsid w:val="001F516B"/>
    <w:rsid w:val="001F7339"/>
    <w:rsid w:val="0022579C"/>
    <w:rsid w:val="00230290"/>
    <w:rsid w:val="002549AC"/>
    <w:rsid w:val="00255912"/>
    <w:rsid w:val="00260A19"/>
    <w:rsid w:val="002731D6"/>
    <w:rsid w:val="00276573"/>
    <w:rsid w:val="002A5210"/>
    <w:rsid w:val="002C20C1"/>
    <w:rsid w:val="002D09D4"/>
    <w:rsid w:val="002E777B"/>
    <w:rsid w:val="002F1940"/>
    <w:rsid w:val="002F3CDA"/>
    <w:rsid w:val="0031153E"/>
    <w:rsid w:val="00320654"/>
    <w:rsid w:val="00331F5B"/>
    <w:rsid w:val="00342618"/>
    <w:rsid w:val="003603E2"/>
    <w:rsid w:val="00383545"/>
    <w:rsid w:val="00383F45"/>
    <w:rsid w:val="0038604E"/>
    <w:rsid w:val="003A62E3"/>
    <w:rsid w:val="003C3C4B"/>
    <w:rsid w:val="003E2BB4"/>
    <w:rsid w:val="00410CD4"/>
    <w:rsid w:val="00433500"/>
    <w:rsid w:val="004337C1"/>
    <w:rsid w:val="00433F71"/>
    <w:rsid w:val="0043664F"/>
    <w:rsid w:val="00440D43"/>
    <w:rsid w:val="004465B6"/>
    <w:rsid w:val="00452659"/>
    <w:rsid w:val="00452E29"/>
    <w:rsid w:val="004665FB"/>
    <w:rsid w:val="00480649"/>
    <w:rsid w:val="004853BF"/>
    <w:rsid w:val="00490229"/>
    <w:rsid w:val="00490255"/>
    <w:rsid w:val="004934A5"/>
    <w:rsid w:val="004B693E"/>
    <w:rsid w:val="004D2916"/>
    <w:rsid w:val="004E3939"/>
    <w:rsid w:val="005107E6"/>
    <w:rsid w:val="005130C4"/>
    <w:rsid w:val="00576541"/>
    <w:rsid w:val="0058297D"/>
    <w:rsid w:val="005D7094"/>
    <w:rsid w:val="005D7AE1"/>
    <w:rsid w:val="00601DD7"/>
    <w:rsid w:val="00626328"/>
    <w:rsid w:val="00631158"/>
    <w:rsid w:val="00631329"/>
    <w:rsid w:val="006374EB"/>
    <w:rsid w:val="006439BB"/>
    <w:rsid w:val="00651DB4"/>
    <w:rsid w:val="00652610"/>
    <w:rsid w:val="00664284"/>
    <w:rsid w:val="006A1971"/>
    <w:rsid w:val="006E2403"/>
    <w:rsid w:val="00745639"/>
    <w:rsid w:val="00760808"/>
    <w:rsid w:val="007808FC"/>
    <w:rsid w:val="00781B5E"/>
    <w:rsid w:val="007A1A07"/>
    <w:rsid w:val="007A43C7"/>
    <w:rsid w:val="007C2646"/>
    <w:rsid w:val="007C6A31"/>
    <w:rsid w:val="007D0572"/>
    <w:rsid w:val="007D1623"/>
    <w:rsid w:val="007D2C6D"/>
    <w:rsid w:val="007E2938"/>
    <w:rsid w:val="007F4F92"/>
    <w:rsid w:val="008062D5"/>
    <w:rsid w:val="00816E12"/>
    <w:rsid w:val="008329B4"/>
    <w:rsid w:val="008477AD"/>
    <w:rsid w:val="008862E1"/>
    <w:rsid w:val="008D36ED"/>
    <w:rsid w:val="008D772F"/>
    <w:rsid w:val="008F27EC"/>
    <w:rsid w:val="008F3588"/>
    <w:rsid w:val="009268BF"/>
    <w:rsid w:val="009527B5"/>
    <w:rsid w:val="00962DE5"/>
    <w:rsid w:val="009633CB"/>
    <w:rsid w:val="00967DFA"/>
    <w:rsid w:val="00981485"/>
    <w:rsid w:val="009916AB"/>
    <w:rsid w:val="00992093"/>
    <w:rsid w:val="0099764C"/>
    <w:rsid w:val="009A4337"/>
    <w:rsid w:val="009B5B25"/>
    <w:rsid w:val="009C2C57"/>
    <w:rsid w:val="009C72B9"/>
    <w:rsid w:val="009C796F"/>
    <w:rsid w:val="009D34CE"/>
    <w:rsid w:val="009E1C03"/>
    <w:rsid w:val="009E419D"/>
    <w:rsid w:val="009F2733"/>
    <w:rsid w:val="009F53BF"/>
    <w:rsid w:val="00A224FA"/>
    <w:rsid w:val="00A3532D"/>
    <w:rsid w:val="00A377C4"/>
    <w:rsid w:val="00A41809"/>
    <w:rsid w:val="00A67216"/>
    <w:rsid w:val="00A6755E"/>
    <w:rsid w:val="00A75797"/>
    <w:rsid w:val="00A802EA"/>
    <w:rsid w:val="00A81479"/>
    <w:rsid w:val="00A872FA"/>
    <w:rsid w:val="00A9464C"/>
    <w:rsid w:val="00AA0EF2"/>
    <w:rsid w:val="00AD4251"/>
    <w:rsid w:val="00AD7EBE"/>
    <w:rsid w:val="00AE6387"/>
    <w:rsid w:val="00AF3545"/>
    <w:rsid w:val="00AF4701"/>
    <w:rsid w:val="00AF480E"/>
    <w:rsid w:val="00B578E8"/>
    <w:rsid w:val="00B61501"/>
    <w:rsid w:val="00B61524"/>
    <w:rsid w:val="00B6284A"/>
    <w:rsid w:val="00B631EE"/>
    <w:rsid w:val="00B961E3"/>
    <w:rsid w:val="00B97703"/>
    <w:rsid w:val="00B97AB3"/>
    <w:rsid w:val="00BB2F7C"/>
    <w:rsid w:val="00BD67E0"/>
    <w:rsid w:val="00BE4604"/>
    <w:rsid w:val="00BE7DFF"/>
    <w:rsid w:val="00BF04F0"/>
    <w:rsid w:val="00C109FB"/>
    <w:rsid w:val="00C154E4"/>
    <w:rsid w:val="00C16774"/>
    <w:rsid w:val="00C31AE5"/>
    <w:rsid w:val="00C3221A"/>
    <w:rsid w:val="00C41B2D"/>
    <w:rsid w:val="00C43C1D"/>
    <w:rsid w:val="00C52AC0"/>
    <w:rsid w:val="00C824F8"/>
    <w:rsid w:val="00CA2B29"/>
    <w:rsid w:val="00CD6A3F"/>
    <w:rsid w:val="00CD7E02"/>
    <w:rsid w:val="00CE1503"/>
    <w:rsid w:val="00CE3E14"/>
    <w:rsid w:val="00CE551E"/>
    <w:rsid w:val="00CF1829"/>
    <w:rsid w:val="00CF50C9"/>
    <w:rsid w:val="00CF6087"/>
    <w:rsid w:val="00CF7352"/>
    <w:rsid w:val="00D05D30"/>
    <w:rsid w:val="00D14F0F"/>
    <w:rsid w:val="00D31278"/>
    <w:rsid w:val="00D4488B"/>
    <w:rsid w:val="00D57066"/>
    <w:rsid w:val="00D612FB"/>
    <w:rsid w:val="00D61E0D"/>
    <w:rsid w:val="00D71E84"/>
    <w:rsid w:val="00D77063"/>
    <w:rsid w:val="00D819B4"/>
    <w:rsid w:val="00D83F93"/>
    <w:rsid w:val="00D92CD8"/>
    <w:rsid w:val="00DA2776"/>
    <w:rsid w:val="00DA291F"/>
    <w:rsid w:val="00DC33C6"/>
    <w:rsid w:val="00DD46FF"/>
    <w:rsid w:val="00DE222A"/>
    <w:rsid w:val="00E109AE"/>
    <w:rsid w:val="00E22ED0"/>
    <w:rsid w:val="00E63F44"/>
    <w:rsid w:val="00E86EE6"/>
    <w:rsid w:val="00E90F89"/>
    <w:rsid w:val="00E94FF5"/>
    <w:rsid w:val="00E95273"/>
    <w:rsid w:val="00E973AD"/>
    <w:rsid w:val="00EB52A7"/>
    <w:rsid w:val="00EC7087"/>
    <w:rsid w:val="00ED24D3"/>
    <w:rsid w:val="00EF3FB2"/>
    <w:rsid w:val="00EF6F71"/>
    <w:rsid w:val="00F24CBE"/>
    <w:rsid w:val="00F27E29"/>
    <w:rsid w:val="00F50D6C"/>
    <w:rsid w:val="00F749B1"/>
    <w:rsid w:val="00F77294"/>
    <w:rsid w:val="00F928C0"/>
    <w:rsid w:val="00FC26CC"/>
    <w:rsid w:val="00FE6700"/>
    <w:rsid w:val="00FF114F"/>
    <w:rsid w:val="559A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733100"/>
  <w15:docId w15:val="{15CF3402-DD59-40B4-ACB2-043CE399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97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6A19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A19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A19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A19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A19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A1971"/>
    <w:pPr>
      <w:outlineLvl w:val="5"/>
    </w:pPr>
  </w:style>
  <w:style w:type="paragraph" w:styleId="Heading7">
    <w:name w:val="heading 7"/>
    <w:basedOn w:val="H6"/>
    <w:next w:val="Normal"/>
    <w:qFormat/>
    <w:rsid w:val="006A1971"/>
    <w:pPr>
      <w:outlineLvl w:val="6"/>
    </w:pPr>
  </w:style>
  <w:style w:type="paragraph" w:styleId="Heading8">
    <w:name w:val="heading 8"/>
    <w:basedOn w:val="Heading1"/>
    <w:next w:val="Normal"/>
    <w:qFormat/>
    <w:rsid w:val="006A19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19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A197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6A1971"/>
    <w:pPr>
      <w:ind w:left="1135"/>
    </w:pPr>
  </w:style>
  <w:style w:type="paragraph" w:styleId="List2">
    <w:name w:val="List 2"/>
    <w:basedOn w:val="List"/>
    <w:semiHidden/>
    <w:rsid w:val="006A1971"/>
    <w:pPr>
      <w:ind w:left="851"/>
    </w:pPr>
  </w:style>
  <w:style w:type="paragraph" w:styleId="List">
    <w:name w:val="List"/>
    <w:basedOn w:val="Normal"/>
    <w:semiHidden/>
    <w:rsid w:val="006A1971"/>
    <w:pPr>
      <w:ind w:left="568" w:hanging="284"/>
    </w:pPr>
  </w:style>
  <w:style w:type="paragraph" w:styleId="TOC7">
    <w:name w:val="toc 7"/>
    <w:basedOn w:val="TOC6"/>
    <w:next w:val="Normal"/>
    <w:semiHidden/>
    <w:rsid w:val="006A1971"/>
    <w:pPr>
      <w:ind w:left="2268" w:hanging="2268"/>
    </w:pPr>
  </w:style>
  <w:style w:type="paragraph" w:styleId="TOC6">
    <w:name w:val="toc 6"/>
    <w:basedOn w:val="TOC5"/>
    <w:next w:val="Normal"/>
    <w:semiHidden/>
    <w:rsid w:val="006A1971"/>
    <w:pPr>
      <w:ind w:left="1985" w:hanging="1985"/>
    </w:pPr>
  </w:style>
  <w:style w:type="paragraph" w:styleId="TOC5">
    <w:name w:val="toc 5"/>
    <w:basedOn w:val="TOC4"/>
    <w:semiHidden/>
    <w:rsid w:val="006A1971"/>
    <w:pPr>
      <w:ind w:left="1701" w:hanging="1701"/>
    </w:pPr>
  </w:style>
  <w:style w:type="paragraph" w:styleId="TOC4">
    <w:name w:val="toc 4"/>
    <w:basedOn w:val="TOC3"/>
    <w:semiHidden/>
    <w:rsid w:val="006A1971"/>
    <w:pPr>
      <w:ind w:left="1418" w:hanging="1418"/>
    </w:pPr>
  </w:style>
  <w:style w:type="paragraph" w:styleId="TOC3">
    <w:name w:val="toc 3"/>
    <w:basedOn w:val="TOC2"/>
    <w:semiHidden/>
    <w:rsid w:val="006A1971"/>
    <w:pPr>
      <w:ind w:left="1134" w:hanging="1134"/>
    </w:pPr>
  </w:style>
  <w:style w:type="paragraph" w:styleId="TOC2">
    <w:name w:val="toc 2"/>
    <w:basedOn w:val="TOC1"/>
    <w:semiHidden/>
    <w:rsid w:val="006A197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A19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6A1971"/>
    <w:pPr>
      <w:ind w:left="851"/>
    </w:pPr>
  </w:style>
  <w:style w:type="paragraph" w:styleId="ListNumber">
    <w:name w:val="List Number"/>
    <w:basedOn w:val="List"/>
    <w:semiHidden/>
    <w:rsid w:val="006A1971"/>
  </w:style>
  <w:style w:type="paragraph" w:styleId="ListBullet4">
    <w:name w:val="List Bullet 4"/>
    <w:basedOn w:val="ListBullet3"/>
    <w:semiHidden/>
    <w:rsid w:val="006A1971"/>
    <w:pPr>
      <w:ind w:left="1418"/>
    </w:pPr>
  </w:style>
  <w:style w:type="paragraph" w:styleId="ListBullet3">
    <w:name w:val="List Bullet 3"/>
    <w:basedOn w:val="ListBullet2"/>
    <w:semiHidden/>
    <w:rsid w:val="006A1971"/>
    <w:pPr>
      <w:ind w:left="1135"/>
    </w:pPr>
  </w:style>
  <w:style w:type="paragraph" w:styleId="ListBullet2">
    <w:name w:val="List Bullet 2"/>
    <w:basedOn w:val="ListBullet"/>
    <w:semiHidden/>
    <w:rsid w:val="006A1971"/>
    <w:pPr>
      <w:ind w:left="851"/>
    </w:pPr>
  </w:style>
  <w:style w:type="paragraph" w:styleId="ListBullet">
    <w:name w:val="List Bullet"/>
    <w:basedOn w:val="List"/>
    <w:semiHidden/>
    <w:rsid w:val="006A1971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6A1971"/>
    <w:pPr>
      <w:ind w:left="1702"/>
    </w:pPr>
  </w:style>
  <w:style w:type="paragraph" w:styleId="TOC8">
    <w:name w:val="toc 8"/>
    <w:basedOn w:val="TOC1"/>
    <w:semiHidden/>
    <w:rsid w:val="006A197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6A1971"/>
    <w:pPr>
      <w:jc w:val="center"/>
    </w:pPr>
    <w:rPr>
      <w:i/>
    </w:rPr>
  </w:style>
  <w:style w:type="paragraph" w:styleId="Header">
    <w:name w:val="header"/>
    <w:link w:val="HeaderChar"/>
    <w:rsid w:val="006A197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6A197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6A1971"/>
    <w:pPr>
      <w:ind w:left="1702"/>
    </w:pPr>
  </w:style>
  <w:style w:type="paragraph" w:styleId="List4">
    <w:name w:val="List 4"/>
    <w:basedOn w:val="List3"/>
    <w:semiHidden/>
    <w:rsid w:val="006A1971"/>
    <w:pPr>
      <w:ind w:left="1418"/>
    </w:pPr>
  </w:style>
  <w:style w:type="paragraph" w:styleId="TOC9">
    <w:name w:val="toc 9"/>
    <w:basedOn w:val="TOC8"/>
    <w:semiHidden/>
    <w:rsid w:val="006A1971"/>
    <w:pPr>
      <w:ind w:left="1418" w:hanging="1418"/>
    </w:pPr>
  </w:style>
  <w:style w:type="paragraph" w:styleId="Index1">
    <w:name w:val="index 1"/>
    <w:basedOn w:val="Normal"/>
    <w:semiHidden/>
    <w:rsid w:val="006A1971"/>
    <w:pPr>
      <w:keepLines/>
      <w:spacing w:after="0"/>
    </w:pPr>
  </w:style>
  <w:style w:type="paragraph" w:styleId="Index2">
    <w:name w:val="index 2"/>
    <w:basedOn w:val="Index1"/>
    <w:semiHidden/>
    <w:rsid w:val="006A197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6A1971"/>
    <w:rPr>
      <w:b/>
      <w:position w:val="6"/>
      <w:sz w:val="16"/>
    </w:rPr>
  </w:style>
  <w:style w:type="paragraph" w:customStyle="1" w:styleId="B1">
    <w:name w:val="B1"/>
    <w:basedOn w:val="List"/>
    <w:rsid w:val="006A1971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6A19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6A19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A1971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71"/>
    <w:rPr>
      <w:b/>
    </w:rPr>
  </w:style>
  <w:style w:type="paragraph" w:customStyle="1" w:styleId="TAC">
    <w:name w:val="TAC"/>
    <w:basedOn w:val="TAL"/>
    <w:rsid w:val="006A1971"/>
    <w:pPr>
      <w:jc w:val="center"/>
    </w:pPr>
  </w:style>
  <w:style w:type="paragraph" w:customStyle="1" w:styleId="TAL">
    <w:name w:val="TAL"/>
    <w:basedOn w:val="Normal"/>
    <w:rsid w:val="006A19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A1971"/>
    <w:pPr>
      <w:keepNext w:val="0"/>
      <w:spacing w:before="0" w:after="240"/>
    </w:pPr>
  </w:style>
  <w:style w:type="paragraph" w:customStyle="1" w:styleId="TH">
    <w:name w:val="TH"/>
    <w:basedOn w:val="Normal"/>
    <w:rsid w:val="006A19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A1971"/>
    <w:pPr>
      <w:keepLines/>
      <w:ind w:left="1135" w:hanging="851"/>
    </w:pPr>
  </w:style>
  <w:style w:type="paragraph" w:customStyle="1" w:styleId="EX">
    <w:name w:val="EX"/>
    <w:basedOn w:val="Normal"/>
    <w:rsid w:val="006A1971"/>
    <w:pPr>
      <w:keepLines/>
      <w:ind w:left="1702" w:hanging="1418"/>
    </w:pPr>
  </w:style>
  <w:style w:type="paragraph" w:customStyle="1" w:styleId="FP">
    <w:name w:val="FP"/>
    <w:basedOn w:val="Normal"/>
    <w:rsid w:val="006A1971"/>
    <w:pPr>
      <w:spacing w:after="0"/>
    </w:pPr>
  </w:style>
  <w:style w:type="paragraph" w:customStyle="1" w:styleId="LD">
    <w:name w:val="LD"/>
    <w:rsid w:val="006A197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71"/>
    <w:pPr>
      <w:spacing w:after="0"/>
    </w:pPr>
  </w:style>
  <w:style w:type="paragraph" w:customStyle="1" w:styleId="EW">
    <w:name w:val="EW"/>
    <w:basedOn w:val="EX"/>
    <w:rsid w:val="006A1971"/>
    <w:pPr>
      <w:spacing w:after="0"/>
    </w:pPr>
  </w:style>
  <w:style w:type="paragraph" w:customStyle="1" w:styleId="EQ">
    <w:name w:val="EQ"/>
    <w:basedOn w:val="Normal"/>
    <w:next w:val="Normal"/>
    <w:rsid w:val="006A19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A19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71"/>
    <w:pPr>
      <w:jc w:val="right"/>
    </w:pPr>
  </w:style>
  <w:style w:type="paragraph" w:customStyle="1" w:styleId="TAN">
    <w:name w:val="TAN"/>
    <w:basedOn w:val="TAL"/>
    <w:rsid w:val="006A1971"/>
    <w:pPr>
      <w:ind w:left="851" w:hanging="851"/>
    </w:pPr>
  </w:style>
  <w:style w:type="paragraph" w:customStyle="1" w:styleId="ZA">
    <w:name w:val="ZA"/>
    <w:rsid w:val="006A19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71"/>
    <w:pPr>
      <w:framePr w:wrap="notBeside" w:y="16161"/>
    </w:pPr>
  </w:style>
  <w:style w:type="character" w:customStyle="1" w:styleId="ZGSM">
    <w:name w:val="ZGSM"/>
    <w:rsid w:val="006A1971"/>
  </w:style>
  <w:style w:type="paragraph" w:customStyle="1" w:styleId="ZG">
    <w:name w:val="ZG"/>
    <w:rsid w:val="006A19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6A1971"/>
    <w:rPr>
      <w:color w:val="FF0000"/>
    </w:rPr>
  </w:style>
  <w:style w:type="paragraph" w:customStyle="1" w:styleId="B2">
    <w:name w:val="B2"/>
    <w:basedOn w:val="List2"/>
    <w:rsid w:val="006A1971"/>
  </w:style>
  <w:style w:type="paragraph" w:customStyle="1" w:styleId="B3">
    <w:name w:val="B3"/>
    <w:basedOn w:val="List3"/>
    <w:rsid w:val="006A1971"/>
  </w:style>
  <w:style w:type="paragraph" w:customStyle="1" w:styleId="B4">
    <w:name w:val="B4"/>
    <w:basedOn w:val="List4"/>
    <w:rsid w:val="006A1971"/>
  </w:style>
  <w:style w:type="paragraph" w:customStyle="1" w:styleId="B5">
    <w:name w:val="B5"/>
    <w:basedOn w:val="List5"/>
    <w:rsid w:val="006A1971"/>
  </w:style>
  <w:style w:type="paragraph" w:customStyle="1" w:styleId="ZTD">
    <w:name w:val="ZTD"/>
    <w:basedOn w:val="ZB"/>
    <w:rsid w:val="006A1971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1304"/>
      <w:textAlignment w:val="auto"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C3C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D7A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3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cept.org/ecc/groups/ecc/wg-se/se-21/client/meeting-documents/file-history/?fid=69949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/tsg_ran/TSG_RAN/TSGR_94e/Docs//RP-21274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B5BCCB2-B85B-4796-AAEA-0D45567B3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4C0107-4C9F-4739-994D-D010824179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FB3844-4224-4E7A-BC47-48BDE2B503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4667ADC-BAEE-4FB9-947B-D0B974DAB5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5474</CharactersWithSpaces>
  <SharedDoc>false</SharedDoc>
  <HyperlinkBase/>
  <HLinks>
    <vt:vector size="12" baseType="variant">
      <vt:variant>
        <vt:i4>2555921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http://www.3gpp.org/ftp//tsg_ran/TSG_RAN/TSGR_94e/Docs//RP-212741.zip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Romano Giovanni</cp:lastModifiedBy>
  <cp:revision>17</cp:revision>
  <cp:lastPrinted>2002-04-23T16:10:00Z</cp:lastPrinted>
  <dcterms:created xsi:type="dcterms:W3CDTF">2022-04-25T14:26:00Z</dcterms:created>
  <dcterms:modified xsi:type="dcterms:W3CDTF">2022-06-08T12:28:00Z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(2)uvqUJO8gpHhHTyy+mfzju0FFHm6uwPDvYDASRIO0iFIcoP+7JBivkGnmZiIqfueJQW8YpLTD
YDLWXJ3cPW0MNbcUmCUmctOkHau5G9+BjLAuFrxgPqS36Xi6jY4VoAAXdGYVU0RfVgxpVgp/
DO7tbyGOZdkOfSTztZcvrEQWpiSOmvaJUsTvUZ0SQtsgKyznUcxDExQDuLeVTopD4KkNipL1
G+eVcNGHgrUnnFcyf4</vt:lpwstr>
  </property>
  <property fmtid="{D5CDD505-2E9C-101B-9397-08002B2CF9AE}" pid="5" name="_2015_ms_pID_7253431">
    <vt:lpwstr>E1fq0XYc2Vm5xu3zNRetGqFEVMyc2Zo97Xri9Q0tGyf+45pnkQu+Lg
DRFApGsiUQ3v833/hePG3bOgR8eU9keZUWgj02nYB1BQDJ87ATlxZHYDE9TMyLQxTG3nHS6f
zBZBvuTWtXAnCzQ2C5OH41nBsDC1hYg5B9/vasyccGWV5OrxO5iPzErP66rzVQ04R6hgI3S0
vMB9K6aY/F8Zl/Gd</vt:lpwstr>
  </property>
  <property fmtid="{D5CDD505-2E9C-101B-9397-08002B2CF9AE}" pid="6" name="MSIP_Label_d5e397fc-1581-4f20-a09a-f1b2dd53ab2e_Enabled">
    <vt:lpwstr>true</vt:lpwstr>
  </property>
  <property fmtid="{D5CDD505-2E9C-101B-9397-08002B2CF9AE}" pid="7" name="MSIP_Label_d5e397fc-1581-4f20-a09a-f1b2dd53ab2e_SetDate">
    <vt:lpwstr>2022-06-05T08:04:43Z</vt:lpwstr>
  </property>
  <property fmtid="{D5CDD505-2E9C-101B-9397-08002B2CF9AE}" pid="8" name="MSIP_Label_d5e397fc-1581-4f20-a09a-f1b2dd53ab2e_Method">
    <vt:lpwstr>Privileged</vt:lpwstr>
  </property>
  <property fmtid="{D5CDD505-2E9C-101B-9397-08002B2CF9AE}" pid="9" name="MSIP_Label_d5e397fc-1581-4f20-a09a-f1b2dd53ab2e_Name">
    <vt:lpwstr>PUBBLICO</vt:lpwstr>
  </property>
  <property fmtid="{D5CDD505-2E9C-101B-9397-08002B2CF9AE}" pid="10" name="MSIP_Label_d5e397fc-1581-4f20-a09a-f1b2dd53ab2e_SiteId">
    <vt:lpwstr>6815f468-021c-48f2-a6b2-d65c8e979dfb</vt:lpwstr>
  </property>
  <property fmtid="{D5CDD505-2E9C-101B-9397-08002B2CF9AE}" pid="11" name="MSIP_Label_d5e397fc-1581-4f20-a09a-f1b2dd53ab2e_ActionId">
    <vt:lpwstr>ebfe8bf0-ea9e-4a53-b145-5741e5b1abba</vt:lpwstr>
  </property>
  <property fmtid="{D5CDD505-2E9C-101B-9397-08002B2CF9AE}" pid="12" name="MSIP_Label_d5e397fc-1581-4f20-a09a-f1b2dd53ab2e_ContentBits">
    <vt:lpwstr>0</vt:lpwstr>
  </property>
</Properties>
</file>