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D6A72" w:rsidRDefault="0039046A">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t>
      </w:r>
      <w:r w:rsidR="009C4974">
        <w:rPr>
          <w:rFonts w:ascii="Arial" w:hAnsi="Arial" w:cs="Arial" w:hint="eastAsia"/>
          <w:b/>
          <w:bCs/>
          <w:sz w:val="22"/>
          <w:szCs w:val="22"/>
        </w:rPr>
        <w:t>M</w:t>
      </w:r>
      <w:r>
        <w:rPr>
          <w:rFonts w:ascii="Arial" w:hAnsi="Arial" w:cs="Arial" w:hint="eastAsia"/>
          <w:b/>
          <w:bCs/>
          <w:sz w:val="22"/>
          <w:szCs w:val="22"/>
        </w:rPr>
        <w:t>eeting #96</w:t>
      </w:r>
      <w:r>
        <w:rPr>
          <w:rFonts w:ascii="Arial" w:hAnsi="Arial" w:cs="Arial"/>
          <w:b/>
          <w:bCs/>
          <w:sz w:val="22"/>
          <w:szCs w:val="22"/>
        </w:rPr>
        <w:tab/>
      </w:r>
      <w:r>
        <w:rPr>
          <w:rFonts w:ascii="Arial" w:hAnsi="Arial" w:cs="Arial"/>
          <w:b/>
          <w:bCs/>
          <w:sz w:val="22"/>
          <w:szCs w:val="22"/>
        </w:rPr>
        <w:tab/>
        <w:t>R</w:t>
      </w:r>
      <w:r>
        <w:rPr>
          <w:rFonts w:ascii="Arial" w:hAnsi="Arial" w:cs="Arial" w:hint="eastAsia"/>
          <w:b/>
          <w:bCs/>
          <w:sz w:val="22"/>
          <w:szCs w:val="22"/>
        </w:rPr>
        <w:t>P</w:t>
      </w:r>
      <w:r>
        <w:rPr>
          <w:rFonts w:ascii="Arial" w:hAnsi="Arial" w:cs="Arial"/>
          <w:b/>
          <w:bCs/>
          <w:sz w:val="22"/>
          <w:szCs w:val="22"/>
        </w:rPr>
        <w:t>-</w:t>
      </w:r>
      <w:r>
        <w:rPr>
          <w:rFonts w:ascii="Arial" w:hAnsi="Arial" w:cs="Arial" w:hint="eastAsia"/>
          <w:b/>
          <w:bCs/>
          <w:sz w:val="22"/>
          <w:szCs w:val="22"/>
        </w:rPr>
        <w:t>221645</w:t>
      </w:r>
    </w:p>
    <w:p w:rsidR="00AD6A72" w:rsidRDefault="0039046A">
      <w:pPr>
        <w:tabs>
          <w:tab w:val="center" w:pos="4536"/>
          <w:tab w:val="right" w:pos="9639"/>
        </w:tabs>
        <w:spacing w:beforeLines="0" w:after="120"/>
        <w:ind w:right="2"/>
        <w:rPr>
          <w:rFonts w:ascii="Arial" w:hAnsi="Arial" w:cs="Arial"/>
          <w:b/>
          <w:bCs/>
          <w:sz w:val="22"/>
          <w:szCs w:val="22"/>
        </w:rPr>
      </w:pPr>
      <w:r>
        <w:rPr>
          <w:rFonts w:ascii="Arial" w:hAnsi="Arial" w:cs="Arial"/>
          <w:b/>
          <w:sz w:val="22"/>
          <w:szCs w:val="22"/>
        </w:rPr>
        <w:t>Budapest, Hungary, June 6-9, 202</w:t>
      </w:r>
      <w:r>
        <w:rPr>
          <w:rFonts w:ascii="Arial" w:hAnsi="Arial" w:cs="Arial" w:hint="eastAsia"/>
          <w:b/>
          <w:bCs/>
          <w:sz w:val="22"/>
          <w:szCs w:val="22"/>
        </w:rPr>
        <w:t>2</w:t>
      </w:r>
    </w:p>
    <w:p w:rsidR="00AD6A72" w:rsidRDefault="0039046A">
      <w:pPr>
        <w:pStyle w:val="Arial1101987050"/>
        <w:spacing w:before="120" w:after="120"/>
      </w:pPr>
      <w:r>
        <w:t xml:space="preserve">Title: </w:t>
      </w:r>
      <w:r>
        <w:tab/>
      </w:r>
      <w:r>
        <w:rPr>
          <w:rFonts w:hint="eastAsia"/>
          <w:szCs w:val="22"/>
        </w:rPr>
        <w:t>Clarification on the WID of Rel-18 NR sidelink evolution</w:t>
      </w:r>
    </w:p>
    <w:p w:rsidR="00AD6A72" w:rsidRDefault="0039046A">
      <w:pPr>
        <w:pStyle w:val="Arial1101987050"/>
        <w:spacing w:before="120" w:after="120"/>
      </w:pPr>
      <w:r>
        <w:t xml:space="preserve">Source: </w:t>
      </w:r>
      <w:r>
        <w:tab/>
        <w:t>ZTE</w:t>
      </w:r>
      <w:r>
        <w:rPr>
          <w:rFonts w:hint="eastAsia"/>
        </w:rPr>
        <w:t>, Sanechips</w:t>
      </w:r>
    </w:p>
    <w:p w:rsidR="00AD6A72" w:rsidRDefault="0039046A">
      <w:pPr>
        <w:pStyle w:val="Arial1101987050"/>
        <w:spacing w:before="120"/>
      </w:pPr>
      <w:r>
        <w:t>Agenda item:</w:t>
      </w:r>
      <w:r>
        <w:tab/>
      </w:r>
      <w:r>
        <w:rPr>
          <w:rFonts w:hint="eastAsia"/>
          <w:szCs w:val="22"/>
        </w:rPr>
        <w:t>9.3.1.5</w:t>
      </w:r>
    </w:p>
    <w:p w:rsidR="00AD6A72" w:rsidRDefault="0039046A">
      <w:pPr>
        <w:pStyle w:val="Arial1101987050"/>
        <w:spacing w:before="120" w:after="120"/>
      </w:pPr>
      <w:r>
        <w:t>Document for:</w:t>
      </w:r>
      <w:r>
        <w:tab/>
      </w:r>
      <w:r>
        <w:rPr>
          <w:rFonts w:hint="eastAsia"/>
        </w:rPr>
        <w:t>Discussion</w:t>
      </w:r>
      <w:r>
        <w:t xml:space="preserve"> and decision</w:t>
      </w:r>
    </w:p>
    <w:p w:rsidR="00AD6A72" w:rsidRDefault="0039046A">
      <w:pPr>
        <w:pStyle w:val="1"/>
        <w:spacing w:before="120" w:after="120"/>
        <w:ind w:left="0"/>
        <w:rPr>
          <w:rFonts w:eastAsia="宋体"/>
        </w:rPr>
      </w:pPr>
      <w:r>
        <w:rPr>
          <w:rFonts w:eastAsia="宋体" w:hint="eastAsia"/>
        </w:rPr>
        <w:t>Introduction</w:t>
      </w:r>
    </w:p>
    <w:p w:rsidR="00AD6A72" w:rsidRDefault="0039046A">
      <w:pPr>
        <w:spacing w:before="120" w:after="120"/>
        <w:rPr>
          <w:rFonts w:cs="Times"/>
          <w:iCs/>
          <w:sz w:val="20"/>
        </w:rPr>
      </w:pPr>
      <w:r>
        <w:rPr>
          <w:rFonts w:cs="Times" w:hint="eastAsia"/>
          <w:iCs/>
          <w:sz w:val="20"/>
        </w:rPr>
        <w:t>In last RAN1 WG meeting, the first WG meeting for Rel-18 sidelink evolution, views/understandings and technical details on the following two objectives in WID were extensively discussed. The other two objectives would be on hold until further checking in RAN#97.</w:t>
      </w:r>
    </w:p>
    <w:tbl>
      <w:tblPr>
        <w:tblStyle w:val="aa"/>
        <w:tblW w:w="0" w:type="auto"/>
        <w:tblLook w:val="04A0" w:firstRow="1" w:lastRow="0" w:firstColumn="1" w:lastColumn="0" w:noHBand="0" w:noVBand="1"/>
      </w:tblPr>
      <w:tblGrid>
        <w:gridCol w:w="9876"/>
      </w:tblGrid>
      <w:tr w:rsidR="00AD6A72">
        <w:tc>
          <w:tcPr>
            <w:tcW w:w="9876" w:type="dxa"/>
          </w:tcPr>
          <w:p w:rsidR="00AD6A72" w:rsidRPr="00AD6A72" w:rsidRDefault="00AD6A72">
            <w:pPr>
              <w:spacing w:before="120" w:after="120"/>
              <w:rPr>
                <w:rFonts w:ascii="Times" w:hAnsi="Times" w:cs="Times"/>
                <w:sz w:val="20"/>
              </w:rPr>
            </w:pPr>
            <w:r w:rsidRPr="00AD6A72">
              <w:rPr>
                <w:rFonts w:ascii="Times" w:hAnsi="Times" w:cs="Times"/>
                <w:sz w:val="20"/>
              </w:rPr>
              <w:t>2. Study and specify support of sidelink on unlicensed spectrum for both mode 1 and mode 2</w:t>
            </w:r>
            <w:r w:rsidRPr="00AD6A72">
              <w:rPr>
                <w:rFonts w:ascii="Times" w:hAnsi="Times" w:cs="Times"/>
                <w:sz w:val="20"/>
                <w:highlight w:val="yellow"/>
              </w:rPr>
              <w:t xml:space="preserve"> where Uu operation for mode 1 is limited to licensed spectrum only</w:t>
            </w:r>
            <w:r w:rsidRPr="00AD6A72">
              <w:rPr>
                <w:rFonts w:ascii="Times" w:hAnsi="Times" w:cs="Times"/>
                <w:sz w:val="20"/>
              </w:rPr>
              <w:t xml:space="preserve"> [RAN1, RAN2, RAN4]</w:t>
            </w:r>
          </w:p>
          <w:p w:rsidR="00AD6A72" w:rsidRPr="00AD6A72" w:rsidRDefault="00AD6A72">
            <w:pPr>
              <w:numPr>
                <w:ilvl w:val="0"/>
                <w:numId w:val="9"/>
              </w:numPr>
              <w:spacing w:before="120" w:after="120"/>
              <w:ind w:left="993" w:hanging="284"/>
              <w:rPr>
                <w:rFonts w:ascii="Times" w:hAnsi="Times" w:cs="Times"/>
                <w:sz w:val="20"/>
                <w:lang w:eastAsia="ko-KR"/>
              </w:rPr>
            </w:pPr>
            <w:r w:rsidRPr="00AD6A72">
              <w:rPr>
                <w:rFonts w:ascii="Times" w:hAnsi="Times" w:cs="Times"/>
                <w:sz w:val="20"/>
                <w:lang w:eastAsia="ko-KR"/>
              </w:rPr>
              <w:t>Channel access mechanisms from NR-U shall be reused for sidelink unlicensed operation</w:t>
            </w:r>
          </w:p>
          <w:p w:rsidR="00AD6A72" w:rsidRPr="00AD6A72" w:rsidRDefault="00AD6A72">
            <w:pPr>
              <w:numPr>
                <w:ilvl w:val="1"/>
                <w:numId w:val="9"/>
              </w:numPr>
              <w:spacing w:before="120" w:after="120"/>
              <w:ind w:left="1418" w:hanging="284"/>
              <w:rPr>
                <w:rFonts w:ascii="Times" w:hAnsi="Times" w:cs="Times"/>
                <w:sz w:val="20"/>
                <w:lang w:eastAsia="ko-KR"/>
              </w:rPr>
            </w:pPr>
            <w:bookmarkStart w:id="0" w:name="_Hlk89917081"/>
            <w:r w:rsidRPr="00AD6A72">
              <w:rPr>
                <w:rFonts w:ascii="Times" w:hAnsi="Times" w:cs="Times"/>
                <w:sz w:val="20"/>
                <w:lang w:eastAsia="ko-KR"/>
              </w:rPr>
              <w:t>Assess the applicability of sidelink resource reservation from Rel-16/Rel-17 to sidelink unlicensed operation within the boundaries of unlicensed channel access mechanism and operation</w:t>
            </w:r>
          </w:p>
          <w:p w:rsidR="00AD6A72" w:rsidRPr="00AD6A72" w:rsidRDefault="00AD6A72">
            <w:pPr>
              <w:numPr>
                <w:ilvl w:val="2"/>
                <w:numId w:val="9"/>
              </w:numPr>
              <w:spacing w:before="120" w:after="120"/>
              <w:rPr>
                <w:rFonts w:ascii="Times" w:hAnsi="Times" w:cs="Times"/>
                <w:sz w:val="20"/>
                <w:lang w:eastAsia="ko-KR"/>
              </w:rPr>
            </w:pPr>
            <w:r w:rsidRPr="00AD6A72">
              <w:rPr>
                <w:rFonts w:ascii="Times" w:hAnsi="Times" w:cs="Times"/>
                <w:sz w:val="20"/>
                <w:lang w:eastAsia="ko-KR"/>
              </w:rPr>
              <w:t>No specific enhancements for Rel-17 resource allocation mechanisms</w:t>
            </w:r>
            <w:bookmarkEnd w:id="0"/>
          </w:p>
          <w:p w:rsidR="00AD6A72" w:rsidRPr="00AD6A72" w:rsidRDefault="00AD6A72">
            <w:pPr>
              <w:numPr>
                <w:ilvl w:val="2"/>
                <w:numId w:val="9"/>
              </w:numPr>
              <w:spacing w:before="120" w:after="120"/>
              <w:rPr>
                <w:rFonts w:ascii="Times" w:hAnsi="Times" w:cs="Times"/>
                <w:sz w:val="20"/>
                <w:lang w:eastAsia="ko-KR"/>
              </w:rPr>
            </w:pPr>
            <w:r w:rsidRPr="00AD6A72">
              <w:rPr>
                <w:rFonts w:ascii="Times" w:hAnsi="Times" w:cs="Times"/>
                <w:sz w:val="20"/>
                <w:lang w:eastAsia="ko-KR"/>
              </w:rPr>
              <w:t>If the existing NR-U channel access framework does not support the required SL-U functionality, WGs will make appropriate recommendations for RAN approval.</w:t>
            </w:r>
          </w:p>
          <w:p w:rsidR="00AD6A72" w:rsidRPr="00AD6A72" w:rsidRDefault="00AD6A72">
            <w:pPr>
              <w:numPr>
                <w:ilvl w:val="0"/>
                <w:numId w:val="9"/>
              </w:numPr>
              <w:spacing w:before="120" w:after="120"/>
              <w:ind w:left="993" w:hanging="284"/>
              <w:rPr>
                <w:rFonts w:ascii="Times" w:hAnsi="Times" w:cs="Times"/>
                <w:sz w:val="20"/>
                <w:lang w:eastAsia="ko-KR"/>
              </w:rPr>
            </w:pPr>
            <w:bookmarkStart w:id="1" w:name="_Hlk89917101"/>
            <w:r w:rsidRPr="00AD6A72">
              <w:rPr>
                <w:rFonts w:ascii="Times" w:hAnsi="Times" w:cs="Times"/>
                <w:sz w:val="20"/>
                <w:lang w:eastAsia="ko-KR"/>
              </w:rPr>
              <w:t>Physical channel design framework: Required changes to NR sidelink physical channel structures and procedures to operate on unlicensed spectrum</w:t>
            </w:r>
            <w:bookmarkEnd w:id="1"/>
          </w:p>
          <w:p w:rsidR="00AD6A72" w:rsidRPr="00AD6A72" w:rsidRDefault="00AD6A72">
            <w:pPr>
              <w:numPr>
                <w:ilvl w:val="1"/>
                <w:numId w:val="9"/>
              </w:numPr>
              <w:spacing w:before="120" w:after="120"/>
              <w:ind w:left="1418" w:hanging="284"/>
              <w:rPr>
                <w:rFonts w:ascii="Times" w:hAnsi="Times" w:cs="Times"/>
                <w:sz w:val="20"/>
                <w:lang w:eastAsia="ko-KR"/>
              </w:rPr>
            </w:pPr>
            <w:bookmarkStart w:id="2" w:name="_Hlk89917118"/>
            <w:r w:rsidRPr="00AD6A72">
              <w:rPr>
                <w:rFonts w:ascii="Times" w:hAnsi="Times" w:cs="Times"/>
                <w:sz w:val="20"/>
                <w:lang w:eastAsia="ko-KR"/>
              </w:rPr>
              <w:t xml:space="preserve">The existing NR sidelink and NR-U channel structure shall be reused </w:t>
            </w:r>
            <w:bookmarkEnd w:id="2"/>
            <w:r w:rsidRPr="00AD6A72">
              <w:rPr>
                <w:rFonts w:ascii="Times" w:hAnsi="Times" w:cs="Times"/>
                <w:sz w:val="20"/>
                <w:lang w:eastAsia="ko-KR"/>
              </w:rPr>
              <w:t>as the baseline.</w:t>
            </w:r>
          </w:p>
          <w:p w:rsidR="00AD6A72" w:rsidRPr="00AD6A72" w:rsidRDefault="00AD6A72">
            <w:pPr>
              <w:numPr>
                <w:ilvl w:val="0"/>
                <w:numId w:val="9"/>
              </w:numPr>
              <w:spacing w:before="120" w:after="120"/>
              <w:ind w:left="993" w:hanging="284"/>
              <w:rPr>
                <w:rFonts w:ascii="Times" w:hAnsi="Times" w:cs="Times"/>
                <w:sz w:val="20"/>
                <w:lang w:eastAsia="ko-KR"/>
              </w:rPr>
            </w:pPr>
            <w:bookmarkStart w:id="3" w:name="_Hlk89917140"/>
            <w:r w:rsidRPr="00AD6A72">
              <w:rPr>
                <w:rFonts w:ascii="Times" w:hAnsi="Times" w:cs="Times"/>
                <w:sz w:val="20"/>
                <w:lang w:eastAsia="ko-KR"/>
              </w:rPr>
              <w:t>No specific enhancements for existing NR SL feature</w:t>
            </w:r>
            <w:bookmarkEnd w:id="3"/>
          </w:p>
          <w:p w:rsidR="00AD6A72" w:rsidRPr="00AD6A72" w:rsidRDefault="00AD6A72">
            <w:pPr>
              <w:numPr>
                <w:ilvl w:val="0"/>
                <w:numId w:val="9"/>
              </w:numPr>
              <w:spacing w:before="120" w:after="120"/>
              <w:ind w:left="993" w:hanging="284"/>
              <w:rPr>
                <w:rFonts w:ascii="Times" w:hAnsi="Times" w:cs="Times"/>
                <w:sz w:val="20"/>
                <w:lang w:eastAsia="ko-KR"/>
              </w:rPr>
            </w:pPr>
            <w:r w:rsidRPr="00AD6A72">
              <w:rPr>
                <w:rFonts w:ascii="Times" w:hAnsi="Times" w:cs="Times"/>
                <w:sz w:val="20"/>
                <w:lang w:eastAsia="ko-KR"/>
              </w:rPr>
              <w:t>The study should focus on FR1 unlicensed bands (n46 and n96/n102) and is to be completed by RAN#98</w:t>
            </w:r>
            <w:bookmarkStart w:id="4" w:name="_Hlk89917215"/>
            <w:r w:rsidRPr="00AD6A72">
              <w:rPr>
                <w:rFonts w:ascii="Times" w:hAnsi="Times" w:cs="Times"/>
                <w:sz w:val="20"/>
                <w:lang w:eastAsia="ko-KR"/>
              </w:rPr>
              <w:t>.</w:t>
            </w:r>
            <w:bookmarkEnd w:id="4"/>
          </w:p>
          <w:p w:rsidR="00AD6A72" w:rsidRPr="00AD6A72" w:rsidRDefault="00AD6A72">
            <w:pPr>
              <w:spacing w:before="120" w:after="120"/>
              <w:ind w:left="142"/>
              <w:rPr>
                <w:rFonts w:ascii="Times" w:hAnsi="Times" w:cs="Times"/>
                <w:iCs/>
                <w:sz w:val="20"/>
              </w:rPr>
            </w:pPr>
            <w:r w:rsidRPr="00AD6A72">
              <w:rPr>
                <w:rFonts w:ascii="Times" w:hAnsi="Times" w:cs="Times"/>
                <w:sz w:val="20"/>
              </w:rPr>
              <w:t xml:space="preserve">4. Study and specify, if necessary, mechanism(s) for co-channel </w:t>
            </w:r>
            <w:r w:rsidRPr="00AD6A72">
              <w:rPr>
                <w:rFonts w:ascii="Times" w:hAnsi="Times" w:cs="Times"/>
                <w:sz w:val="20"/>
                <w:highlight w:val="yellow"/>
              </w:rPr>
              <w:t>coexistence for LTE sidelink and NR sidelink</w:t>
            </w:r>
            <w:r w:rsidRPr="00AD6A72">
              <w:rPr>
                <w:rFonts w:ascii="Times" w:hAnsi="Times" w:cs="Times"/>
                <w:sz w:val="20"/>
              </w:rPr>
              <w:t xml:space="preserve"> including performance, necessity, feasibility, and potential specification impact if any [RAN1, RAN2, RAN4]</w:t>
            </w:r>
          </w:p>
          <w:p w:rsidR="00AD6A72" w:rsidRDefault="00AD6A72">
            <w:pPr>
              <w:numPr>
                <w:ilvl w:val="0"/>
                <w:numId w:val="9"/>
              </w:numPr>
              <w:spacing w:before="120" w:after="120"/>
              <w:ind w:left="993" w:hanging="284"/>
              <w:rPr>
                <w:rFonts w:cs="Times"/>
                <w:iCs/>
                <w:sz w:val="20"/>
              </w:rPr>
            </w:pPr>
            <w:r w:rsidRPr="00AD6A72">
              <w:rPr>
                <w:rFonts w:ascii="Times" w:hAnsi="Times" w:cs="Times"/>
                <w:sz w:val="20"/>
                <w:lang w:eastAsia="ko-KR"/>
              </w:rPr>
              <w:t>Reuse the in-device coexistence framework defined in Rel-16 as much as possible</w:t>
            </w:r>
          </w:p>
        </w:tc>
      </w:tr>
    </w:tbl>
    <w:p w:rsidR="00AD6A72" w:rsidRDefault="0039046A">
      <w:pPr>
        <w:spacing w:before="120" w:after="120"/>
        <w:rPr>
          <w:rFonts w:cs="Times"/>
          <w:iCs/>
          <w:sz w:val="20"/>
        </w:rPr>
      </w:pPr>
      <w:r>
        <w:rPr>
          <w:rFonts w:cs="Times" w:hint="eastAsia"/>
          <w:iCs/>
          <w:sz w:val="20"/>
        </w:rPr>
        <w:t xml:space="preserve">During last RAN1 meeting, a bunch of proposals were discussed, some of which were </w:t>
      </w:r>
      <w:r>
        <w:rPr>
          <w:rFonts w:cs="Times"/>
          <w:iCs/>
          <w:sz w:val="20"/>
        </w:rPr>
        <w:t>stabilized</w:t>
      </w:r>
      <w:r>
        <w:rPr>
          <w:rFonts w:cs="Times" w:hint="eastAsia"/>
          <w:iCs/>
          <w:sz w:val="20"/>
        </w:rPr>
        <w:t xml:space="preserve"> as captured in NR sidelink evolution SR [1]. </w:t>
      </w:r>
      <w:r>
        <w:rPr>
          <w:rFonts w:cs="Times"/>
          <w:iCs/>
          <w:sz w:val="20"/>
        </w:rPr>
        <w:t xml:space="preserve">But the views on other topics were quite divergent </w:t>
      </w:r>
      <w:r>
        <w:rPr>
          <w:rFonts w:cs="Times" w:hint="eastAsia"/>
          <w:iCs/>
          <w:sz w:val="20"/>
        </w:rPr>
        <w:t>mainly</w:t>
      </w:r>
      <w:r>
        <w:rPr>
          <w:rFonts w:cs="Times"/>
          <w:iCs/>
          <w:sz w:val="20"/>
        </w:rPr>
        <w:t xml:space="preserve"> due to different understanding among companies on the scope of Rel-18 SL evolution WID.</w:t>
      </w:r>
      <w:r>
        <w:rPr>
          <w:rFonts w:cs="Times" w:hint="eastAsia"/>
          <w:iCs/>
          <w:sz w:val="20"/>
        </w:rPr>
        <w:t xml:space="preserve"> From RAN1 progress perspective, clarification on </w:t>
      </w:r>
      <w:r>
        <w:rPr>
          <w:rFonts w:hint="eastAsia"/>
          <w:sz w:val="20"/>
        </w:rPr>
        <w:t xml:space="preserve">the WID </w:t>
      </w:r>
      <w:r>
        <w:rPr>
          <w:rFonts w:cs="Times" w:hint="eastAsia"/>
          <w:iCs/>
          <w:sz w:val="20"/>
        </w:rPr>
        <w:t xml:space="preserve">and guidance to move forward from RAN plenary is helpful. A common understanding on the scope is vital in accelerating WG progress in particular considering the fulfillment of the objectives on hold. </w:t>
      </w:r>
    </w:p>
    <w:p w:rsidR="00AD6A72" w:rsidRDefault="0039046A">
      <w:pPr>
        <w:spacing w:before="120" w:after="120"/>
        <w:rPr>
          <w:rFonts w:cs="Times"/>
          <w:iCs/>
          <w:sz w:val="20"/>
        </w:rPr>
      </w:pPr>
      <w:r>
        <w:rPr>
          <w:rFonts w:cs="Times" w:hint="eastAsia"/>
          <w:iCs/>
          <w:sz w:val="20"/>
        </w:rPr>
        <w:t xml:space="preserve">In this paper, we discuss topics whose views are divergent. To make the scope clearer, our understanding and suggestions are provided. </w:t>
      </w:r>
    </w:p>
    <w:p w:rsidR="00AD6A72" w:rsidRDefault="0039046A">
      <w:pPr>
        <w:pStyle w:val="1"/>
        <w:spacing w:before="120" w:after="120"/>
        <w:ind w:left="0"/>
        <w:rPr>
          <w:rFonts w:eastAsia="宋体"/>
        </w:rPr>
      </w:pPr>
      <w:r>
        <w:rPr>
          <w:rFonts w:eastAsia="宋体" w:hint="eastAsia"/>
        </w:rPr>
        <w:t>Discussion</w:t>
      </w:r>
      <w:r>
        <w:rPr>
          <w:rFonts w:eastAsia="宋体"/>
        </w:rPr>
        <w:t>s</w:t>
      </w:r>
      <w:r>
        <w:rPr>
          <w:rFonts w:eastAsia="宋体" w:hint="eastAsia"/>
        </w:rPr>
        <w:t xml:space="preserve"> </w:t>
      </w:r>
    </w:p>
    <w:p w:rsidR="00AD6A72" w:rsidRDefault="0039046A">
      <w:pPr>
        <w:pStyle w:val="2"/>
        <w:spacing w:before="120" w:after="120"/>
        <w:ind w:left="0" w:right="210"/>
      </w:pPr>
      <w:r>
        <w:rPr>
          <w:rFonts w:hint="eastAsia"/>
        </w:rPr>
        <w:t xml:space="preserve">Whether </w:t>
      </w:r>
      <w:r>
        <w:rPr>
          <w:rFonts w:eastAsiaTheme="minorEastAsia" w:hint="eastAsia"/>
        </w:rPr>
        <w:t xml:space="preserve">Uu and SL </w:t>
      </w:r>
      <w:r>
        <w:rPr>
          <w:rFonts w:hint="eastAsia"/>
        </w:rPr>
        <w:t xml:space="preserve">can operate on </w:t>
      </w:r>
      <w:r>
        <w:rPr>
          <w:rFonts w:eastAsia="宋体" w:hint="eastAsia"/>
        </w:rPr>
        <w:t>the same unlicensed</w:t>
      </w:r>
      <w:r>
        <w:rPr>
          <w:rFonts w:hint="eastAsia"/>
        </w:rPr>
        <w:t xml:space="preserve"> </w:t>
      </w:r>
      <w:r>
        <w:rPr>
          <w:rFonts w:eastAsia="宋体" w:hint="eastAsia"/>
        </w:rPr>
        <w:t>spectrum</w:t>
      </w:r>
    </w:p>
    <w:p w:rsidR="00AD6A72" w:rsidRDefault="0039046A">
      <w:pPr>
        <w:spacing w:before="120" w:after="120"/>
        <w:rPr>
          <w:sz w:val="20"/>
        </w:rPr>
      </w:pPr>
      <w:r>
        <w:rPr>
          <w:sz w:val="20"/>
        </w:rPr>
        <w:t>During RAN1#10</w:t>
      </w:r>
      <w:r>
        <w:rPr>
          <w:rFonts w:hint="eastAsia"/>
          <w:sz w:val="20"/>
        </w:rPr>
        <w:t>9</w:t>
      </w:r>
      <w:r>
        <w:rPr>
          <w:sz w:val="20"/>
        </w:rPr>
        <w:t xml:space="preserve">-e, </w:t>
      </w:r>
      <w:r>
        <w:rPr>
          <w:rFonts w:hint="eastAsia"/>
          <w:sz w:val="20"/>
        </w:rPr>
        <w:t xml:space="preserve">a </w:t>
      </w:r>
      <w:r>
        <w:rPr>
          <w:sz w:val="20"/>
        </w:rPr>
        <w:t>controversial</w:t>
      </w:r>
      <w:r>
        <w:rPr>
          <w:rFonts w:hint="eastAsia"/>
          <w:sz w:val="20"/>
        </w:rPr>
        <w:t xml:space="preserve"> question in FL summary is </w:t>
      </w:r>
      <w:r>
        <w:rPr>
          <w:sz w:val="20"/>
        </w:rPr>
        <w:t>whether</w:t>
      </w:r>
      <w:r>
        <w:rPr>
          <w:rFonts w:hint="eastAsia"/>
          <w:sz w:val="20"/>
        </w:rPr>
        <w:t xml:space="preserve"> gNB can be assumed operating on the same unlicensed spectrum with SL-U. Intermediate outcome for this discussion was captured as the following proposal.</w:t>
      </w:r>
    </w:p>
    <w:p w:rsidR="00AD6A72" w:rsidRPr="00AD6A72" w:rsidRDefault="00AD6A72">
      <w:pPr>
        <w:autoSpaceDE w:val="0"/>
        <w:autoSpaceDN w:val="0"/>
        <w:spacing w:before="120" w:after="120"/>
        <w:rPr>
          <w:rFonts w:ascii="Calibri" w:hAnsi="Calibri" w:cs="Calibri"/>
          <w:b/>
          <w:bCs/>
          <w:i/>
          <w:iCs/>
          <w:sz w:val="20"/>
        </w:rPr>
      </w:pPr>
      <w:r w:rsidRPr="00AD6A72">
        <w:rPr>
          <w:rFonts w:ascii="Calibri" w:hAnsi="Calibri" w:cs="Calibri"/>
          <w:b/>
          <w:bCs/>
          <w:i/>
          <w:iCs/>
          <w:sz w:val="20"/>
        </w:rPr>
        <w:t xml:space="preserve">Proposal for conclusion (Option 1) or agreement (Option 2) </w:t>
      </w:r>
      <w:bookmarkStart w:id="5" w:name="OLE_LINK96"/>
      <w:r w:rsidRPr="00AD6A72">
        <w:rPr>
          <w:rFonts w:ascii="Calibri" w:hAnsi="Calibri" w:cs="Calibri"/>
          <w:b/>
          <w:bCs/>
          <w:i/>
          <w:iCs/>
          <w:sz w:val="20"/>
        </w:rPr>
        <w:t>3-1 (I)</w:t>
      </w:r>
      <w:bookmarkEnd w:id="5"/>
      <w:r w:rsidRPr="00AD6A72">
        <w:rPr>
          <w:rFonts w:ascii="Calibri" w:hAnsi="Calibri" w:cs="Calibri"/>
          <w:b/>
          <w:bCs/>
          <w:i/>
          <w:iCs/>
          <w:sz w:val="20"/>
        </w:rPr>
        <w:t>:</w:t>
      </w:r>
    </w:p>
    <w:p w:rsidR="00AD6A72" w:rsidRPr="00AD6A72" w:rsidRDefault="00AD6A72">
      <w:pPr>
        <w:pStyle w:val="ad"/>
        <w:numPr>
          <w:ilvl w:val="0"/>
          <w:numId w:val="10"/>
        </w:numPr>
        <w:autoSpaceDE w:val="0"/>
        <w:autoSpaceDN w:val="0"/>
        <w:spacing w:after="120"/>
        <w:rPr>
          <w:rFonts w:ascii="Calibri" w:hAnsi="Calibri" w:cs="Calibri"/>
          <w:i/>
          <w:iCs/>
          <w:sz w:val="20"/>
          <w:szCs w:val="20"/>
        </w:rPr>
      </w:pPr>
      <w:r w:rsidRPr="00AD6A72">
        <w:rPr>
          <w:rFonts w:ascii="Calibri" w:hAnsi="Calibri" w:cs="Calibri"/>
          <w:i/>
          <w:iCs/>
          <w:sz w:val="20"/>
          <w:szCs w:val="20"/>
        </w:rPr>
        <w:lastRenderedPageBreak/>
        <w:t>Option 1: gNB initiating a COT and shares it with SL UE is not considered in Rel-18.</w:t>
      </w:r>
    </w:p>
    <w:p w:rsidR="00AD6A72" w:rsidRPr="00AD6A72" w:rsidRDefault="00AD6A72">
      <w:pPr>
        <w:pStyle w:val="ad"/>
        <w:numPr>
          <w:ilvl w:val="0"/>
          <w:numId w:val="10"/>
        </w:numPr>
        <w:autoSpaceDE w:val="0"/>
        <w:autoSpaceDN w:val="0"/>
        <w:spacing w:after="120"/>
        <w:rPr>
          <w:rFonts w:ascii="Calibri" w:hAnsi="Calibri" w:cs="Calibri"/>
          <w:i/>
          <w:iCs/>
          <w:sz w:val="20"/>
          <w:szCs w:val="20"/>
        </w:rPr>
      </w:pPr>
      <w:r w:rsidRPr="00AD6A72">
        <w:rPr>
          <w:rFonts w:ascii="Calibri" w:hAnsi="Calibri" w:cs="Calibri"/>
          <w:i/>
          <w:iCs/>
          <w:sz w:val="20"/>
          <w:szCs w:val="20"/>
        </w:rPr>
        <w:t xml:space="preserve">Option 2: FFS whether and how COT sharing between gNB and UE can be considered in SL-U, including </w:t>
      </w:r>
    </w:p>
    <w:p w:rsidR="00AD6A72" w:rsidRPr="00AD6A72" w:rsidRDefault="00AD6A72">
      <w:pPr>
        <w:pStyle w:val="ad"/>
        <w:numPr>
          <w:ilvl w:val="1"/>
          <w:numId w:val="10"/>
        </w:numPr>
        <w:autoSpaceDE w:val="0"/>
        <w:autoSpaceDN w:val="0"/>
        <w:spacing w:after="120"/>
        <w:rPr>
          <w:rFonts w:ascii="Calibri" w:hAnsi="Calibri" w:cs="Calibri"/>
          <w:i/>
          <w:iCs/>
          <w:sz w:val="20"/>
          <w:szCs w:val="20"/>
        </w:rPr>
      </w:pPr>
      <w:r w:rsidRPr="00AD6A72">
        <w:rPr>
          <w:rFonts w:ascii="Calibri" w:hAnsi="Calibri" w:cs="Calibri"/>
          <w:i/>
          <w:iCs/>
          <w:sz w:val="20"/>
          <w:szCs w:val="20"/>
        </w:rPr>
        <w:t>what is required on the gNB side to start a COT (e.g. perform LBT on the scheduling shared channel, DL data transmission, SSB, etc.) in order to share it with an SL-U UE to perform UE-to-UE communications</w:t>
      </w:r>
    </w:p>
    <w:p w:rsidR="00AD6A72" w:rsidRPr="00AD6A72" w:rsidRDefault="00AD6A72">
      <w:pPr>
        <w:pStyle w:val="ad"/>
        <w:numPr>
          <w:ilvl w:val="1"/>
          <w:numId w:val="10"/>
        </w:numPr>
        <w:autoSpaceDE w:val="0"/>
        <w:autoSpaceDN w:val="0"/>
        <w:spacing w:after="120"/>
        <w:rPr>
          <w:rFonts w:ascii="Calibri" w:hAnsi="Calibri" w:cs="Calibri"/>
          <w:i/>
          <w:iCs/>
          <w:sz w:val="20"/>
          <w:szCs w:val="20"/>
        </w:rPr>
      </w:pPr>
      <w:r w:rsidRPr="00AD6A72">
        <w:rPr>
          <w:rFonts w:ascii="Calibri" w:hAnsi="Calibri" w:cs="Calibri"/>
          <w:i/>
          <w:iCs/>
          <w:sz w:val="20"/>
          <w:szCs w:val="20"/>
        </w:rPr>
        <w:t>whether to support gNB acquiring information of a UE initiated COT in mode 1 for SL-U</w:t>
      </w:r>
    </w:p>
    <w:p w:rsidR="00F446DF" w:rsidRDefault="00F446DF">
      <w:pPr>
        <w:spacing w:before="120" w:after="120"/>
        <w:rPr>
          <w:sz w:val="20"/>
        </w:rPr>
      </w:pPr>
    </w:p>
    <w:p w:rsidR="00AD6A72" w:rsidRPr="00AD6A72" w:rsidRDefault="0039046A">
      <w:pPr>
        <w:spacing w:before="120" w:after="120"/>
        <w:rPr>
          <w:rFonts w:ascii="Times" w:hAnsi="Times" w:cs="Times"/>
          <w:sz w:val="20"/>
        </w:rPr>
      </w:pPr>
      <w:r>
        <w:rPr>
          <w:rFonts w:hint="eastAsia"/>
          <w:sz w:val="20"/>
        </w:rPr>
        <w:t xml:space="preserve">If the consensus to that question is YES, gNB may initiate a COT and share it with SL UEs. An unavoidable issue would be how gNB can ensure the channel is occupied from SL UE perspective so that the COT were still available for SL-U transmission? To that end, impacts on NR-U would be anticipated as part of Rel-18 sidelink evolution scope. This is unfavorable in mode 1 if we look at the phrase </w:t>
      </w:r>
      <w:r w:rsidR="00AD6A72" w:rsidRPr="00AD6A72">
        <w:rPr>
          <w:rFonts w:ascii="Times" w:hAnsi="Times" w:cs="Times"/>
          <w:sz w:val="20"/>
        </w:rPr>
        <w:t>“Uu operation for mode 1 is limited to licensed spectrum only” and equally undesirable in mode 2 given the RAN1 initiative to strive for common design for channel access under both mode 1 and mode 2.</w:t>
      </w:r>
    </w:p>
    <w:tbl>
      <w:tblPr>
        <w:tblStyle w:val="aa"/>
        <w:tblW w:w="0" w:type="auto"/>
        <w:tblLook w:val="04A0" w:firstRow="1" w:lastRow="0" w:firstColumn="1" w:lastColumn="0" w:noHBand="0" w:noVBand="1"/>
      </w:tblPr>
      <w:tblGrid>
        <w:gridCol w:w="9876"/>
      </w:tblGrid>
      <w:tr w:rsidR="00AD6A72">
        <w:tc>
          <w:tcPr>
            <w:tcW w:w="9876" w:type="dxa"/>
          </w:tcPr>
          <w:p w:rsidR="00AD6A72" w:rsidRPr="00AD6A72" w:rsidRDefault="00AD6A72">
            <w:pPr>
              <w:widowControl/>
              <w:autoSpaceDE w:val="0"/>
              <w:autoSpaceDN w:val="0"/>
              <w:spacing w:before="120" w:after="120"/>
              <w:rPr>
                <w:rFonts w:cs="Times"/>
                <w:b/>
                <w:bCs/>
                <w:sz w:val="20"/>
              </w:rPr>
            </w:pPr>
            <w:r w:rsidRPr="00AD6A72">
              <w:rPr>
                <w:rFonts w:cs="Times"/>
                <w:b/>
                <w:bCs/>
                <w:sz w:val="20"/>
                <w:highlight w:val="green"/>
              </w:rPr>
              <w:t>Agreement</w:t>
            </w:r>
          </w:p>
          <w:p w:rsidR="00AD6A72" w:rsidRPr="00AD6A72" w:rsidRDefault="00AD6A72">
            <w:pPr>
              <w:pStyle w:val="ad"/>
              <w:widowControl/>
              <w:numPr>
                <w:ilvl w:val="0"/>
                <w:numId w:val="10"/>
              </w:numPr>
              <w:autoSpaceDE w:val="0"/>
              <w:autoSpaceDN w:val="0"/>
              <w:spacing w:before="120" w:afterLines="0"/>
              <w:contextualSpacing w:val="0"/>
              <w:rPr>
                <w:sz w:val="20"/>
                <w:szCs w:val="20"/>
              </w:rPr>
            </w:pPr>
            <w:r w:rsidRPr="00AD6A72">
              <w:rPr>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AD6A72">
              <w:rPr>
                <w:strike/>
                <w:sz w:val="20"/>
                <w:szCs w:val="20"/>
              </w:rPr>
              <w:t xml:space="preserve"> </w:t>
            </w:r>
            <w:r w:rsidRPr="00AD6A72">
              <w:rPr>
                <w:sz w:val="20"/>
                <w:szCs w:val="20"/>
              </w:rPr>
              <w:t>transmission using the allocated resource(s), in compliance with transmission gap and LBT sensing idle time requirements specified in TS37.213.</w:t>
            </w:r>
          </w:p>
          <w:p w:rsidR="00AD6A72" w:rsidRPr="00AD6A72" w:rsidRDefault="00AD6A72">
            <w:pPr>
              <w:pStyle w:val="ad"/>
              <w:widowControl/>
              <w:numPr>
                <w:ilvl w:val="1"/>
                <w:numId w:val="10"/>
              </w:numPr>
              <w:autoSpaceDE w:val="0"/>
              <w:autoSpaceDN w:val="0"/>
              <w:spacing w:before="120" w:afterLines="0"/>
              <w:contextualSpacing w:val="0"/>
              <w:rPr>
                <w:sz w:val="20"/>
                <w:szCs w:val="20"/>
              </w:rPr>
            </w:pPr>
            <w:r w:rsidRPr="00AD6A72">
              <w:rPr>
                <w:sz w:val="20"/>
                <w:szCs w:val="20"/>
                <w:lang w:val="en-AU"/>
              </w:rPr>
              <w:t>FFS whether/how mode 1 resource allocation</w:t>
            </w:r>
            <w:r w:rsidRPr="00AD6A72">
              <w:rPr>
                <w:strike/>
                <w:sz w:val="20"/>
                <w:szCs w:val="20"/>
                <w:lang w:val="en-AU"/>
              </w:rPr>
              <w:t xml:space="preserve"> </w:t>
            </w:r>
            <w:r w:rsidRPr="00AD6A72">
              <w:rPr>
                <w:sz w:val="20"/>
                <w:szCs w:val="20"/>
                <w:lang w:val="en-AU"/>
              </w:rPr>
              <w:t>procedure needs to be updated / enhanced due to shared spectrum channel access</w:t>
            </w:r>
          </w:p>
          <w:p w:rsidR="00AD6A72" w:rsidRPr="00AD6A72" w:rsidRDefault="00AD6A72">
            <w:pPr>
              <w:pStyle w:val="ad"/>
              <w:widowControl/>
              <w:numPr>
                <w:ilvl w:val="0"/>
                <w:numId w:val="10"/>
              </w:numPr>
              <w:autoSpaceDE w:val="0"/>
              <w:autoSpaceDN w:val="0"/>
              <w:spacing w:before="120" w:afterLines="0"/>
              <w:contextualSpacing w:val="0"/>
              <w:rPr>
                <w:sz w:val="20"/>
                <w:szCs w:val="20"/>
              </w:rPr>
            </w:pPr>
            <w:r w:rsidRPr="00AD6A72">
              <w:rPr>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rsidR="00AD6A72" w:rsidRPr="00AD6A72" w:rsidRDefault="00AD6A72" w:rsidP="00441DC2">
            <w:pPr>
              <w:pStyle w:val="ad"/>
              <w:widowControl/>
              <w:numPr>
                <w:ilvl w:val="1"/>
                <w:numId w:val="10"/>
              </w:numPr>
              <w:spacing w:before="120" w:afterLines="0"/>
              <w:ind w:leftChars="400" w:left="1200"/>
              <w:contextualSpacing w:val="0"/>
              <w:rPr>
                <w:sz w:val="20"/>
                <w:szCs w:val="20"/>
              </w:rPr>
            </w:pPr>
            <w:r w:rsidRPr="00AD6A72">
              <w:rPr>
                <w:sz w:val="20"/>
                <w:szCs w:val="20"/>
                <w:lang w:val="en-AU"/>
              </w:rPr>
              <w:t>FFS whether/how mode 2 resource selection procedure needs to be updated / enhanced due to shared spectrum channel access</w:t>
            </w:r>
          </w:p>
          <w:p w:rsidR="00AD6A72" w:rsidRPr="00AD6A72" w:rsidRDefault="00AD6A72" w:rsidP="00441DC2">
            <w:pPr>
              <w:pStyle w:val="ad"/>
              <w:widowControl/>
              <w:numPr>
                <w:ilvl w:val="0"/>
                <w:numId w:val="10"/>
              </w:numPr>
              <w:spacing w:before="120" w:afterLines="0"/>
              <w:ind w:leftChars="400" w:left="1200"/>
              <w:contextualSpacing w:val="0"/>
              <w:rPr>
                <w:sz w:val="20"/>
                <w:szCs w:val="20"/>
              </w:rPr>
            </w:pPr>
            <w:r w:rsidRPr="00AD6A72">
              <w:rPr>
                <w:sz w:val="20"/>
                <w:szCs w:val="20"/>
              </w:rPr>
              <w:t>FFS whether/how multi-consecutive slots transmission can be supported for NR sidelink operation in unlicensed spectrum, including the following aspects</w:t>
            </w:r>
          </w:p>
          <w:p w:rsidR="00AD6A72" w:rsidRPr="00AD6A72" w:rsidRDefault="00AD6A72" w:rsidP="00441DC2">
            <w:pPr>
              <w:pStyle w:val="ad"/>
              <w:widowControl/>
              <w:numPr>
                <w:ilvl w:val="1"/>
                <w:numId w:val="10"/>
              </w:numPr>
              <w:spacing w:before="120" w:afterLines="0"/>
              <w:ind w:leftChars="400" w:left="1200"/>
              <w:contextualSpacing w:val="0"/>
              <w:rPr>
                <w:sz w:val="20"/>
                <w:szCs w:val="20"/>
              </w:rPr>
            </w:pPr>
            <w:r w:rsidRPr="00AD6A72">
              <w:rPr>
                <w:sz w:val="20"/>
                <w:szCs w:val="20"/>
              </w:rPr>
              <w:t>channel access, resource allocation and PHY channel design</w:t>
            </w:r>
          </w:p>
          <w:p w:rsidR="00AD6A72" w:rsidRPr="00AD6A72" w:rsidRDefault="00AD6A72" w:rsidP="00441DC2">
            <w:pPr>
              <w:pStyle w:val="ad"/>
              <w:widowControl/>
              <w:numPr>
                <w:ilvl w:val="0"/>
                <w:numId w:val="10"/>
              </w:numPr>
              <w:spacing w:before="120" w:afterLines="0"/>
              <w:ind w:leftChars="400" w:left="1200"/>
              <w:contextualSpacing w:val="0"/>
              <w:rPr>
                <w:sz w:val="20"/>
                <w:szCs w:val="20"/>
              </w:rPr>
            </w:pPr>
            <w:r w:rsidRPr="00AD6A72">
              <w:rPr>
                <w:sz w:val="20"/>
                <w:szCs w:val="20"/>
              </w:rPr>
              <w:t xml:space="preserve">FFS whether/how enhancement is needed between the end of the LBT procedure and the start of the SL transmission to retain channel access </w:t>
            </w:r>
          </w:p>
          <w:p w:rsidR="00AD6A72" w:rsidRPr="00AD6A72" w:rsidRDefault="00AD6A72" w:rsidP="00441DC2">
            <w:pPr>
              <w:pStyle w:val="ad"/>
              <w:widowControl/>
              <w:numPr>
                <w:ilvl w:val="0"/>
                <w:numId w:val="10"/>
              </w:numPr>
              <w:spacing w:before="120" w:afterLines="0"/>
              <w:ind w:leftChars="400" w:left="1200"/>
              <w:contextualSpacing w:val="0"/>
              <w:rPr>
                <w:sz w:val="20"/>
                <w:szCs w:val="20"/>
                <w:highlight w:val="yellow"/>
              </w:rPr>
            </w:pPr>
            <w:r w:rsidRPr="00AD6A72">
              <w:rPr>
                <w:sz w:val="20"/>
                <w:szCs w:val="20"/>
                <w:highlight w:val="yellow"/>
              </w:rPr>
              <w:t>RAN1 to strive for a common solution for channel access for Mode 1 and Mode 2</w:t>
            </w:r>
          </w:p>
          <w:p w:rsidR="00AD6A72" w:rsidRPr="00AD6A72" w:rsidRDefault="00AD6A72">
            <w:pPr>
              <w:widowControl/>
              <w:spacing w:before="120" w:after="120"/>
              <w:rPr>
                <w:rFonts w:ascii="Times" w:hAnsi="Times" w:cs="Times"/>
                <w:sz w:val="20"/>
              </w:rPr>
            </w:pPr>
          </w:p>
        </w:tc>
      </w:tr>
    </w:tbl>
    <w:p w:rsidR="00AD6A72" w:rsidRPr="00AD6A72" w:rsidRDefault="00AD6A72">
      <w:pPr>
        <w:spacing w:before="120" w:after="120"/>
        <w:rPr>
          <w:rFonts w:ascii="Times" w:hAnsi="Times" w:cs="Times"/>
          <w:sz w:val="20"/>
        </w:rPr>
      </w:pPr>
    </w:p>
    <w:p w:rsidR="00AD6A72" w:rsidRDefault="00AD6A72">
      <w:pPr>
        <w:spacing w:before="120" w:after="120"/>
        <w:rPr>
          <w:sz w:val="20"/>
        </w:rPr>
      </w:pPr>
      <w:r w:rsidRPr="00AD6A72">
        <w:rPr>
          <w:sz w:val="20"/>
        </w:rPr>
        <w:t xml:space="preserve">If the consensus to that question is NO, gNB is assumed not to initiate channel access on the unlicensed band where SL-U operates. </w:t>
      </w:r>
      <w:r w:rsidR="00360057">
        <w:rPr>
          <w:rFonts w:hint="eastAsia"/>
          <w:sz w:val="20"/>
        </w:rPr>
        <w:t>On</w:t>
      </w:r>
      <w:r w:rsidRPr="00AD6A72">
        <w:rPr>
          <w:sz w:val="20"/>
        </w:rPr>
        <w:t xml:space="preserve"> the road to that consensus, companies' concern is that whether the scenario of NR-U and SL-U coexistence is excluded, which was not the case for</w:t>
      </w:r>
      <w:r w:rsidR="002338B4">
        <w:rPr>
          <w:rFonts w:hint="eastAsia"/>
          <w:sz w:val="20"/>
        </w:rPr>
        <w:t xml:space="preserve"> the coexistence of NR and SL over</w:t>
      </w:r>
      <w:r w:rsidRPr="00AD6A72">
        <w:rPr>
          <w:sz w:val="20"/>
        </w:rPr>
        <w:t xml:space="preserve"> licensed spectrum back in Rel-16/Rel-17. In our understanding, regardless of whether </w:t>
      </w:r>
      <w:r w:rsidR="0039046A">
        <w:rPr>
          <w:rFonts w:hint="eastAsia"/>
          <w:sz w:val="20"/>
        </w:rPr>
        <w:t>gNB operates on the same unlicensed spectrum as SL-U, coexistence between NR-U and SL-U can be supported by semi-static resource sharing via proper configuration. No specific optimization should be pursued other than relying on proper configuration.</w:t>
      </w:r>
    </w:p>
    <w:p w:rsidR="00AD6A72" w:rsidRDefault="0039046A">
      <w:pPr>
        <w:pStyle w:val="ZTE-Proposal-20210505"/>
        <w:spacing w:before="120" w:after="120"/>
      </w:pPr>
      <w:r>
        <w:t>Clarify in the WID that it is</w:t>
      </w:r>
      <w:r>
        <w:rPr>
          <w:rFonts w:hint="eastAsia"/>
        </w:rPr>
        <w:t xml:space="preserve"> not </w:t>
      </w:r>
      <w:r>
        <w:t>assumed gNB operate</w:t>
      </w:r>
      <w:r>
        <w:rPr>
          <w:rFonts w:hint="eastAsia"/>
        </w:rPr>
        <w:t>s</w:t>
      </w:r>
      <w:r>
        <w:t xml:space="preserve"> on unlicensed band for SL-U as below.</w:t>
      </w:r>
    </w:p>
    <w:tbl>
      <w:tblPr>
        <w:tblStyle w:val="aa"/>
        <w:tblW w:w="0" w:type="auto"/>
        <w:tblLook w:val="04A0" w:firstRow="1" w:lastRow="0" w:firstColumn="1" w:lastColumn="0" w:noHBand="0" w:noVBand="1"/>
      </w:tblPr>
      <w:tblGrid>
        <w:gridCol w:w="9876"/>
      </w:tblGrid>
      <w:tr w:rsidR="00AD6A72">
        <w:tc>
          <w:tcPr>
            <w:tcW w:w="9876" w:type="dxa"/>
          </w:tcPr>
          <w:p w:rsidR="00AD6A72" w:rsidRPr="00AD6A72" w:rsidRDefault="00AD6A72">
            <w:pPr>
              <w:spacing w:before="120" w:after="120"/>
              <w:rPr>
                <w:rFonts w:ascii="Times" w:hAnsi="Times" w:cs="Times"/>
                <w:sz w:val="20"/>
              </w:rPr>
            </w:pPr>
            <w:r w:rsidRPr="00AD6A72">
              <w:rPr>
                <w:rFonts w:ascii="Times" w:hAnsi="Times" w:cs="Times"/>
                <w:sz w:val="20"/>
              </w:rPr>
              <w:t>2. Study and specify support of sidelink on unlicensed spectrum for both mode 1 and mode 2 where Uu operation for mode 1 is limited to licensed spectrum only [RAN1, RAN2, RAN4]</w:t>
            </w:r>
          </w:p>
          <w:p w:rsidR="00AD6A72" w:rsidRPr="00AD6A72" w:rsidRDefault="00AD6A72">
            <w:pPr>
              <w:numPr>
                <w:ilvl w:val="0"/>
                <w:numId w:val="9"/>
              </w:numPr>
              <w:spacing w:before="120" w:after="120"/>
              <w:ind w:left="993" w:hanging="284"/>
              <w:rPr>
                <w:rFonts w:ascii="Times" w:hAnsi="Times" w:cs="Times"/>
                <w:sz w:val="20"/>
                <w:lang w:eastAsia="ko-KR"/>
              </w:rPr>
            </w:pPr>
            <w:r w:rsidRPr="00AD6A72">
              <w:rPr>
                <w:rFonts w:ascii="Times" w:hAnsi="Times" w:cs="Times"/>
                <w:sz w:val="20"/>
                <w:lang w:eastAsia="ko-KR"/>
              </w:rPr>
              <w:t>Channel access mechanisms from NR-U shall be reused for sidelink unlicensed operation</w:t>
            </w:r>
          </w:p>
          <w:p w:rsidR="00AD6A72" w:rsidRPr="00AD6A72" w:rsidRDefault="00AD6A72">
            <w:pPr>
              <w:numPr>
                <w:ilvl w:val="1"/>
                <w:numId w:val="9"/>
              </w:numPr>
              <w:spacing w:before="120" w:after="120"/>
              <w:ind w:left="1418" w:hanging="284"/>
              <w:rPr>
                <w:rFonts w:ascii="Times" w:hAnsi="Times" w:cs="Times"/>
                <w:sz w:val="20"/>
                <w:lang w:eastAsia="ko-KR"/>
              </w:rPr>
            </w:pPr>
            <w:r w:rsidRPr="00AD6A72">
              <w:rPr>
                <w:rFonts w:ascii="Times" w:hAnsi="Times" w:cs="Times"/>
                <w:sz w:val="20"/>
                <w:lang w:eastAsia="ko-KR"/>
              </w:rPr>
              <w:lastRenderedPageBreak/>
              <w:t>Assess the applicability of sidelink resource reservation from Rel-16/Rel-17 to sidelink unlicensed operation within the boundaries of unlicensed channel access mechanism and operation</w:t>
            </w:r>
          </w:p>
          <w:p w:rsidR="00AD6A72" w:rsidRPr="00AD6A72" w:rsidRDefault="00AD6A72">
            <w:pPr>
              <w:numPr>
                <w:ilvl w:val="2"/>
                <w:numId w:val="9"/>
              </w:numPr>
              <w:spacing w:before="120" w:after="120"/>
              <w:rPr>
                <w:rFonts w:ascii="Times" w:hAnsi="Times" w:cs="Times"/>
                <w:sz w:val="20"/>
                <w:lang w:eastAsia="ko-KR"/>
              </w:rPr>
            </w:pPr>
            <w:r w:rsidRPr="00AD6A72">
              <w:rPr>
                <w:rFonts w:ascii="Times" w:hAnsi="Times" w:cs="Times"/>
                <w:sz w:val="20"/>
                <w:lang w:eastAsia="ko-KR"/>
              </w:rPr>
              <w:t>No specific enhancements for Rel-17 resource allocation mechanisms</w:t>
            </w:r>
          </w:p>
          <w:p w:rsidR="00AD6A72" w:rsidRPr="00AD6A72" w:rsidRDefault="00AD6A72">
            <w:pPr>
              <w:numPr>
                <w:ilvl w:val="2"/>
                <w:numId w:val="9"/>
              </w:numPr>
              <w:spacing w:before="120" w:after="120"/>
              <w:rPr>
                <w:rFonts w:ascii="Times" w:hAnsi="Times" w:cs="Times"/>
                <w:sz w:val="20"/>
                <w:lang w:eastAsia="ko-KR"/>
              </w:rPr>
            </w:pPr>
            <w:r w:rsidRPr="00AD6A72">
              <w:rPr>
                <w:rFonts w:ascii="Times" w:hAnsi="Times" w:cs="Times"/>
                <w:sz w:val="20"/>
                <w:lang w:eastAsia="ko-KR"/>
              </w:rPr>
              <w:t>If the existing NR-U channel access framework does not support the required SL-U functionality, WGs will make appropriate recommendations for RAN approval.</w:t>
            </w:r>
          </w:p>
          <w:p w:rsidR="00AD6A72" w:rsidRPr="00AD6A72" w:rsidRDefault="00AD6A72">
            <w:pPr>
              <w:numPr>
                <w:ilvl w:val="0"/>
                <w:numId w:val="9"/>
              </w:numPr>
              <w:spacing w:before="120" w:after="120"/>
              <w:ind w:left="993" w:hanging="284"/>
              <w:rPr>
                <w:rFonts w:ascii="Times" w:hAnsi="Times" w:cs="Times"/>
                <w:sz w:val="20"/>
                <w:lang w:eastAsia="ko-KR"/>
              </w:rPr>
            </w:pPr>
            <w:r w:rsidRPr="00AD6A72">
              <w:rPr>
                <w:rFonts w:ascii="Times" w:hAnsi="Times" w:cs="Times"/>
                <w:sz w:val="20"/>
                <w:lang w:eastAsia="ko-KR"/>
              </w:rPr>
              <w:t>Physical channel design framework: Required changes to NR sidelink physical channel structures and procedures to operate on unlicensed spectrum</w:t>
            </w:r>
          </w:p>
          <w:p w:rsidR="00AD6A72" w:rsidRPr="00AD6A72" w:rsidRDefault="00AD6A72">
            <w:pPr>
              <w:numPr>
                <w:ilvl w:val="1"/>
                <w:numId w:val="9"/>
              </w:numPr>
              <w:spacing w:before="120" w:after="120"/>
              <w:ind w:left="1418" w:hanging="284"/>
              <w:rPr>
                <w:rFonts w:ascii="Times" w:hAnsi="Times" w:cs="Times"/>
                <w:sz w:val="20"/>
                <w:lang w:eastAsia="ko-KR"/>
              </w:rPr>
            </w:pPr>
            <w:r w:rsidRPr="00AD6A72">
              <w:rPr>
                <w:rFonts w:ascii="Times" w:hAnsi="Times" w:cs="Times"/>
                <w:sz w:val="20"/>
                <w:lang w:eastAsia="ko-KR"/>
              </w:rPr>
              <w:t>The existing NR sidelink and NR-U channel structure shall be reused as the baseline.</w:t>
            </w:r>
          </w:p>
          <w:p w:rsidR="00AD6A72" w:rsidRPr="00AD6A72" w:rsidRDefault="00AD6A72">
            <w:pPr>
              <w:numPr>
                <w:ilvl w:val="0"/>
                <w:numId w:val="9"/>
              </w:numPr>
              <w:spacing w:before="120" w:after="120"/>
              <w:ind w:left="993" w:hanging="284"/>
              <w:rPr>
                <w:rFonts w:ascii="Times" w:hAnsi="Times" w:cs="Times"/>
                <w:sz w:val="20"/>
                <w:lang w:eastAsia="ko-KR"/>
              </w:rPr>
            </w:pPr>
            <w:r w:rsidRPr="00AD6A72">
              <w:rPr>
                <w:rFonts w:ascii="Times" w:hAnsi="Times" w:cs="Times"/>
                <w:sz w:val="20"/>
                <w:lang w:eastAsia="ko-KR"/>
              </w:rPr>
              <w:t>No specific enhancements for existing NR SL feature</w:t>
            </w:r>
          </w:p>
          <w:p w:rsidR="00AD6A72" w:rsidRPr="00AD6A72" w:rsidRDefault="00AD6A72">
            <w:pPr>
              <w:numPr>
                <w:ilvl w:val="0"/>
                <w:numId w:val="9"/>
              </w:numPr>
              <w:spacing w:before="120" w:after="120"/>
              <w:ind w:left="993" w:hanging="284"/>
              <w:rPr>
                <w:rFonts w:ascii="Times" w:hAnsi="Times" w:cs="Times"/>
                <w:sz w:val="20"/>
                <w:lang w:eastAsia="ko-KR"/>
              </w:rPr>
            </w:pPr>
            <w:r w:rsidRPr="00AD6A72">
              <w:rPr>
                <w:rFonts w:ascii="Times" w:hAnsi="Times" w:cs="Times"/>
                <w:sz w:val="20"/>
                <w:lang w:eastAsia="ko-KR"/>
              </w:rPr>
              <w:t>The study should focus on FR1 unlicensed bands (n46 and n96/n102) and is to be completed by RAN#98.</w:t>
            </w:r>
          </w:p>
          <w:p w:rsidR="00AD6A72" w:rsidRDefault="00AD6A72">
            <w:pPr>
              <w:numPr>
                <w:ilvl w:val="0"/>
                <w:numId w:val="9"/>
              </w:numPr>
              <w:spacing w:before="120" w:after="120"/>
              <w:ind w:left="993" w:hanging="284"/>
              <w:rPr>
                <w:rFonts w:ascii="Times" w:hAnsi="Times" w:cs="Times"/>
                <w:color w:val="FF0000"/>
                <w:lang w:eastAsia="ko-KR"/>
              </w:rPr>
            </w:pPr>
            <w:r w:rsidRPr="00AD6A72">
              <w:rPr>
                <w:rFonts w:ascii="Times" w:hAnsi="Times" w:cs="Times"/>
                <w:color w:val="FF0000"/>
                <w:sz w:val="20"/>
              </w:rPr>
              <w:t>It's not assumed that gNB operates on unlicensed band for SL-U</w:t>
            </w:r>
          </w:p>
        </w:tc>
      </w:tr>
    </w:tbl>
    <w:p w:rsidR="00AD6A72" w:rsidRDefault="00AD6A72">
      <w:pPr>
        <w:pStyle w:val="ZTE-Proposal-20210505"/>
        <w:numPr>
          <w:ilvl w:val="0"/>
          <w:numId w:val="0"/>
        </w:numPr>
        <w:spacing w:before="120" w:after="120"/>
        <w:rPr>
          <w:rFonts w:cs="Times New Roman"/>
          <w:lang w:val="en-US" w:eastAsia="zh-CN"/>
        </w:rPr>
      </w:pPr>
    </w:p>
    <w:p w:rsidR="00AD6A72" w:rsidRDefault="00AD6A72">
      <w:pPr>
        <w:spacing w:before="120" w:after="120"/>
        <w:rPr>
          <w:sz w:val="20"/>
        </w:rPr>
      </w:pPr>
    </w:p>
    <w:p w:rsidR="00AD6A72" w:rsidRDefault="0039046A">
      <w:pPr>
        <w:pStyle w:val="2"/>
        <w:spacing w:before="120" w:after="120"/>
        <w:ind w:left="0" w:right="210"/>
      </w:pPr>
      <w:r>
        <w:rPr>
          <w:rFonts w:eastAsiaTheme="minorEastAsia" w:hint="eastAsia"/>
        </w:rPr>
        <w:t>Whether Rel-16/17 UEs are considered in co-channel coexistence for LTE sidelink and NR sidelink</w:t>
      </w:r>
    </w:p>
    <w:p w:rsidR="00AD6A72" w:rsidRDefault="00AD6A72">
      <w:pPr>
        <w:spacing w:before="120" w:after="120"/>
        <w:rPr>
          <w:sz w:val="20"/>
        </w:rPr>
      </w:pPr>
      <w:r w:rsidRPr="00AD6A72">
        <w:rPr>
          <w:sz w:val="20"/>
        </w:rPr>
        <w:t>In RAN1#109-e, Issue 1-1 (Type of devices to be considered for the study of co-channel coexistence solutions)</w:t>
      </w:r>
      <w:r w:rsidR="00441DC2" w:rsidRPr="00AD6A72" w:rsidDel="00441DC2">
        <w:rPr>
          <w:sz w:val="20"/>
        </w:rPr>
        <w:t xml:space="preserve"> </w:t>
      </w:r>
      <w:r w:rsidR="00441DC2">
        <w:rPr>
          <w:rFonts w:hint="eastAsia"/>
          <w:sz w:val="20"/>
        </w:rPr>
        <w:t xml:space="preserve">was </w:t>
      </w:r>
      <w:r w:rsidRPr="00AD6A72">
        <w:rPr>
          <w:sz w:val="20"/>
        </w:rPr>
        <w:t>discussed several rounds. The draft proposal in the 5</w:t>
      </w:r>
      <w:r w:rsidRPr="00AD6A72">
        <w:rPr>
          <w:sz w:val="20"/>
          <w:vertAlign w:val="superscript"/>
        </w:rPr>
        <w:t>th</w:t>
      </w:r>
      <w:r w:rsidRPr="00AD6A72">
        <w:rPr>
          <w:sz w:val="20"/>
        </w:rPr>
        <w:t xml:space="preserve"> Round of Email Discussions in FL summary [3] is copied as below to facilitate discussion:</w:t>
      </w:r>
    </w:p>
    <w:p w:rsidR="00AD6A72" w:rsidRDefault="0039046A">
      <w:pPr>
        <w:spacing w:before="120" w:after="120"/>
        <w:rPr>
          <w:b/>
          <w:bCs/>
          <w:i/>
          <w:iCs/>
          <w:sz w:val="20"/>
          <w:highlight w:val="cyan"/>
          <w:lang w:eastAsia="ja-JP"/>
        </w:rPr>
      </w:pPr>
      <w:r>
        <w:rPr>
          <w:b/>
          <w:bCs/>
          <w:i/>
          <w:iCs/>
          <w:sz w:val="20"/>
          <w:highlight w:val="cyan"/>
          <w:lang w:eastAsia="ja-JP"/>
        </w:rPr>
        <w:t>Proposal 1-1 (IV)</w:t>
      </w:r>
    </w:p>
    <w:p w:rsidR="00AD6A72" w:rsidRDefault="0039046A">
      <w:pPr>
        <w:pStyle w:val="ad"/>
        <w:numPr>
          <w:ilvl w:val="0"/>
          <w:numId w:val="11"/>
        </w:numPr>
        <w:spacing w:after="120"/>
        <w:ind w:left="360"/>
        <w:rPr>
          <w:b/>
          <w:bCs/>
          <w:i/>
          <w:iCs/>
          <w:sz w:val="20"/>
          <w:szCs w:val="20"/>
          <w:lang w:eastAsia="ja-JP"/>
        </w:rPr>
      </w:pPr>
      <w:r>
        <w:rPr>
          <w:b/>
          <w:bCs/>
          <w:i/>
          <w:iCs/>
          <w:sz w:val="20"/>
          <w:szCs w:val="20"/>
          <w:lang w:eastAsia="ja-JP"/>
        </w:rPr>
        <w:t>For the study of co-channel coexistence solutions in Rel-18, at least device type A is considered.</w:t>
      </w:r>
    </w:p>
    <w:p w:rsidR="00AD6A72" w:rsidRDefault="0039046A">
      <w:pPr>
        <w:pStyle w:val="ad"/>
        <w:numPr>
          <w:ilvl w:val="1"/>
          <w:numId w:val="11"/>
        </w:numPr>
        <w:spacing w:before="60" w:after="120"/>
        <w:ind w:left="720"/>
        <w:rPr>
          <w:b/>
          <w:bCs/>
          <w:i/>
          <w:iCs/>
          <w:sz w:val="20"/>
          <w:szCs w:val="20"/>
          <w:lang w:eastAsia="ja-JP"/>
        </w:rPr>
      </w:pPr>
      <w:r>
        <w:rPr>
          <w:b/>
          <w:bCs/>
          <w:i/>
          <w:iCs/>
          <w:sz w:val="20"/>
          <w:szCs w:val="20"/>
          <w:lang w:eastAsia="ja-JP"/>
        </w:rPr>
        <w:t>FFS: Whether type B devices are considered.</w:t>
      </w:r>
    </w:p>
    <w:p w:rsidR="00AD6A72" w:rsidRDefault="0039046A">
      <w:pPr>
        <w:pStyle w:val="ad"/>
        <w:numPr>
          <w:ilvl w:val="0"/>
          <w:numId w:val="11"/>
        </w:numPr>
        <w:spacing w:after="120"/>
        <w:ind w:left="360"/>
        <w:rPr>
          <w:b/>
          <w:bCs/>
          <w:i/>
          <w:iCs/>
          <w:color w:val="000000" w:themeColor="text1"/>
          <w:sz w:val="20"/>
          <w:szCs w:val="20"/>
          <w:lang w:eastAsia="ja-JP"/>
        </w:rPr>
      </w:pPr>
      <w:r>
        <w:rPr>
          <w:b/>
          <w:bCs/>
          <w:i/>
          <w:iCs/>
          <w:sz w:val="20"/>
          <w:szCs w:val="20"/>
          <w:lang w:eastAsia="ja-JP"/>
        </w:rPr>
        <w:t>For the study of co-channel coexistence solutions in Rel-18, the</w:t>
      </w:r>
      <w:r>
        <w:rPr>
          <w:b/>
          <w:bCs/>
          <w:i/>
          <w:iCs/>
          <w:color w:val="000000" w:themeColor="text1"/>
          <w:sz w:val="20"/>
          <w:szCs w:val="20"/>
          <w:lang w:eastAsia="ja-JP"/>
        </w:rPr>
        <w:t xml:space="preserve"> </w:t>
      </w:r>
      <w:r>
        <w:rPr>
          <w:b/>
          <w:bCs/>
          <w:i/>
          <w:iCs/>
          <w:strike/>
          <w:color w:val="000000" w:themeColor="text1"/>
          <w:sz w:val="20"/>
          <w:szCs w:val="20"/>
          <w:highlight w:val="yellow"/>
          <w:lang w:eastAsia="ja-JP"/>
        </w:rPr>
        <w:t>supported</w:t>
      </w:r>
      <w:r>
        <w:rPr>
          <w:b/>
          <w:bCs/>
          <w:i/>
          <w:iCs/>
          <w:color w:val="000000" w:themeColor="text1"/>
          <w:sz w:val="20"/>
          <w:szCs w:val="20"/>
          <w:highlight w:val="yellow"/>
          <w:lang w:eastAsia="ja-JP"/>
        </w:rPr>
        <w:t xml:space="preserve"> considered</w:t>
      </w:r>
      <w:r>
        <w:rPr>
          <w:b/>
          <w:bCs/>
          <w:i/>
          <w:iCs/>
          <w:color w:val="000000" w:themeColor="text1"/>
          <w:sz w:val="20"/>
          <w:szCs w:val="20"/>
          <w:lang w:eastAsia="ja-JP"/>
        </w:rPr>
        <w:t xml:space="preserve"> device </w:t>
      </w:r>
      <w:r>
        <w:rPr>
          <w:b/>
          <w:bCs/>
          <w:i/>
          <w:iCs/>
          <w:color w:val="000000" w:themeColor="text1"/>
          <w:sz w:val="20"/>
          <w:szCs w:val="20"/>
          <w:highlight w:val="yellow"/>
          <w:lang w:eastAsia="ja-JP"/>
        </w:rPr>
        <w:t>type(s)</w:t>
      </w:r>
      <w:r>
        <w:rPr>
          <w:b/>
          <w:bCs/>
          <w:i/>
          <w:iCs/>
          <w:color w:val="000000" w:themeColor="text1"/>
          <w:sz w:val="20"/>
          <w:szCs w:val="20"/>
          <w:lang w:eastAsia="ja-JP"/>
        </w:rPr>
        <w:t xml:space="preserve"> </w:t>
      </w:r>
      <w:r>
        <w:rPr>
          <w:b/>
          <w:bCs/>
          <w:i/>
          <w:iCs/>
          <w:sz w:val="20"/>
          <w:szCs w:val="20"/>
          <w:lang w:eastAsia="ja-JP"/>
        </w:rPr>
        <w:t>coexist with type C devices</w:t>
      </w:r>
      <w:r>
        <w:rPr>
          <w:b/>
          <w:bCs/>
          <w:i/>
          <w:iCs/>
          <w:color w:val="000000" w:themeColor="text1"/>
          <w:sz w:val="20"/>
          <w:szCs w:val="20"/>
          <w:lang w:eastAsia="ja-JP"/>
        </w:rPr>
        <w:t xml:space="preserve"> </w:t>
      </w:r>
      <w:r>
        <w:rPr>
          <w:b/>
          <w:bCs/>
          <w:i/>
          <w:iCs/>
          <w:color w:val="000000" w:themeColor="text1"/>
          <w:sz w:val="20"/>
          <w:szCs w:val="20"/>
          <w:highlight w:val="yellow"/>
          <w:lang w:eastAsia="ja-JP"/>
        </w:rPr>
        <w:t>in the same channel</w:t>
      </w:r>
      <w:r>
        <w:rPr>
          <w:b/>
          <w:bCs/>
          <w:i/>
          <w:iCs/>
          <w:strike/>
          <w:color w:val="000000" w:themeColor="text1"/>
          <w:sz w:val="20"/>
          <w:szCs w:val="20"/>
          <w:highlight w:val="yellow"/>
          <w:lang w:eastAsia="ja-JP"/>
        </w:rPr>
        <w:t>, type D and type E devices</w:t>
      </w:r>
      <w:r>
        <w:rPr>
          <w:b/>
          <w:bCs/>
          <w:i/>
          <w:iCs/>
          <w:color w:val="000000" w:themeColor="text1"/>
          <w:sz w:val="20"/>
          <w:szCs w:val="20"/>
          <w:highlight w:val="yellow"/>
          <w:lang w:eastAsia="ja-JP"/>
        </w:rPr>
        <w:t>.</w:t>
      </w:r>
    </w:p>
    <w:p w:rsidR="00AD6A72" w:rsidRDefault="0039046A">
      <w:pPr>
        <w:pStyle w:val="ad"/>
        <w:numPr>
          <w:ilvl w:val="0"/>
          <w:numId w:val="11"/>
        </w:numPr>
        <w:spacing w:after="120"/>
        <w:ind w:left="360"/>
        <w:rPr>
          <w:b/>
          <w:bCs/>
          <w:i/>
          <w:iCs/>
          <w:sz w:val="20"/>
          <w:szCs w:val="20"/>
          <w:lang w:eastAsia="ja-JP"/>
        </w:rPr>
      </w:pPr>
      <w:r>
        <w:rPr>
          <w:b/>
          <w:bCs/>
          <w:i/>
          <w:iCs/>
          <w:sz w:val="20"/>
          <w:szCs w:val="20"/>
          <w:lang w:eastAsia="ja-JP"/>
        </w:rPr>
        <w:t>Note:</w:t>
      </w:r>
    </w:p>
    <w:p w:rsidR="00AD6A72" w:rsidRDefault="0039046A">
      <w:pPr>
        <w:pStyle w:val="ad"/>
        <w:numPr>
          <w:ilvl w:val="1"/>
          <w:numId w:val="11"/>
        </w:numPr>
        <w:spacing w:before="60" w:after="120"/>
        <w:ind w:left="720"/>
        <w:rPr>
          <w:b/>
          <w:bCs/>
          <w:i/>
          <w:iCs/>
          <w:sz w:val="20"/>
          <w:szCs w:val="20"/>
          <w:lang w:eastAsia="ja-JP"/>
        </w:rPr>
      </w:pPr>
      <w:r>
        <w:rPr>
          <w:b/>
          <w:bCs/>
          <w:i/>
          <w:iCs/>
          <w:sz w:val="20"/>
          <w:szCs w:val="20"/>
          <w:lang w:eastAsia="ja-JP"/>
        </w:rPr>
        <w:t>Type A devices are Rel-18 devices that contain both LTE SL and NR SL modules</w:t>
      </w:r>
    </w:p>
    <w:p w:rsidR="00AD6A72" w:rsidRDefault="0039046A">
      <w:pPr>
        <w:pStyle w:val="ad"/>
        <w:numPr>
          <w:ilvl w:val="1"/>
          <w:numId w:val="11"/>
        </w:numPr>
        <w:spacing w:before="60" w:after="120"/>
        <w:ind w:left="720"/>
        <w:rPr>
          <w:b/>
          <w:bCs/>
          <w:i/>
          <w:iCs/>
          <w:sz w:val="20"/>
          <w:szCs w:val="20"/>
          <w:lang w:eastAsia="ja-JP"/>
        </w:rPr>
      </w:pPr>
      <w:r>
        <w:rPr>
          <w:b/>
          <w:bCs/>
          <w:i/>
          <w:iCs/>
          <w:sz w:val="20"/>
          <w:szCs w:val="20"/>
          <w:lang w:eastAsia="ja-JP"/>
        </w:rPr>
        <w:t>Type B devices are Rel-18 devices that contain only NR SL modules</w:t>
      </w:r>
    </w:p>
    <w:p w:rsidR="00AD6A72" w:rsidRDefault="0039046A">
      <w:pPr>
        <w:pStyle w:val="ad"/>
        <w:numPr>
          <w:ilvl w:val="1"/>
          <w:numId w:val="11"/>
        </w:numPr>
        <w:spacing w:before="60" w:after="120"/>
        <w:ind w:left="720"/>
        <w:rPr>
          <w:b/>
          <w:bCs/>
          <w:i/>
          <w:iCs/>
          <w:sz w:val="20"/>
          <w:szCs w:val="20"/>
          <w:lang w:eastAsia="ja-JP"/>
        </w:rPr>
      </w:pPr>
      <w:r>
        <w:rPr>
          <w:b/>
          <w:bCs/>
          <w:i/>
          <w:iCs/>
          <w:sz w:val="20"/>
          <w:szCs w:val="20"/>
          <w:lang w:eastAsia="ja-JP"/>
        </w:rPr>
        <w:t xml:space="preserve">Type C devices are Rel-14/Rel-15 devices that contain only LTE SL modules </w:t>
      </w:r>
    </w:p>
    <w:p w:rsidR="00AD6A72" w:rsidRDefault="0039046A">
      <w:pPr>
        <w:pStyle w:val="ad"/>
        <w:numPr>
          <w:ilvl w:val="1"/>
          <w:numId w:val="11"/>
        </w:numPr>
        <w:spacing w:before="60" w:after="120"/>
        <w:ind w:left="720"/>
        <w:rPr>
          <w:b/>
          <w:bCs/>
          <w:i/>
          <w:iCs/>
          <w:strike/>
          <w:color w:val="000000" w:themeColor="text1"/>
          <w:sz w:val="20"/>
          <w:szCs w:val="20"/>
          <w:highlight w:val="yellow"/>
          <w:lang w:eastAsia="ja-JP"/>
        </w:rPr>
      </w:pPr>
      <w:r>
        <w:rPr>
          <w:b/>
          <w:bCs/>
          <w:i/>
          <w:iCs/>
          <w:strike/>
          <w:color w:val="000000" w:themeColor="text1"/>
          <w:sz w:val="20"/>
          <w:szCs w:val="20"/>
          <w:highlight w:val="yellow"/>
          <w:lang w:eastAsia="ja-JP"/>
        </w:rPr>
        <w:t>Type D devices are Rel-16/17 devices that contain only NR SL modules</w:t>
      </w:r>
    </w:p>
    <w:p w:rsidR="00AD6A72" w:rsidRDefault="0039046A">
      <w:pPr>
        <w:pStyle w:val="ad"/>
        <w:numPr>
          <w:ilvl w:val="1"/>
          <w:numId w:val="11"/>
        </w:numPr>
        <w:spacing w:before="60" w:after="120"/>
        <w:ind w:left="720"/>
        <w:rPr>
          <w:b/>
          <w:bCs/>
          <w:i/>
          <w:iCs/>
          <w:strike/>
          <w:color w:val="000000" w:themeColor="text1"/>
          <w:sz w:val="20"/>
          <w:szCs w:val="20"/>
          <w:highlight w:val="yellow"/>
          <w:lang w:eastAsia="ja-JP"/>
        </w:rPr>
      </w:pPr>
      <w:r>
        <w:rPr>
          <w:b/>
          <w:bCs/>
          <w:i/>
          <w:iCs/>
          <w:strike/>
          <w:color w:val="000000" w:themeColor="text1"/>
          <w:sz w:val="20"/>
          <w:szCs w:val="20"/>
          <w:highlight w:val="yellow"/>
          <w:lang w:eastAsia="ja-JP"/>
        </w:rPr>
        <w:t>Type E devices are Rel-16 devices that contain both LTE SL and NR SL modules based on in-device coexistence framework</w:t>
      </w:r>
    </w:p>
    <w:p w:rsidR="006B2B90" w:rsidRPr="00501F4F" w:rsidRDefault="0039046A">
      <w:pPr>
        <w:spacing w:before="120" w:after="120"/>
        <w:rPr>
          <w:rFonts w:eastAsiaTheme="minorEastAsia"/>
          <w:sz w:val="20"/>
        </w:rPr>
      </w:pPr>
      <w:r>
        <w:rPr>
          <w:rFonts w:hint="eastAsia"/>
          <w:sz w:val="20"/>
        </w:rPr>
        <w:t xml:space="preserve">It's quite </w:t>
      </w:r>
      <w:r>
        <w:rPr>
          <w:sz w:val="20"/>
        </w:rPr>
        <w:t>controversial</w:t>
      </w:r>
      <w:r>
        <w:rPr>
          <w:rFonts w:hint="eastAsia"/>
          <w:sz w:val="20"/>
        </w:rPr>
        <w:t xml:space="preserve"> as to whether Type D/E devices (Rel-16/17 UE containing at least NR</w:t>
      </w:r>
      <w:r w:rsidR="007B6E04">
        <w:rPr>
          <w:rFonts w:hint="eastAsia"/>
          <w:sz w:val="20"/>
        </w:rPr>
        <w:t xml:space="preserve"> SL</w:t>
      </w:r>
      <w:r>
        <w:rPr>
          <w:rFonts w:hint="eastAsia"/>
          <w:sz w:val="20"/>
        </w:rPr>
        <w:t xml:space="preserve"> modules) should be considered in the study of </w:t>
      </w:r>
      <w:r>
        <w:rPr>
          <w:sz w:val="20"/>
        </w:rPr>
        <w:t>coexistence</w:t>
      </w:r>
      <w:r>
        <w:rPr>
          <w:rFonts w:hint="eastAsia"/>
          <w:sz w:val="20"/>
        </w:rPr>
        <w:t xml:space="preserve"> solutions. </w:t>
      </w:r>
      <w:r w:rsidR="00AD6A72" w:rsidRPr="00AD6A72">
        <w:rPr>
          <w:sz w:val="20"/>
        </w:rPr>
        <w:t xml:space="preserve">Rel-16/17 sidelink </w:t>
      </w:r>
      <w:r w:rsidR="00D748EE">
        <w:rPr>
          <w:rFonts w:hint="eastAsia"/>
          <w:sz w:val="20"/>
        </w:rPr>
        <w:t xml:space="preserve">deployment </w:t>
      </w:r>
      <w:r w:rsidR="00AD6A72" w:rsidRPr="00AD6A72">
        <w:rPr>
          <w:sz w:val="20"/>
        </w:rPr>
        <w:t>could be of dominant market in some countries/regions. As a result, a deployable and realistic solution</w:t>
      </w:r>
      <w:r w:rsidR="00B43EF2">
        <w:rPr>
          <w:rFonts w:hint="eastAsia"/>
          <w:sz w:val="20"/>
        </w:rPr>
        <w:t xml:space="preserve"> </w:t>
      </w:r>
      <w:r w:rsidR="00B43EF2" w:rsidRPr="00101953">
        <w:rPr>
          <w:rFonts w:hint="eastAsia"/>
          <w:sz w:val="20"/>
        </w:rPr>
        <w:t xml:space="preserve">e.g. </w:t>
      </w:r>
      <w:r w:rsidR="00B43EF2" w:rsidRPr="00101953">
        <w:rPr>
          <w:rFonts w:eastAsiaTheme="minorEastAsia" w:hint="eastAsia"/>
        </w:rPr>
        <w:t xml:space="preserve">semi-static resource partitioning solution(s) </w:t>
      </w:r>
      <w:r w:rsidR="00AD6A72" w:rsidRPr="00AD6A72">
        <w:rPr>
          <w:sz w:val="20"/>
        </w:rPr>
        <w:t xml:space="preserve">should by default take into account </w:t>
      </w:r>
      <w:r w:rsidRPr="00501F4F">
        <w:rPr>
          <w:sz w:val="20"/>
        </w:rPr>
        <w:t>Rel-16/17 sidelink</w:t>
      </w:r>
      <w:r w:rsidRPr="00501F4F">
        <w:rPr>
          <w:rFonts w:hint="eastAsia"/>
          <w:sz w:val="20"/>
        </w:rPr>
        <w:t xml:space="preserve"> operation in </w:t>
      </w:r>
      <w:r w:rsidRPr="00501F4F">
        <w:rPr>
          <w:rFonts w:eastAsiaTheme="minorEastAsia" w:hint="eastAsia"/>
          <w:sz w:val="20"/>
        </w:rPr>
        <w:t>co-channel coexistence w</w:t>
      </w:r>
      <w:r w:rsidR="00B43EF2" w:rsidRPr="00501F4F">
        <w:rPr>
          <w:rFonts w:eastAsiaTheme="minorEastAsia" w:hint="eastAsia"/>
          <w:sz w:val="20"/>
        </w:rPr>
        <w:t xml:space="preserve">ith LTE sidelink and NR sidelink. </w:t>
      </w:r>
      <w:r w:rsidR="00101953" w:rsidRPr="00501F4F">
        <w:rPr>
          <w:rFonts w:eastAsiaTheme="minorEastAsia" w:hint="eastAsia"/>
          <w:sz w:val="20"/>
        </w:rPr>
        <w:t>T</w:t>
      </w:r>
      <w:r w:rsidRPr="00501F4F">
        <w:rPr>
          <w:rFonts w:eastAsiaTheme="minorEastAsia" w:hint="eastAsia"/>
          <w:sz w:val="20"/>
        </w:rPr>
        <w:t>he potential specification impact should be studied to support</w:t>
      </w:r>
      <w:r w:rsidR="006B2B90" w:rsidRPr="00501F4F">
        <w:rPr>
          <w:rFonts w:eastAsiaTheme="minorEastAsia" w:hint="eastAsia"/>
          <w:sz w:val="20"/>
        </w:rPr>
        <w:t xml:space="preserve"> co-channel coexistence of Rel-18 sidelink </w:t>
      </w:r>
      <w:r w:rsidR="002E74C3" w:rsidRPr="00501F4F">
        <w:rPr>
          <w:rFonts w:eastAsiaTheme="minorEastAsia" w:hint="eastAsia"/>
          <w:sz w:val="20"/>
        </w:rPr>
        <w:t>UEs</w:t>
      </w:r>
      <w:r w:rsidR="009C4974" w:rsidRPr="00501F4F">
        <w:rPr>
          <w:rFonts w:eastAsiaTheme="minorEastAsia" w:hint="eastAsia"/>
          <w:sz w:val="20"/>
        </w:rPr>
        <w:t>,</w:t>
      </w:r>
      <w:r w:rsidR="006B2B90" w:rsidRPr="00501F4F">
        <w:rPr>
          <w:rFonts w:eastAsiaTheme="minorEastAsia" w:hint="eastAsia"/>
          <w:sz w:val="20"/>
        </w:rPr>
        <w:t xml:space="preserve"> </w:t>
      </w:r>
      <w:r w:rsidRPr="00501F4F">
        <w:rPr>
          <w:rFonts w:eastAsiaTheme="minorEastAsia" w:hint="eastAsia"/>
          <w:sz w:val="20"/>
        </w:rPr>
        <w:t>LTE sidelink UEs</w:t>
      </w:r>
      <w:r w:rsidR="006B2B90" w:rsidRPr="00501F4F">
        <w:rPr>
          <w:rFonts w:eastAsiaTheme="minorEastAsia" w:hint="eastAsia"/>
          <w:sz w:val="20"/>
        </w:rPr>
        <w:t xml:space="preserve"> and </w:t>
      </w:r>
      <w:r w:rsidR="006B2B90" w:rsidRPr="00501F4F">
        <w:rPr>
          <w:rFonts w:hint="eastAsia"/>
          <w:sz w:val="20"/>
        </w:rPr>
        <w:t xml:space="preserve">Type D/E devices </w:t>
      </w:r>
      <w:r w:rsidRPr="00501F4F">
        <w:rPr>
          <w:rFonts w:eastAsiaTheme="minorEastAsia" w:hint="eastAsia"/>
          <w:sz w:val="20"/>
        </w:rPr>
        <w:t xml:space="preserve">in </w:t>
      </w:r>
      <w:r w:rsidR="00D748EE" w:rsidRPr="00501F4F">
        <w:rPr>
          <w:rFonts w:eastAsiaTheme="minorEastAsia" w:hint="eastAsia"/>
          <w:sz w:val="20"/>
        </w:rPr>
        <w:t xml:space="preserve">either </w:t>
      </w:r>
      <w:r w:rsidRPr="00501F4F">
        <w:rPr>
          <w:rFonts w:eastAsiaTheme="minorEastAsia" w:hint="eastAsia"/>
          <w:sz w:val="20"/>
        </w:rPr>
        <w:t>FDM</w:t>
      </w:r>
      <w:r w:rsidR="00D748EE" w:rsidRPr="00501F4F">
        <w:rPr>
          <w:rFonts w:eastAsiaTheme="minorEastAsia" w:hint="eastAsia"/>
          <w:sz w:val="20"/>
        </w:rPr>
        <w:t xml:space="preserve"> or </w:t>
      </w:r>
      <w:r w:rsidRPr="00501F4F">
        <w:rPr>
          <w:rFonts w:eastAsiaTheme="minorEastAsia" w:hint="eastAsia"/>
          <w:sz w:val="20"/>
        </w:rPr>
        <w:t>TDM manner</w:t>
      </w:r>
      <w:r w:rsidR="00AD6A72" w:rsidRPr="00501F4F">
        <w:rPr>
          <w:rFonts w:eastAsiaTheme="minorEastAsia"/>
          <w:sz w:val="20"/>
        </w:rPr>
        <w:t xml:space="preserve">. </w:t>
      </w:r>
      <w:bookmarkStart w:id="6" w:name="_GoBack"/>
      <w:bookmarkEnd w:id="6"/>
    </w:p>
    <w:p w:rsidR="00AD6A72" w:rsidRPr="00D748EE" w:rsidRDefault="00AD6A72">
      <w:pPr>
        <w:spacing w:before="120" w:after="120"/>
        <w:rPr>
          <w:rFonts w:eastAsiaTheme="minorEastAsia"/>
        </w:rPr>
      </w:pPr>
      <w:r w:rsidRPr="00AD6A72">
        <w:rPr>
          <w:rFonts w:eastAsiaTheme="minorEastAsia"/>
          <w:sz w:val="20"/>
        </w:rPr>
        <w:t>Moreover, it is explicitly cited in WID objective description [4] that “</w:t>
      </w:r>
      <w:r w:rsidRPr="00AD6A72">
        <w:rPr>
          <w:sz w:val="20"/>
        </w:rPr>
        <w:t xml:space="preserve">Rel-18 sidelink should be able to coexist with Rel-16/17 sidelink in the same resource pool”. Our interpretation of such a sentence not only mandates the so called backward compatibility of a given solution, but also </w:t>
      </w:r>
      <w:r w:rsidR="00441DC2">
        <w:rPr>
          <w:rFonts w:hint="eastAsia"/>
          <w:sz w:val="20"/>
        </w:rPr>
        <w:t xml:space="preserve">implies </w:t>
      </w:r>
      <w:r w:rsidRPr="00AD6A72">
        <w:rPr>
          <w:sz w:val="20"/>
        </w:rPr>
        <w:t xml:space="preserve">a solution worth further normative efforts should function reasonably well in the scenario that Rel-14/15 LTE sidelink UE, Rel-16/17 NR sidelink UE should all </w:t>
      </w:r>
      <w:r w:rsidR="00A06B22" w:rsidRPr="00AD6A72">
        <w:rPr>
          <w:sz w:val="20"/>
        </w:rPr>
        <w:t xml:space="preserve">be </w:t>
      </w:r>
      <w:r w:rsidRPr="00AD6A72">
        <w:rPr>
          <w:sz w:val="20"/>
        </w:rPr>
        <w:t xml:space="preserve">considered in </w:t>
      </w:r>
      <w:r w:rsidRPr="00AD6A72">
        <w:rPr>
          <w:rFonts w:eastAsiaTheme="minorEastAsia"/>
          <w:sz w:val="20"/>
        </w:rPr>
        <w:t>co-channel coexistence with Rel-18 sidelink UE</w:t>
      </w:r>
      <w:r w:rsidRPr="00AD6A72">
        <w:rPr>
          <w:sz w:val="20"/>
        </w:rPr>
        <w:t xml:space="preserve">. To that end, </w:t>
      </w:r>
      <w:r w:rsidR="0039046A">
        <w:rPr>
          <w:rFonts w:hint="eastAsia"/>
          <w:sz w:val="20"/>
        </w:rPr>
        <w:t>Type D/E devices need to be in the study or the supported device types.</w:t>
      </w:r>
    </w:p>
    <w:p w:rsidR="00AD6A72" w:rsidRDefault="0039046A">
      <w:pPr>
        <w:pStyle w:val="ZTE-Proposal-20210505"/>
        <w:spacing w:before="120" w:after="120"/>
        <w:rPr>
          <w:rFonts w:cs="Times New Roman"/>
          <w:lang w:val="en-US" w:eastAsia="zh-CN"/>
        </w:rPr>
      </w:pPr>
      <w:r>
        <w:rPr>
          <w:rFonts w:cs="Times New Roman" w:hint="eastAsia"/>
          <w:lang w:val="en-US" w:eastAsia="zh-CN"/>
        </w:rPr>
        <w:t>Clarify that Rel-14/15 LTE sidelink UE, Rel-16/17 NR sidelink UE should all be considered in co-channel coexistence with Rel-18 sidelink UE.</w:t>
      </w:r>
    </w:p>
    <w:tbl>
      <w:tblPr>
        <w:tblStyle w:val="aa"/>
        <w:tblW w:w="0" w:type="auto"/>
        <w:tblLook w:val="04A0" w:firstRow="1" w:lastRow="0" w:firstColumn="1" w:lastColumn="0" w:noHBand="0" w:noVBand="1"/>
      </w:tblPr>
      <w:tblGrid>
        <w:gridCol w:w="9876"/>
      </w:tblGrid>
      <w:tr w:rsidR="00AD6A72">
        <w:tc>
          <w:tcPr>
            <w:tcW w:w="9876" w:type="dxa"/>
          </w:tcPr>
          <w:p w:rsidR="00AD6A72" w:rsidRPr="00AD6A72" w:rsidRDefault="00AD6A72">
            <w:pPr>
              <w:spacing w:before="120" w:after="120"/>
              <w:rPr>
                <w:sz w:val="20"/>
              </w:rPr>
            </w:pPr>
            <w:r w:rsidRPr="00AD6A72">
              <w:rPr>
                <w:sz w:val="20"/>
              </w:rPr>
              <w:t xml:space="preserve">4. Study and specify, if necessary, mechanism(s) for co-channel coexistence for LTE sidelink and NR sidelink including </w:t>
            </w:r>
            <w:r w:rsidRPr="00AD6A72">
              <w:rPr>
                <w:sz w:val="20"/>
              </w:rPr>
              <w:lastRenderedPageBreak/>
              <w:t>performance, necessity, feasibility, and potential specification impact if any [RAN1, RAN2, RAN4]</w:t>
            </w:r>
          </w:p>
          <w:p w:rsidR="00AD6A72" w:rsidRPr="00AD6A72" w:rsidRDefault="00AD6A72">
            <w:pPr>
              <w:spacing w:before="120" w:after="120"/>
              <w:rPr>
                <w:sz w:val="20"/>
              </w:rPr>
            </w:pPr>
            <w:r w:rsidRPr="00AD6A72">
              <w:rPr>
                <w:sz w:val="20"/>
              </w:rPr>
              <w:t>Reuse the in-device coexistence framework defined in Rel-16 as much as possible</w:t>
            </w:r>
          </w:p>
          <w:p w:rsidR="00AD6A72" w:rsidRPr="00AD6A72" w:rsidRDefault="00AD6A72">
            <w:pPr>
              <w:spacing w:before="120" w:after="120"/>
              <w:rPr>
                <w:color w:val="FF0000"/>
                <w:sz w:val="20"/>
              </w:rPr>
            </w:pPr>
            <w:r w:rsidRPr="00AD6A72">
              <w:rPr>
                <w:color w:val="FF0000"/>
                <w:sz w:val="20"/>
              </w:rPr>
              <w:t>The study should take into account the coexistence of all of Rel-14/15 LTE sidelink UE and Rel-16/17 NR sidelink UE</w:t>
            </w:r>
          </w:p>
        </w:tc>
      </w:tr>
    </w:tbl>
    <w:p w:rsidR="00AD6A72" w:rsidRDefault="00AD6A72">
      <w:pPr>
        <w:spacing w:before="120" w:after="120"/>
        <w:rPr>
          <w:highlight w:val="yellow"/>
        </w:rPr>
      </w:pPr>
    </w:p>
    <w:p w:rsidR="00AD6A72" w:rsidRDefault="0039046A">
      <w:pPr>
        <w:pStyle w:val="1"/>
        <w:spacing w:before="120" w:after="120"/>
        <w:ind w:left="0"/>
        <w:rPr>
          <w:rFonts w:eastAsia="宋体"/>
        </w:rPr>
      </w:pPr>
      <w:r>
        <w:rPr>
          <w:rFonts w:eastAsia="宋体" w:hint="eastAsia"/>
        </w:rPr>
        <w:t>Conclusion</w:t>
      </w:r>
    </w:p>
    <w:p w:rsidR="00AD6A72" w:rsidRDefault="0039046A">
      <w:pPr>
        <w:tabs>
          <w:tab w:val="left" w:pos="1260"/>
          <w:tab w:val="right" w:pos="9650"/>
        </w:tabs>
        <w:spacing w:before="120" w:after="120"/>
        <w:rPr>
          <w:sz w:val="20"/>
          <w:highlight w:val="yellow"/>
        </w:rPr>
      </w:pPr>
      <w:r>
        <w:rPr>
          <w:rFonts w:hint="eastAsia"/>
          <w:sz w:val="20"/>
        </w:rPr>
        <w:t xml:space="preserve">To promote the work progress, </w:t>
      </w:r>
      <w:r w:rsidR="00AD6A72" w:rsidRPr="00AD6A72">
        <w:rPr>
          <w:iCs/>
          <w:sz w:val="20"/>
        </w:rPr>
        <w:t xml:space="preserve">RAN guidance and the clarification on </w:t>
      </w:r>
      <w:r>
        <w:rPr>
          <w:rFonts w:hint="eastAsia"/>
          <w:sz w:val="20"/>
        </w:rPr>
        <w:t>the WID of Rel-18 NR sidelink evolution</w:t>
      </w:r>
      <w:r w:rsidR="00AD6A72" w:rsidRPr="00AD6A72">
        <w:rPr>
          <w:iCs/>
          <w:sz w:val="20"/>
        </w:rPr>
        <w:t xml:space="preserve"> are helpful. The following proposals are given:</w:t>
      </w:r>
      <w:r>
        <w:rPr>
          <w:rFonts w:hint="eastAsia"/>
          <w:iCs/>
          <w:sz w:val="20"/>
        </w:rPr>
        <w:t xml:space="preserve"> </w:t>
      </w:r>
      <w:r w:rsidR="00AD6A72">
        <w:rPr>
          <w:sz w:val="20"/>
          <w:highlight w:val="yellow"/>
        </w:rPr>
        <w:fldChar w:fldCharType="begin"/>
      </w:r>
      <w:r>
        <w:rPr>
          <w:sz w:val="20"/>
          <w:highlight w:val="yellow"/>
        </w:rPr>
        <w:instrText xml:space="preserve"> TOC \n \t "!ZTE-Proposal-2021 + </w:instrText>
      </w:r>
      <w:r>
        <w:rPr>
          <w:sz w:val="20"/>
          <w:highlight w:val="yellow"/>
        </w:rPr>
        <w:instrText>段前</w:instrText>
      </w:r>
      <w:r>
        <w:rPr>
          <w:sz w:val="20"/>
          <w:highlight w:val="yellow"/>
        </w:rPr>
        <w:instrText xml:space="preserve">: 0.5 </w:instrText>
      </w:r>
      <w:r>
        <w:rPr>
          <w:sz w:val="20"/>
          <w:highlight w:val="yellow"/>
        </w:rPr>
        <w:instrText>行</w:instrText>
      </w:r>
      <w:r>
        <w:rPr>
          <w:sz w:val="20"/>
          <w:highlight w:val="yellow"/>
        </w:rPr>
        <w:instrText xml:space="preserve"> </w:instrText>
      </w:r>
      <w:r>
        <w:rPr>
          <w:sz w:val="20"/>
          <w:highlight w:val="yellow"/>
        </w:rPr>
        <w:instrText>段后</w:instrText>
      </w:r>
      <w:r>
        <w:rPr>
          <w:sz w:val="20"/>
          <w:highlight w:val="yellow"/>
        </w:rPr>
        <w:instrText xml:space="preserve">: 0.5 </w:instrText>
      </w:r>
      <w:r>
        <w:rPr>
          <w:sz w:val="20"/>
          <w:highlight w:val="yellow"/>
        </w:rPr>
        <w:instrText>行</w:instrText>
      </w:r>
      <w:r>
        <w:rPr>
          <w:sz w:val="20"/>
          <w:highlight w:val="yellow"/>
        </w:rPr>
        <w:instrText xml:space="preserve">,1,sub-proposal,2,3rd level proposal,3" </w:instrText>
      </w:r>
      <w:r w:rsidR="00AD6A72">
        <w:rPr>
          <w:sz w:val="20"/>
          <w:highlight w:val="yellow"/>
        </w:rPr>
        <w:fldChar w:fldCharType="separate"/>
      </w:r>
    </w:p>
    <w:p w:rsidR="00AD6A72" w:rsidRDefault="0039046A">
      <w:pPr>
        <w:pStyle w:val="ZTE-Proposal-20210505"/>
        <w:numPr>
          <w:ilvl w:val="0"/>
          <w:numId w:val="12"/>
        </w:numPr>
        <w:spacing w:before="120" w:after="120"/>
        <w:rPr>
          <w:rFonts w:cs="Times New Roman"/>
          <w:lang w:val="en-US" w:eastAsia="zh-CN"/>
        </w:rPr>
      </w:pPr>
      <w:r>
        <w:rPr>
          <w:rFonts w:cs="Times New Roman"/>
          <w:lang w:val="en-US" w:eastAsia="zh-CN"/>
        </w:rPr>
        <w:t>Clarify in the WID</w:t>
      </w:r>
      <w:r w:rsidR="004052B2">
        <w:rPr>
          <w:rFonts w:cs="Times New Roman" w:hint="eastAsia"/>
          <w:lang w:val="en-US" w:eastAsia="zh-CN"/>
        </w:rPr>
        <w:t xml:space="preserve"> that </w:t>
      </w:r>
      <w:r>
        <w:rPr>
          <w:rFonts w:cs="Times New Roman"/>
          <w:lang w:val="en-US" w:eastAsia="zh-CN"/>
        </w:rPr>
        <w:t>it is</w:t>
      </w:r>
      <w:r>
        <w:rPr>
          <w:rFonts w:cs="Times New Roman" w:hint="eastAsia"/>
          <w:lang w:val="en-US" w:eastAsia="zh-CN"/>
        </w:rPr>
        <w:t xml:space="preserve"> not </w:t>
      </w:r>
      <w:r>
        <w:rPr>
          <w:rFonts w:cs="Times New Roman"/>
          <w:lang w:val="en-US" w:eastAsia="zh-CN"/>
        </w:rPr>
        <w:t>assumed gNB operate</w:t>
      </w:r>
      <w:r>
        <w:rPr>
          <w:rFonts w:cs="Times New Roman" w:hint="eastAsia"/>
          <w:lang w:val="en-US" w:eastAsia="zh-CN"/>
        </w:rPr>
        <w:t>s</w:t>
      </w:r>
      <w:r>
        <w:rPr>
          <w:rFonts w:cs="Times New Roman"/>
          <w:lang w:val="en-US" w:eastAsia="zh-CN"/>
        </w:rPr>
        <w:t xml:space="preserve"> on unlicensed band for SL-U as below.</w:t>
      </w:r>
    </w:p>
    <w:tbl>
      <w:tblPr>
        <w:tblStyle w:val="aa"/>
        <w:tblW w:w="0" w:type="auto"/>
        <w:tblLook w:val="04A0" w:firstRow="1" w:lastRow="0" w:firstColumn="1" w:lastColumn="0" w:noHBand="0" w:noVBand="1"/>
      </w:tblPr>
      <w:tblGrid>
        <w:gridCol w:w="9876"/>
      </w:tblGrid>
      <w:tr w:rsidR="00AD6A72">
        <w:tc>
          <w:tcPr>
            <w:tcW w:w="9876" w:type="dxa"/>
          </w:tcPr>
          <w:p w:rsidR="00AD6A72" w:rsidRPr="00AD6A72" w:rsidRDefault="00AD6A72">
            <w:pPr>
              <w:spacing w:before="120" w:after="120"/>
              <w:rPr>
                <w:sz w:val="20"/>
              </w:rPr>
            </w:pPr>
            <w:r w:rsidRPr="00AD6A72">
              <w:rPr>
                <w:sz w:val="20"/>
              </w:rPr>
              <w:t>2. Study and specify support of sidelink on unlicensed spectrum for both mode 1 and mode 2 where Uu operation for mode 1 is limited to licensed spectrum only [RAN1, RAN2, RAN4]</w:t>
            </w:r>
          </w:p>
          <w:p w:rsidR="00AD6A72" w:rsidRPr="00AD6A72" w:rsidRDefault="00AD6A72">
            <w:pPr>
              <w:numPr>
                <w:ilvl w:val="0"/>
                <w:numId w:val="9"/>
              </w:numPr>
              <w:spacing w:before="120" w:after="120"/>
              <w:ind w:left="993" w:hanging="284"/>
              <w:rPr>
                <w:sz w:val="20"/>
                <w:lang w:eastAsia="ko-KR"/>
              </w:rPr>
            </w:pPr>
            <w:r w:rsidRPr="00AD6A72">
              <w:rPr>
                <w:sz w:val="20"/>
                <w:lang w:eastAsia="ko-KR"/>
              </w:rPr>
              <w:t>Channel access mechanisms from NR-U shall be reused for sidelink unlicensed operation</w:t>
            </w:r>
          </w:p>
          <w:p w:rsidR="00AD6A72" w:rsidRPr="00AD6A72" w:rsidRDefault="00AD6A72">
            <w:pPr>
              <w:numPr>
                <w:ilvl w:val="1"/>
                <w:numId w:val="9"/>
              </w:numPr>
              <w:spacing w:before="120" w:after="120"/>
              <w:ind w:left="1418" w:hanging="284"/>
              <w:rPr>
                <w:sz w:val="20"/>
                <w:lang w:eastAsia="ko-KR"/>
              </w:rPr>
            </w:pPr>
            <w:r w:rsidRPr="00AD6A72">
              <w:rPr>
                <w:sz w:val="20"/>
                <w:lang w:eastAsia="ko-KR"/>
              </w:rPr>
              <w:t>Assess the applicability of sidelink resource reservation from Rel-16/Rel-17 to sidelink unlicensed operation within the boundaries of unlicensed channel access mechanism and operation</w:t>
            </w:r>
          </w:p>
          <w:p w:rsidR="00AD6A72" w:rsidRPr="00AD6A72" w:rsidRDefault="00AD6A72">
            <w:pPr>
              <w:numPr>
                <w:ilvl w:val="2"/>
                <w:numId w:val="9"/>
              </w:numPr>
              <w:spacing w:before="120" w:after="120"/>
              <w:rPr>
                <w:sz w:val="20"/>
                <w:lang w:eastAsia="ko-KR"/>
              </w:rPr>
            </w:pPr>
            <w:r w:rsidRPr="00AD6A72">
              <w:rPr>
                <w:sz w:val="20"/>
                <w:lang w:eastAsia="ko-KR"/>
              </w:rPr>
              <w:t>No specific enhancements for Rel-17 resource allocation mechanisms</w:t>
            </w:r>
          </w:p>
          <w:p w:rsidR="00AD6A72" w:rsidRPr="00AD6A72" w:rsidRDefault="00AD6A72">
            <w:pPr>
              <w:numPr>
                <w:ilvl w:val="2"/>
                <w:numId w:val="9"/>
              </w:numPr>
              <w:spacing w:before="120" w:after="120"/>
              <w:rPr>
                <w:sz w:val="20"/>
                <w:lang w:eastAsia="ko-KR"/>
              </w:rPr>
            </w:pPr>
            <w:r w:rsidRPr="00AD6A72">
              <w:rPr>
                <w:sz w:val="20"/>
                <w:lang w:eastAsia="ko-KR"/>
              </w:rPr>
              <w:t>If the existing NR-U channel access framework does not support the required SL-U functionality, WGs will make appropriate recommendations for RAN approval.</w:t>
            </w:r>
          </w:p>
          <w:p w:rsidR="00AD6A72" w:rsidRPr="00AD6A72" w:rsidRDefault="00AD6A72">
            <w:pPr>
              <w:numPr>
                <w:ilvl w:val="0"/>
                <w:numId w:val="9"/>
              </w:numPr>
              <w:spacing w:before="120" w:after="120"/>
              <w:ind w:left="993" w:hanging="284"/>
              <w:rPr>
                <w:sz w:val="20"/>
                <w:lang w:eastAsia="ko-KR"/>
              </w:rPr>
            </w:pPr>
            <w:r w:rsidRPr="00AD6A72">
              <w:rPr>
                <w:sz w:val="20"/>
                <w:lang w:eastAsia="ko-KR"/>
              </w:rPr>
              <w:t>Physical channel design framework: Required changes to NR sidelink physical channel structures and procedures to operate on unlicensed spectrum</w:t>
            </w:r>
          </w:p>
          <w:p w:rsidR="00AD6A72" w:rsidRPr="00AD6A72" w:rsidRDefault="00AD6A72">
            <w:pPr>
              <w:numPr>
                <w:ilvl w:val="1"/>
                <w:numId w:val="9"/>
              </w:numPr>
              <w:spacing w:before="120" w:after="120"/>
              <w:ind w:left="1418" w:hanging="284"/>
              <w:rPr>
                <w:sz w:val="20"/>
                <w:lang w:eastAsia="ko-KR"/>
              </w:rPr>
            </w:pPr>
            <w:r w:rsidRPr="00AD6A72">
              <w:rPr>
                <w:sz w:val="20"/>
                <w:lang w:eastAsia="ko-KR"/>
              </w:rPr>
              <w:t>The existing NR sidelink and NR-U channel structure shall be reused as the baseline.</w:t>
            </w:r>
          </w:p>
          <w:p w:rsidR="00AD6A72" w:rsidRPr="00AD6A72" w:rsidRDefault="00AD6A72">
            <w:pPr>
              <w:numPr>
                <w:ilvl w:val="0"/>
                <w:numId w:val="9"/>
              </w:numPr>
              <w:spacing w:before="120" w:after="120"/>
              <w:ind w:left="993" w:hanging="284"/>
              <w:rPr>
                <w:sz w:val="20"/>
                <w:lang w:eastAsia="ko-KR"/>
              </w:rPr>
            </w:pPr>
            <w:r w:rsidRPr="00AD6A72">
              <w:rPr>
                <w:sz w:val="20"/>
                <w:lang w:eastAsia="ko-KR"/>
              </w:rPr>
              <w:t>No specific enhancements for existing NR SL feature</w:t>
            </w:r>
          </w:p>
          <w:p w:rsidR="00AD6A72" w:rsidRPr="00AD6A72" w:rsidRDefault="00AD6A72">
            <w:pPr>
              <w:numPr>
                <w:ilvl w:val="0"/>
                <w:numId w:val="9"/>
              </w:numPr>
              <w:spacing w:before="120" w:after="120"/>
              <w:ind w:left="993" w:hanging="284"/>
              <w:rPr>
                <w:sz w:val="20"/>
                <w:lang w:eastAsia="ko-KR"/>
              </w:rPr>
            </w:pPr>
            <w:r w:rsidRPr="00AD6A72">
              <w:rPr>
                <w:sz w:val="20"/>
                <w:lang w:eastAsia="ko-KR"/>
              </w:rPr>
              <w:t>The study should focus on FR1 unlicensed bands (n46 and n96/n102) and is to be completed by RAN#98.</w:t>
            </w:r>
          </w:p>
          <w:p w:rsidR="00AD6A72" w:rsidRPr="00AD6A72" w:rsidRDefault="00AD6A72">
            <w:pPr>
              <w:numPr>
                <w:ilvl w:val="0"/>
                <w:numId w:val="9"/>
              </w:numPr>
              <w:spacing w:before="120" w:after="120"/>
              <w:ind w:left="993" w:hanging="284"/>
              <w:rPr>
                <w:color w:val="FF0000"/>
                <w:sz w:val="20"/>
                <w:lang w:eastAsia="ko-KR"/>
              </w:rPr>
            </w:pPr>
            <w:r w:rsidRPr="00AD6A72">
              <w:rPr>
                <w:color w:val="FF0000"/>
                <w:sz w:val="20"/>
              </w:rPr>
              <w:t>It's not assumed that gNB operates on unlicensed band for SL-U</w:t>
            </w:r>
          </w:p>
        </w:tc>
      </w:tr>
    </w:tbl>
    <w:p w:rsidR="00AD6A72" w:rsidRPr="00AD6A72" w:rsidRDefault="00AD6A72">
      <w:pPr>
        <w:tabs>
          <w:tab w:val="left" w:pos="1260"/>
          <w:tab w:val="right" w:pos="9650"/>
        </w:tabs>
        <w:spacing w:before="120" w:after="120"/>
        <w:rPr>
          <w:sz w:val="20"/>
        </w:rPr>
      </w:pPr>
    </w:p>
    <w:p w:rsidR="00AD6A72" w:rsidRDefault="00D1350F">
      <w:pPr>
        <w:pStyle w:val="ZTE-Proposal-20210505"/>
        <w:spacing w:before="120" w:after="120"/>
        <w:rPr>
          <w:rFonts w:cs="Times New Roman"/>
          <w:lang w:val="en-US" w:eastAsia="zh-CN"/>
        </w:rPr>
      </w:pPr>
      <w:r>
        <w:rPr>
          <w:rFonts w:cs="Times New Roman" w:hint="eastAsia"/>
          <w:lang w:val="en-US" w:eastAsia="zh-CN"/>
        </w:rPr>
        <w:t xml:space="preserve">Clarify </w:t>
      </w:r>
      <w:r w:rsidR="0039046A">
        <w:rPr>
          <w:rFonts w:cs="Times New Roman" w:hint="eastAsia"/>
          <w:lang w:val="en-US" w:eastAsia="zh-CN"/>
        </w:rPr>
        <w:t>that Rel-14/15 LTE sidelink UE, Rel-16/17 NR sidelink UE should all be considered in co-channel coexistence with Rel-18 sidelink UE.</w:t>
      </w:r>
    </w:p>
    <w:tbl>
      <w:tblPr>
        <w:tblStyle w:val="aa"/>
        <w:tblW w:w="0" w:type="auto"/>
        <w:tblLook w:val="04A0" w:firstRow="1" w:lastRow="0" w:firstColumn="1" w:lastColumn="0" w:noHBand="0" w:noVBand="1"/>
      </w:tblPr>
      <w:tblGrid>
        <w:gridCol w:w="9876"/>
      </w:tblGrid>
      <w:tr w:rsidR="00AD6A72">
        <w:tc>
          <w:tcPr>
            <w:tcW w:w="9876" w:type="dxa"/>
          </w:tcPr>
          <w:p w:rsidR="00AD6A72" w:rsidRPr="00AD6A72" w:rsidRDefault="00AD6A72">
            <w:pPr>
              <w:spacing w:before="120" w:after="120"/>
              <w:rPr>
                <w:sz w:val="20"/>
              </w:rPr>
            </w:pPr>
            <w:r w:rsidRPr="00AD6A72">
              <w:rPr>
                <w:sz w:val="20"/>
              </w:rPr>
              <w:t>4. Study and specify, if necessary, mechanism(s) for co-channel coexistence for LTE sidelink and NR sidelink including performance, necessity, feasibility, and potential specification impact if any [RAN1, RAN2, RAN4]</w:t>
            </w:r>
          </w:p>
          <w:p w:rsidR="00AD6A72" w:rsidRPr="00AD6A72" w:rsidRDefault="00AD6A72">
            <w:pPr>
              <w:spacing w:before="120" w:after="120"/>
              <w:rPr>
                <w:sz w:val="20"/>
              </w:rPr>
            </w:pPr>
            <w:r w:rsidRPr="00AD6A72">
              <w:rPr>
                <w:sz w:val="20"/>
              </w:rPr>
              <w:t>Reuse the in-device coexistence framework defined in Rel-16 as much as possible</w:t>
            </w:r>
          </w:p>
          <w:p w:rsidR="00AD6A72" w:rsidRPr="00AD6A72" w:rsidRDefault="00AD6A72">
            <w:pPr>
              <w:spacing w:before="120" w:after="120"/>
              <w:rPr>
                <w:color w:val="FF0000"/>
                <w:sz w:val="20"/>
              </w:rPr>
            </w:pPr>
            <w:r w:rsidRPr="00AD6A72">
              <w:rPr>
                <w:color w:val="FF0000"/>
                <w:sz w:val="20"/>
              </w:rPr>
              <w:t>The study should take into account the coexistence of all of Rel-14/15 LTE sidelink UE and Rel-16/17 NR sidelink UE</w:t>
            </w:r>
          </w:p>
        </w:tc>
      </w:tr>
    </w:tbl>
    <w:p w:rsidR="00AD6A72" w:rsidRDefault="00AD6A72">
      <w:pPr>
        <w:tabs>
          <w:tab w:val="left" w:pos="1260"/>
          <w:tab w:val="right" w:pos="9650"/>
        </w:tabs>
        <w:spacing w:before="120" w:after="120"/>
        <w:rPr>
          <w:sz w:val="20"/>
        </w:rPr>
      </w:pPr>
      <w:r>
        <w:rPr>
          <w:sz w:val="20"/>
          <w:highlight w:val="yellow"/>
        </w:rPr>
        <w:fldChar w:fldCharType="end"/>
      </w:r>
    </w:p>
    <w:p w:rsidR="00AD6A72" w:rsidRDefault="0039046A">
      <w:pPr>
        <w:pStyle w:val="1"/>
        <w:spacing w:before="120" w:after="120"/>
        <w:ind w:left="0"/>
        <w:rPr>
          <w:rFonts w:eastAsia="宋体"/>
        </w:rPr>
      </w:pPr>
      <w:r>
        <w:rPr>
          <w:rFonts w:eastAsia="宋体" w:hint="eastAsia"/>
        </w:rPr>
        <w:t>Reference</w:t>
      </w:r>
      <w:r>
        <w:rPr>
          <w:rFonts w:eastAsia="宋体"/>
        </w:rPr>
        <w:t>s</w:t>
      </w:r>
    </w:p>
    <w:p w:rsidR="00AD6A72" w:rsidRDefault="0039046A">
      <w:pPr>
        <w:pStyle w:val="References"/>
        <w:numPr>
          <w:ilvl w:val="0"/>
          <w:numId w:val="13"/>
        </w:numPr>
        <w:spacing w:before="120" w:after="120" w:line="256" w:lineRule="auto"/>
        <w:ind w:left="363" w:hanging="363"/>
        <w:rPr>
          <w:sz w:val="20"/>
          <w:szCs w:val="20"/>
        </w:rPr>
      </w:pPr>
      <w:r>
        <w:rPr>
          <w:rFonts w:hint="eastAsia"/>
          <w:sz w:val="20"/>
          <w:szCs w:val="20"/>
        </w:rPr>
        <w:t xml:space="preserve">RP-221064, NR sidelink evolution SR, OPPO, </w:t>
      </w:r>
      <w:r>
        <w:rPr>
          <w:sz w:val="20"/>
          <w:szCs w:val="20"/>
        </w:rPr>
        <w:t xml:space="preserve">3GPP TSG RAN </w:t>
      </w:r>
      <w:r w:rsidR="00252AA9">
        <w:rPr>
          <w:rFonts w:hint="eastAsia"/>
          <w:sz w:val="20"/>
          <w:szCs w:val="20"/>
        </w:rPr>
        <w:t>Meeting #</w:t>
      </w:r>
      <w:r>
        <w:rPr>
          <w:sz w:val="20"/>
          <w:szCs w:val="20"/>
        </w:rPr>
        <w:t>9</w:t>
      </w:r>
      <w:r>
        <w:rPr>
          <w:rFonts w:hint="eastAsia"/>
          <w:sz w:val="20"/>
          <w:szCs w:val="20"/>
        </w:rPr>
        <w:t>6</w:t>
      </w:r>
    </w:p>
    <w:p w:rsidR="00AD6A72" w:rsidRDefault="0039046A">
      <w:pPr>
        <w:pStyle w:val="References"/>
        <w:numPr>
          <w:ilvl w:val="0"/>
          <w:numId w:val="13"/>
        </w:numPr>
        <w:spacing w:before="120" w:after="120" w:line="256" w:lineRule="auto"/>
        <w:ind w:left="363" w:hanging="363"/>
        <w:rPr>
          <w:sz w:val="20"/>
          <w:szCs w:val="20"/>
        </w:rPr>
      </w:pPr>
      <w:r>
        <w:rPr>
          <w:rFonts w:hint="eastAsia"/>
          <w:sz w:val="20"/>
          <w:szCs w:val="20"/>
        </w:rPr>
        <w:t>R1-2205184, FL summary for AI 9.4.1.1: SL-U</w:t>
      </w:r>
      <w:r w:rsidR="000221AC">
        <w:rPr>
          <w:rFonts w:hint="eastAsia"/>
          <w:sz w:val="20"/>
          <w:szCs w:val="20"/>
        </w:rPr>
        <w:t xml:space="preserve"> channel access mechanism (EOM), </w:t>
      </w:r>
      <w:r>
        <w:rPr>
          <w:rFonts w:hint="eastAsia"/>
          <w:sz w:val="20"/>
          <w:szCs w:val="20"/>
        </w:rPr>
        <w:t>Moderator (OPPO)</w:t>
      </w:r>
      <w:r w:rsidR="00A137F2">
        <w:rPr>
          <w:rFonts w:hint="eastAsia"/>
          <w:sz w:val="20"/>
          <w:szCs w:val="20"/>
        </w:rPr>
        <w:t xml:space="preserve">, </w:t>
      </w:r>
      <w:r w:rsidR="00A137F2" w:rsidRPr="00A137F2">
        <w:rPr>
          <w:sz w:val="20"/>
          <w:szCs w:val="20"/>
        </w:rPr>
        <w:t>3GPP TSG RAN WG1 #109-e</w:t>
      </w:r>
    </w:p>
    <w:p w:rsidR="00AD6A72" w:rsidRDefault="0039046A">
      <w:pPr>
        <w:pStyle w:val="References"/>
        <w:numPr>
          <w:ilvl w:val="0"/>
          <w:numId w:val="13"/>
        </w:numPr>
        <w:spacing w:before="120" w:after="120" w:line="256" w:lineRule="auto"/>
        <w:ind w:left="363" w:hanging="363"/>
        <w:rPr>
          <w:sz w:val="20"/>
          <w:szCs w:val="20"/>
        </w:rPr>
      </w:pPr>
      <w:r>
        <w:rPr>
          <w:rFonts w:hint="eastAsia"/>
          <w:sz w:val="20"/>
          <w:szCs w:val="20"/>
        </w:rPr>
        <w:t>R1-2205588,</w:t>
      </w:r>
      <w:r>
        <w:rPr>
          <w:sz w:val="20"/>
          <w:szCs w:val="20"/>
        </w:rPr>
        <w:t xml:space="preserve"> </w:t>
      </w:r>
      <w:r>
        <w:rPr>
          <w:rFonts w:hint="eastAsia"/>
          <w:sz w:val="20"/>
          <w:szCs w:val="20"/>
        </w:rPr>
        <w:t>FL Summary for AI 9.4.2 - Co-Channel Coexistence for LTE and NR Sidelink</w:t>
      </w:r>
      <w:r>
        <w:rPr>
          <w:sz w:val="20"/>
          <w:szCs w:val="20"/>
        </w:rPr>
        <w:t xml:space="preserve">, </w:t>
      </w:r>
      <w:r>
        <w:rPr>
          <w:rFonts w:hint="eastAsia"/>
          <w:sz w:val="20"/>
          <w:szCs w:val="20"/>
        </w:rPr>
        <w:t>Moderator (Fraunhofer HHI)</w:t>
      </w:r>
      <w:r w:rsidR="00A137F2">
        <w:rPr>
          <w:rFonts w:hint="eastAsia"/>
          <w:sz w:val="20"/>
          <w:szCs w:val="20"/>
        </w:rPr>
        <w:t xml:space="preserve">, </w:t>
      </w:r>
      <w:r w:rsidR="00A137F2" w:rsidRPr="00A137F2">
        <w:rPr>
          <w:sz w:val="20"/>
          <w:szCs w:val="20"/>
        </w:rPr>
        <w:t>3GPP TSG RAN WG1 #109-e</w:t>
      </w:r>
    </w:p>
    <w:p w:rsidR="00AD6A72" w:rsidRDefault="0039046A">
      <w:pPr>
        <w:pStyle w:val="References"/>
        <w:numPr>
          <w:ilvl w:val="0"/>
          <w:numId w:val="13"/>
        </w:numPr>
        <w:spacing w:before="120" w:after="120" w:line="256" w:lineRule="auto"/>
        <w:ind w:left="363" w:hanging="363"/>
        <w:rPr>
          <w:sz w:val="20"/>
          <w:szCs w:val="20"/>
        </w:rPr>
      </w:pPr>
      <w:r>
        <w:rPr>
          <w:rFonts w:hint="eastAsia"/>
          <w:sz w:val="20"/>
          <w:szCs w:val="20"/>
        </w:rPr>
        <w:lastRenderedPageBreak/>
        <w:t xml:space="preserve">RP-220300, WID </w:t>
      </w:r>
      <w:r w:rsidR="00037D97">
        <w:rPr>
          <w:rFonts w:hint="eastAsia"/>
          <w:sz w:val="20"/>
          <w:szCs w:val="20"/>
        </w:rPr>
        <w:t>revision: NR sidelink evolution, OPPO</w:t>
      </w:r>
      <w:r w:rsidR="005B1DAE">
        <w:rPr>
          <w:rFonts w:hint="eastAsia"/>
          <w:sz w:val="20"/>
          <w:szCs w:val="20"/>
        </w:rPr>
        <w:t xml:space="preserve">, </w:t>
      </w:r>
      <w:r w:rsidR="005B1DAE" w:rsidRPr="00037D97">
        <w:rPr>
          <w:sz w:val="20"/>
          <w:szCs w:val="20"/>
        </w:rPr>
        <w:t>3GPP TSG RAN Meeting #95</w:t>
      </w:r>
      <w:r w:rsidR="005705E6">
        <w:rPr>
          <w:rFonts w:hint="eastAsia"/>
          <w:sz w:val="20"/>
          <w:szCs w:val="20"/>
        </w:rPr>
        <w:t>-</w:t>
      </w:r>
      <w:r w:rsidR="005B1DAE" w:rsidRPr="00037D97">
        <w:rPr>
          <w:sz w:val="20"/>
          <w:szCs w:val="20"/>
        </w:rPr>
        <w:t>e</w:t>
      </w:r>
    </w:p>
    <w:sectPr w:rsidR="00AD6A72" w:rsidSect="00AD6A72">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0DD" w:rsidRDefault="000500DD" w:rsidP="00441DC2">
      <w:pPr>
        <w:spacing w:before="120" w:after="120"/>
      </w:pPr>
      <w:r>
        <w:separator/>
      </w:r>
    </w:p>
  </w:endnote>
  <w:endnote w:type="continuationSeparator" w:id="0">
    <w:p w:rsidR="000500DD" w:rsidRDefault="000500DD" w:rsidP="00441DC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A72" w:rsidRDefault="00AD6A72">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A72" w:rsidRDefault="00501F4F">
    <w:pPr>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305435"/>
              <wp:effectExtent l="0" t="0" r="2540" b="1206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10" cy="305435"/>
                      </a:xfrm>
                      <a:prstGeom prst="rect">
                        <a:avLst/>
                      </a:prstGeom>
                      <a:noFill/>
                      <a:ln w="6350">
                        <a:noFill/>
                      </a:ln>
                      <a:effectLst/>
                    </wps:spPr>
                    <wps:txbx>
                      <w:txbxContent>
                        <w:p w:rsidR="00AD6A72" w:rsidRDefault="00AD6A72">
                          <w:pPr>
                            <w:spacing w:before="120" w:after="120"/>
                          </w:pPr>
                          <w:r>
                            <w:rPr>
                              <w:rFonts w:hint="eastAsia"/>
                            </w:rPr>
                            <w:fldChar w:fldCharType="begin"/>
                          </w:r>
                          <w:r w:rsidR="0039046A">
                            <w:rPr>
                              <w:rFonts w:hint="eastAsia"/>
                            </w:rPr>
                            <w:instrText xml:space="preserve"> PAGE  \* MERGEFORMAT </w:instrText>
                          </w:r>
                          <w:r>
                            <w:rPr>
                              <w:rFonts w:hint="eastAsia"/>
                            </w:rPr>
                            <w:fldChar w:fldCharType="separate"/>
                          </w:r>
                          <w:r w:rsidR="00501F4F">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5.3pt;height:24.0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" filled="f" stroked="f" strokeweight=".5pt">
              <v:path arrowok="t"/>
              <v:textbox style="mso-fit-shape-to-text:t" inset="0,0,0,0">
                <w:txbxContent>
                  <w:p w:rsidR="00AD6A72" w:rsidRDefault="00AD6A72">
                    <w:pPr>
                      <w:spacing w:before="120" w:after="120"/>
                    </w:pPr>
                    <w:r>
                      <w:rPr>
                        <w:rFonts w:hint="eastAsia"/>
                      </w:rPr>
                      <w:fldChar w:fldCharType="begin"/>
                    </w:r>
                    <w:r w:rsidR="0039046A">
                      <w:rPr>
                        <w:rFonts w:hint="eastAsia"/>
                      </w:rPr>
                      <w:instrText xml:space="preserve"> PAGE  \* MERGEFORMAT </w:instrText>
                    </w:r>
                    <w:r>
                      <w:rPr>
                        <w:rFonts w:hint="eastAsia"/>
                      </w:rPr>
                      <w:fldChar w:fldCharType="separate"/>
                    </w:r>
                    <w:r w:rsidR="00501F4F">
                      <w:rPr>
                        <w:noProof/>
                      </w:rPr>
                      <w:t>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A72" w:rsidRDefault="00AD6A72">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0DD" w:rsidRDefault="000500DD" w:rsidP="00441DC2">
      <w:pPr>
        <w:spacing w:before="120" w:after="120"/>
      </w:pPr>
      <w:r>
        <w:separator/>
      </w:r>
    </w:p>
  </w:footnote>
  <w:footnote w:type="continuationSeparator" w:id="0">
    <w:p w:rsidR="000500DD" w:rsidRDefault="000500DD" w:rsidP="00441DC2">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A72" w:rsidRDefault="00AD6A72">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A72" w:rsidRDefault="00AD6A72">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A72" w:rsidRDefault="00AD6A72">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FAAE027E"/>
    <w:multiLevelType w:val="multilevel"/>
    <w:tmpl w:val="FAAE027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B4E5C33"/>
    <w:multiLevelType w:val="multilevel"/>
    <w:tmpl w:val="3B4E5C3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DC436CD"/>
    <w:multiLevelType w:val="singleLevel"/>
    <w:tmpl w:val="7DC436CD"/>
    <w:lvl w:ilvl="0">
      <w:start w:val="1"/>
      <w:numFmt w:val="bullet"/>
      <w:pStyle w:val="sub-proposal"/>
      <w:lvlText w:val="•"/>
      <w:lvlJc w:val="left"/>
      <w:pPr>
        <w:tabs>
          <w:tab w:val="left" w:pos="1260"/>
        </w:tabs>
        <w:ind w:left="1260" w:hanging="378"/>
      </w:pPr>
      <w:rPr>
        <w:rFonts w:ascii="Arial" w:hAnsi="Arial" w:cs="Arial" w:hint="default"/>
      </w:rPr>
    </w:lvl>
  </w:abstractNum>
  <w:num w:numId="1">
    <w:abstractNumId w:val="3"/>
  </w:num>
  <w:num w:numId="2">
    <w:abstractNumId w:val="5"/>
  </w:num>
  <w:num w:numId="3">
    <w:abstractNumId w:val="10"/>
  </w:num>
  <w:num w:numId="4">
    <w:abstractNumId w:val="11"/>
  </w:num>
  <w:num w:numId="5">
    <w:abstractNumId w:val="0"/>
  </w:num>
  <w:num w:numId="6">
    <w:abstractNumId w:val="9"/>
  </w:num>
  <w:num w:numId="7">
    <w:abstractNumId w:val="6"/>
  </w:num>
  <w:num w:numId="8">
    <w:abstractNumId w:val="1"/>
  </w:num>
  <w:num w:numId="9">
    <w:abstractNumId w:val="2"/>
  </w:num>
  <w:num w:numId="10">
    <w:abstractNumId w:val="4"/>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1AC"/>
    <w:rsid w:val="00027640"/>
    <w:rsid w:val="00037D97"/>
    <w:rsid w:val="00041C99"/>
    <w:rsid w:val="000500DD"/>
    <w:rsid w:val="000A39FD"/>
    <w:rsid w:val="000B1599"/>
    <w:rsid w:val="000B70EE"/>
    <w:rsid w:val="00101953"/>
    <w:rsid w:val="00103EF6"/>
    <w:rsid w:val="0012231E"/>
    <w:rsid w:val="00133AC3"/>
    <w:rsid w:val="00133F94"/>
    <w:rsid w:val="00145FAA"/>
    <w:rsid w:val="001665B4"/>
    <w:rsid w:val="00172A27"/>
    <w:rsid w:val="001768FE"/>
    <w:rsid w:val="001842E5"/>
    <w:rsid w:val="0018431A"/>
    <w:rsid w:val="001924F7"/>
    <w:rsid w:val="00193046"/>
    <w:rsid w:val="00195FC5"/>
    <w:rsid w:val="001962B5"/>
    <w:rsid w:val="001B502E"/>
    <w:rsid w:val="001B71B6"/>
    <w:rsid w:val="001C1625"/>
    <w:rsid w:val="001D3226"/>
    <w:rsid w:val="001D3817"/>
    <w:rsid w:val="001D4DAE"/>
    <w:rsid w:val="001E1031"/>
    <w:rsid w:val="001E1FFD"/>
    <w:rsid w:val="002056E0"/>
    <w:rsid w:val="00226EC5"/>
    <w:rsid w:val="002338B4"/>
    <w:rsid w:val="00252AA9"/>
    <w:rsid w:val="00255631"/>
    <w:rsid w:val="00283D2D"/>
    <w:rsid w:val="002961AC"/>
    <w:rsid w:val="002B3DD0"/>
    <w:rsid w:val="002B4DB7"/>
    <w:rsid w:val="002B76EB"/>
    <w:rsid w:val="002E74C3"/>
    <w:rsid w:val="00301063"/>
    <w:rsid w:val="003161BA"/>
    <w:rsid w:val="003209BE"/>
    <w:rsid w:val="00324214"/>
    <w:rsid w:val="0033137D"/>
    <w:rsid w:val="00340010"/>
    <w:rsid w:val="00341327"/>
    <w:rsid w:val="00360057"/>
    <w:rsid w:val="00362C83"/>
    <w:rsid w:val="003678C8"/>
    <w:rsid w:val="00380406"/>
    <w:rsid w:val="0039046A"/>
    <w:rsid w:val="00395F21"/>
    <w:rsid w:val="003C2825"/>
    <w:rsid w:val="003D5B59"/>
    <w:rsid w:val="003D6E21"/>
    <w:rsid w:val="003E6A8F"/>
    <w:rsid w:val="004052B2"/>
    <w:rsid w:val="0040667D"/>
    <w:rsid w:val="00422D64"/>
    <w:rsid w:val="00441DC2"/>
    <w:rsid w:val="00445243"/>
    <w:rsid w:val="0045618F"/>
    <w:rsid w:val="004704FD"/>
    <w:rsid w:val="004735F6"/>
    <w:rsid w:val="0048751B"/>
    <w:rsid w:val="0049781B"/>
    <w:rsid w:val="004A4A9D"/>
    <w:rsid w:val="004B3D08"/>
    <w:rsid w:val="004C2775"/>
    <w:rsid w:val="004C541D"/>
    <w:rsid w:val="004D7E09"/>
    <w:rsid w:val="004E14F1"/>
    <w:rsid w:val="00501F4F"/>
    <w:rsid w:val="00502841"/>
    <w:rsid w:val="00505FDD"/>
    <w:rsid w:val="00537F2E"/>
    <w:rsid w:val="0055783E"/>
    <w:rsid w:val="00557D4D"/>
    <w:rsid w:val="005705E6"/>
    <w:rsid w:val="00572097"/>
    <w:rsid w:val="0059672B"/>
    <w:rsid w:val="005B065E"/>
    <w:rsid w:val="005B1DAE"/>
    <w:rsid w:val="005C3980"/>
    <w:rsid w:val="005D51E5"/>
    <w:rsid w:val="005E6A03"/>
    <w:rsid w:val="005F37A4"/>
    <w:rsid w:val="005F6DDC"/>
    <w:rsid w:val="00601EBA"/>
    <w:rsid w:val="006168D1"/>
    <w:rsid w:val="006412F1"/>
    <w:rsid w:val="00642C92"/>
    <w:rsid w:val="0064579E"/>
    <w:rsid w:val="00654732"/>
    <w:rsid w:val="006B2B90"/>
    <w:rsid w:val="006C4CC2"/>
    <w:rsid w:val="006F0A12"/>
    <w:rsid w:val="00704DEC"/>
    <w:rsid w:val="00724E53"/>
    <w:rsid w:val="00744316"/>
    <w:rsid w:val="00781939"/>
    <w:rsid w:val="0078277C"/>
    <w:rsid w:val="0079183C"/>
    <w:rsid w:val="007A1EAD"/>
    <w:rsid w:val="007B2545"/>
    <w:rsid w:val="007B6E04"/>
    <w:rsid w:val="007D26C6"/>
    <w:rsid w:val="007E3016"/>
    <w:rsid w:val="007E7A15"/>
    <w:rsid w:val="0080439B"/>
    <w:rsid w:val="00820E09"/>
    <w:rsid w:val="00833088"/>
    <w:rsid w:val="008638F3"/>
    <w:rsid w:val="0088742D"/>
    <w:rsid w:val="00890F3B"/>
    <w:rsid w:val="008C6D78"/>
    <w:rsid w:val="008F30BC"/>
    <w:rsid w:val="008F3CF6"/>
    <w:rsid w:val="00905120"/>
    <w:rsid w:val="009453DB"/>
    <w:rsid w:val="009507B5"/>
    <w:rsid w:val="0096015E"/>
    <w:rsid w:val="0096044C"/>
    <w:rsid w:val="00977E1E"/>
    <w:rsid w:val="009810D9"/>
    <w:rsid w:val="00985005"/>
    <w:rsid w:val="00994FA5"/>
    <w:rsid w:val="009A7CD4"/>
    <w:rsid w:val="009C4974"/>
    <w:rsid w:val="009F756D"/>
    <w:rsid w:val="00A06B22"/>
    <w:rsid w:val="00A137F2"/>
    <w:rsid w:val="00A2358A"/>
    <w:rsid w:val="00A40102"/>
    <w:rsid w:val="00A50086"/>
    <w:rsid w:val="00A86872"/>
    <w:rsid w:val="00A92A85"/>
    <w:rsid w:val="00AB50D3"/>
    <w:rsid w:val="00AC4CB5"/>
    <w:rsid w:val="00AD6A72"/>
    <w:rsid w:val="00AF0661"/>
    <w:rsid w:val="00B03CE5"/>
    <w:rsid w:val="00B15F57"/>
    <w:rsid w:val="00B43EF2"/>
    <w:rsid w:val="00B63218"/>
    <w:rsid w:val="00B66CB1"/>
    <w:rsid w:val="00B86781"/>
    <w:rsid w:val="00B97648"/>
    <w:rsid w:val="00BB0B7F"/>
    <w:rsid w:val="00BB2E79"/>
    <w:rsid w:val="00BB386B"/>
    <w:rsid w:val="00C1747F"/>
    <w:rsid w:val="00C37363"/>
    <w:rsid w:val="00C44FB8"/>
    <w:rsid w:val="00C65C1E"/>
    <w:rsid w:val="00C70248"/>
    <w:rsid w:val="00CA2937"/>
    <w:rsid w:val="00CD7CA7"/>
    <w:rsid w:val="00CE1D95"/>
    <w:rsid w:val="00D1350F"/>
    <w:rsid w:val="00D44606"/>
    <w:rsid w:val="00D470E4"/>
    <w:rsid w:val="00D5552B"/>
    <w:rsid w:val="00D748EE"/>
    <w:rsid w:val="00D7678C"/>
    <w:rsid w:val="00D77101"/>
    <w:rsid w:val="00DA4E0C"/>
    <w:rsid w:val="00DE2C9E"/>
    <w:rsid w:val="00DE79EC"/>
    <w:rsid w:val="00DF0709"/>
    <w:rsid w:val="00DF3468"/>
    <w:rsid w:val="00DF75DB"/>
    <w:rsid w:val="00E11EBB"/>
    <w:rsid w:val="00E23AF2"/>
    <w:rsid w:val="00E31925"/>
    <w:rsid w:val="00E350FB"/>
    <w:rsid w:val="00E35DE6"/>
    <w:rsid w:val="00E501F6"/>
    <w:rsid w:val="00E57EFC"/>
    <w:rsid w:val="00E725F7"/>
    <w:rsid w:val="00E74F94"/>
    <w:rsid w:val="00EA5E98"/>
    <w:rsid w:val="00ED26E9"/>
    <w:rsid w:val="00ED3CF1"/>
    <w:rsid w:val="00ED78D7"/>
    <w:rsid w:val="00EE1D9D"/>
    <w:rsid w:val="00EF08C3"/>
    <w:rsid w:val="00EF144E"/>
    <w:rsid w:val="00F263A0"/>
    <w:rsid w:val="00F416D8"/>
    <w:rsid w:val="00F446DF"/>
    <w:rsid w:val="00F500A7"/>
    <w:rsid w:val="00F509E9"/>
    <w:rsid w:val="00F51EC7"/>
    <w:rsid w:val="00F65BA8"/>
    <w:rsid w:val="00F74876"/>
    <w:rsid w:val="00FA2111"/>
    <w:rsid w:val="00FC6E1D"/>
    <w:rsid w:val="00FD2DE4"/>
    <w:rsid w:val="00FD6FBD"/>
    <w:rsid w:val="00FE2D65"/>
    <w:rsid w:val="00FE42C3"/>
    <w:rsid w:val="00FF38B8"/>
    <w:rsid w:val="01764F01"/>
    <w:rsid w:val="024D6B6A"/>
    <w:rsid w:val="029B04E7"/>
    <w:rsid w:val="03073BDC"/>
    <w:rsid w:val="030C5976"/>
    <w:rsid w:val="033F44DC"/>
    <w:rsid w:val="043168B5"/>
    <w:rsid w:val="0555228E"/>
    <w:rsid w:val="059D1E39"/>
    <w:rsid w:val="05E078B3"/>
    <w:rsid w:val="05EE0985"/>
    <w:rsid w:val="06CF0607"/>
    <w:rsid w:val="077D0583"/>
    <w:rsid w:val="079724D0"/>
    <w:rsid w:val="082A352F"/>
    <w:rsid w:val="084A1A3D"/>
    <w:rsid w:val="08C349D1"/>
    <w:rsid w:val="08FD1F99"/>
    <w:rsid w:val="09F67CD5"/>
    <w:rsid w:val="0B584155"/>
    <w:rsid w:val="0B9E71DF"/>
    <w:rsid w:val="0C9D30C2"/>
    <w:rsid w:val="0D9D65F4"/>
    <w:rsid w:val="0E172BD0"/>
    <w:rsid w:val="0EDF02B5"/>
    <w:rsid w:val="10026C02"/>
    <w:rsid w:val="10936355"/>
    <w:rsid w:val="10A50104"/>
    <w:rsid w:val="115B3410"/>
    <w:rsid w:val="119D7849"/>
    <w:rsid w:val="1242135C"/>
    <w:rsid w:val="13252E71"/>
    <w:rsid w:val="13A1683F"/>
    <w:rsid w:val="14724F1C"/>
    <w:rsid w:val="14960C8D"/>
    <w:rsid w:val="14DA3DA1"/>
    <w:rsid w:val="164E3EFE"/>
    <w:rsid w:val="16D12C9E"/>
    <w:rsid w:val="17155857"/>
    <w:rsid w:val="17950508"/>
    <w:rsid w:val="17AD7BB9"/>
    <w:rsid w:val="17D94C68"/>
    <w:rsid w:val="19010C43"/>
    <w:rsid w:val="19084C73"/>
    <w:rsid w:val="1A054259"/>
    <w:rsid w:val="1AA20BEC"/>
    <w:rsid w:val="1AFF4157"/>
    <w:rsid w:val="1B7F6005"/>
    <w:rsid w:val="1B9D73EE"/>
    <w:rsid w:val="1C132CB9"/>
    <w:rsid w:val="1CCC26CA"/>
    <w:rsid w:val="1E056606"/>
    <w:rsid w:val="1E9D6342"/>
    <w:rsid w:val="204E6676"/>
    <w:rsid w:val="2195668B"/>
    <w:rsid w:val="21BE5AD4"/>
    <w:rsid w:val="21EB72DE"/>
    <w:rsid w:val="23081A49"/>
    <w:rsid w:val="2334383D"/>
    <w:rsid w:val="23CE335E"/>
    <w:rsid w:val="245C52F8"/>
    <w:rsid w:val="2463385E"/>
    <w:rsid w:val="24905303"/>
    <w:rsid w:val="250D568B"/>
    <w:rsid w:val="25134332"/>
    <w:rsid w:val="257E508F"/>
    <w:rsid w:val="26BF5712"/>
    <w:rsid w:val="27AB7429"/>
    <w:rsid w:val="285C053E"/>
    <w:rsid w:val="29FA7F26"/>
    <w:rsid w:val="2A0F29F0"/>
    <w:rsid w:val="2B774832"/>
    <w:rsid w:val="2C3E7B79"/>
    <w:rsid w:val="2C946521"/>
    <w:rsid w:val="2CDE11E4"/>
    <w:rsid w:val="2EC55A3B"/>
    <w:rsid w:val="2F1251F2"/>
    <w:rsid w:val="2F8C3080"/>
    <w:rsid w:val="2FCA63C6"/>
    <w:rsid w:val="30962F3E"/>
    <w:rsid w:val="30D17E68"/>
    <w:rsid w:val="30FF2795"/>
    <w:rsid w:val="31D2038B"/>
    <w:rsid w:val="31DD373A"/>
    <w:rsid w:val="329A6ACE"/>
    <w:rsid w:val="333B6A1B"/>
    <w:rsid w:val="33607071"/>
    <w:rsid w:val="35812E47"/>
    <w:rsid w:val="35EB3B29"/>
    <w:rsid w:val="360B1D73"/>
    <w:rsid w:val="361F3323"/>
    <w:rsid w:val="36E93760"/>
    <w:rsid w:val="377E620D"/>
    <w:rsid w:val="3784394E"/>
    <w:rsid w:val="38AE3BB0"/>
    <w:rsid w:val="395B7CAB"/>
    <w:rsid w:val="3ACB5746"/>
    <w:rsid w:val="3BB20883"/>
    <w:rsid w:val="3C935077"/>
    <w:rsid w:val="3CCC3EC3"/>
    <w:rsid w:val="3CD06756"/>
    <w:rsid w:val="3DA8275C"/>
    <w:rsid w:val="3E441C7D"/>
    <w:rsid w:val="3E622195"/>
    <w:rsid w:val="3FC956FF"/>
    <w:rsid w:val="40A36A71"/>
    <w:rsid w:val="410E4736"/>
    <w:rsid w:val="41D3631F"/>
    <w:rsid w:val="41F466FD"/>
    <w:rsid w:val="42A67A24"/>
    <w:rsid w:val="42D846B9"/>
    <w:rsid w:val="430D7A82"/>
    <w:rsid w:val="43A55B32"/>
    <w:rsid w:val="440D5045"/>
    <w:rsid w:val="44F3408E"/>
    <w:rsid w:val="45BE6191"/>
    <w:rsid w:val="460C5979"/>
    <w:rsid w:val="476F55EB"/>
    <w:rsid w:val="47C01792"/>
    <w:rsid w:val="4808150F"/>
    <w:rsid w:val="49E9233D"/>
    <w:rsid w:val="4A42266B"/>
    <w:rsid w:val="4AAD1944"/>
    <w:rsid w:val="4AC31003"/>
    <w:rsid w:val="4AE93159"/>
    <w:rsid w:val="4BD0339A"/>
    <w:rsid w:val="4D462159"/>
    <w:rsid w:val="4D5C5FAC"/>
    <w:rsid w:val="4DB037C4"/>
    <w:rsid w:val="4DC605B6"/>
    <w:rsid w:val="4DEC0985"/>
    <w:rsid w:val="4E27683A"/>
    <w:rsid w:val="4E505B3E"/>
    <w:rsid w:val="4E731431"/>
    <w:rsid w:val="4F2765B1"/>
    <w:rsid w:val="4F285975"/>
    <w:rsid w:val="4FF32929"/>
    <w:rsid w:val="51796EDE"/>
    <w:rsid w:val="51867298"/>
    <w:rsid w:val="51AC0F10"/>
    <w:rsid w:val="52195EDF"/>
    <w:rsid w:val="52313387"/>
    <w:rsid w:val="529F0593"/>
    <w:rsid w:val="52E04D27"/>
    <w:rsid w:val="539A390F"/>
    <w:rsid w:val="53CF14EE"/>
    <w:rsid w:val="53DB3477"/>
    <w:rsid w:val="5482612A"/>
    <w:rsid w:val="54AF6B42"/>
    <w:rsid w:val="55036425"/>
    <w:rsid w:val="55DD6F2A"/>
    <w:rsid w:val="56E23970"/>
    <w:rsid w:val="577A3C7D"/>
    <w:rsid w:val="578F220A"/>
    <w:rsid w:val="57FC07D9"/>
    <w:rsid w:val="58500F22"/>
    <w:rsid w:val="591C0009"/>
    <w:rsid w:val="591D5203"/>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90F418B"/>
    <w:rsid w:val="6A154B1E"/>
    <w:rsid w:val="6A766D87"/>
    <w:rsid w:val="6A7A2736"/>
    <w:rsid w:val="6A7B4B9C"/>
    <w:rsid w:val="6C89456C"/>
    <w:rsid w:val="6D663271"/>
    <w:rsid w:val="6F901B66"/>
    <w:rsid w:val="6FA629D4"/>
    <w:rsid w:val="6FB53FEC"/>
    <w:rsid w:val="6FC05247"/>
    <w:rsid w:val="6FD10552"/>
    <w:rsid w:val="70BB2EF0"/>
    <w:rsid w:val="728150B9"/>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AED2D2F"/>
    <w:rsid w:val="7C26369C"/>
    <w:rsid w:val="7C9E5A24"/>
    <w:rsid w:val="7CAC00CB"/>
    <w:rsid w:val="7D575412"/>
    <w:rsid w:val="7D62117D"/>
    <w:rsid w:val="7DB275A7"/>
    <w:rsid w:val="7DB54254"/>
    <w:rsid w:val="7E3E1EF2"/>
    <w:rsid w:val="7E8070E2"/>
    <w:rsid w:val="7E951513"/>
    <w:rsid w:val="7ED001FD"/>
    <w:rsid w:val="7EF74FC9"/>
    <w:rsid w:val="7F89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86284-9DE1-476C-BFAC-7173B21A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A72"/>
    <w:pPr>
      <w:spacing w:beforeLines="50" w:afterLines="50"/>
      <w:jc w:val="both"/>
    </w:pPr>
    <w:rPr>
      <w:kern w:val="2"/>
      <w:sz w:val="21"/>
    </w:rPr>
  </w:style>
  <w:style w:type="paragraph" w:styleId="1">
    <w:name w:val="heading 1"/>
    <w:basedOn w:val="a"/>
    <w:next w:val="a"/>
    <w:qFormat/>
    <w:rsid w:val="00AD6A72"/>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AD6A72"/>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AD6A72"/>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AD6A72"/>
    <w:rPr>
      <w:rFonts w:asciiTheme="majorHAnsi" w:eastAsia="黑体" w:hAnsiTheme="majorHAnsi" w:cstheme="majorBidi"/>
      <w:sz w:val="20"/>
    </w:rPr>
  </w:style>
  <w:style w:type="paragraph" w:styleId="a4">
    <w:name w:val="Document Map"/>
    <w:basedOn w:val="a"/>
    <w:link w:val="Char"/>
    <w:uiPriority w:val="99"/>
    <w:semiHidden/>
    <w:unhideWhenUsed/>
    <w:qFormat/>
    <w:rsid w:val="00AD6A72"/>
    <w:rPr>
      <w:rFonts w:ascii="宋体"/>
      <w:sz w:val="18"/>
      <w:szCs w:val="18"/>
    </w:rPr>
  </w:style>
  <w:style w:type="paragraph" w:styleId="a5">
    <w:name w:val="Body Text"/>
    <w:basedOn w:val="a"/>
    <w:qFormat/>
    <w:rsid w:val="00AD6A72"/>
    <w:pPr>
      <w:overflowPunct w:val="0"/>
      <w:autoSpaceDE w:val="0"/>
      <w:autoSpaceDN w:val="0"/>
      <w:adjustRightInd w:val="0"/>
      <w:textAlignment w:val="baseline"/>
    </w:pPr>
    <w:rPr>
      <w:rFonts w:eastAsia="MS Mincho"/>
    </w:rPr>
  </w:style>
  <w:style w:type="paragraph" w:styleId="30">
    <w:name w:val="toc 3"/>
    <w:basedOn w:val="a"/>
    <w:next w:val="a"/>
    <w:uiPriority w:val="39"/>
    <w:unhideWhenUsed/>
    <w:qFormat/>
    <w:rsid w:val="00AD6A72"/>
    <w:pPr>
      <w:ind w:leftChars="400" w:left="880"/>
    </w:pPr>
    <w:rPr>
      <w:b/>
      <w:i/>
      <w:sz w:val="20"/>
    </w:rPr>
  </w:style>
  <w:style w:type="paragraph" w:styleId="a6">
    <w:name w:val="Balloon Text"/>
    <w:basedOn w:val="a"/>
    <w:link w:val="Char0"/>
    <w:uiPriority w:val="99"/>
    <w:semiHidden/>
    <w:unhideWhenUsed/>
    <w:qFormat/>
    <w:rsid w:val="00AD6A72"/>
    <w:rPr>
      <w:sz w:val="18"/>
      <w:szCs w:val="18"/>
    </w:rPr>
  </w:style>
  <w:style w:type="paragraph" w:styleId="a7">
    <w:name w:val="header"/>
    <w:basedOn w:val="a"/>
    <w:link w:val="Char1"/>
    <w:semiHidden/>
    <w:qFormat/>
    <w:rsid w:val="00AD6A7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AD6A72"/>
    <w:rPr>
      <w:b/>
      <w:i/>
      <w:sz w:val="20"/>
    </w:rPr>
  </w:style>
  <w:style w:type="paragraph" w:styleId="a8">
    <w:name w:val="table of figures"/>
    <w:basedOn w:val="a"/>
    <w:next w:val="a"/>
    <w:uiPriority w:val="99"/>
    <w:semiHidden/>
    <w:unhideWhenUsed/>
    <w:qFormat/>
    <w:rsid w:val="00AD6A72"/>
    <w:pPr>
      <w:ind w:leftChars="200" w:left="200" w:hangingChars="200" w:hanging="200"/>
    </w:pPr>
  </w:style>
  <w:style w:type="paragraph" w:styleId="20">
    <w:name w:val="toc 2"/>
    <w:basedOn w:val="a"/>
    <w:next w:val="a"/>
    <w:uiPriority w:val="39"/>
    <w:unhideWhenUsed/>
    <w:qFormat/>
    <w:rsid w:val="00AD6A72"/>
    <w:pPr>
      <w:snapToGrid w:val="0"/>
      <w:ind w:leftChars="200" w:left="618"/>
    </w:pPr>
    <w:rPr>
      <w:b/>
      <w:i/>
      <w:sz w:val="20"/>
    </w:rPr>
  </w:style>
  <w:style w:type="paragraph" w:styleId="a9">
    <w:name w:val="Normal (Web)"/>
    <w:basedOn w:val="a"/>
    <w:uiPriority w:val="99"/>
    <w:semiHidden/>
    <w:unhideWhenUsed/>
    <w:qFormat/>
    <w:rsid w:val="00AD6A72"/>
    <w:pPr>
      <w:spacing w:beforeLines="0" w:beforeAutospacing="1" w:afterLines="0" w:afterAutospacing="1"/>
      <w:jc w:val="left"/>
    </w:pPr>
    <w:rPr>
      <w:rFonts w:ascii="宋体" w:hAnsi="宋体" w:cs="宋体"/>
      <w:kern w:val="0"/>
      <w:sz w:val="24"/>
      <w:szCs w:val="24"/>
    </w:rPr>
  </w:style>
  <w:style w:type="table" w:styleId="aa">
    <w:name w:val="Table Grid"/>
    <w:basedOn w:val="a1"/>
    <w:uiPriority w:val="99"/>
    <w:unhideWhenUsed/>
    <w:qFormat/>
    <w:rsid w:val="00AD6A7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AD6A72"/>
    <w:rPr>
      <w:b/>
    </w:rPr>
  </w:style>
  <w:style w:type="character" w:styleId="ac">
    <w:name w:val="Emphasis"/>
    <w:basedOn w:val="a0"/>
    <w:uiPriority w:val="20"/>
    <w:qFormat/>
    <w:rsid w:val="00AD6A72"/>
    <w:rPr>
      <w:i/>
    </w:rPr>
  </w:style>
  <w:style w:type="paragraph" w:customStyle="1" w:styleId="Arial1101987050">
    <w:name w:val="样式 Arial 11 磅 加粗 左侧:  0 厘米 悬挂缩进: 19.87 字符 段前: 0.5 行 段后: 0...."/>
    <w:basedOn w:val="a"/>
    <w:qFormat/>
    <w:rsid w:val="00AD6A72"/>
    <w:pPr>
      <w:spacing w:afterLines="0"/>
      <w:ind w:left="1985" w:hanging="1985"/>
    </w:pPr>
    <w:rPr>
      <w:rFonts w:ascii="Arial" w:hAnsi="Arial" w:cs="宋体"/>
      <w:b/>
      <w:bCs/>
      <w:sz w:val="22"/>
    </w:rPr>
  </w:style>
  <w:style w:type="paragraph" w:customStyle="1" w:styleId="ZTE-Observation-2021">
    <w:name w:val="!ZTE-Observation-2021"/>
    <w:basedOn w:val="a"/>
    <w:qFormat/>
    <w:rsid w:val="00AD6A72"/>
    <w:pPr>
      <w:numPr>
        <w:numId w:val="2"/>
      </w:numPr>
      <w:snapToGrid w:val="0"/>
      <w:spacing w:before="50" w:after="50"/>
      <w:ind w:left="0" w:firstLine="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AD6A72"/>
    <w:pPr>
      <w:numPr>
        <w:numId w:val="3"/>
      </w:numPr>
      <w:spacing w:before="50" w:after="50"/>
      <w:ind w:left="0" w:firstLine="0"/>
      <w:jc w:val="left"/>
    </w:pPr>
    <w:rPr>
      <w:rFonts w:eastAsiaTheme="minorEastAsia" w:cs="宋体"/>
      <w:b/>
      <w:bCs/>
      <w:i/>
      <w:iCs/>
      <w:sz w:val="20"/>
      <w:lang w:val="en-GB" w:eastAsia="en-US"/>
    </w:rPr>
  </w:style>
  <w:style w:type="paragraph" w:customStyle="1" w:styleId="sub-proposal">
    <w:name w:val="sub-proposal"/>
    <w:basedOn w:val="a"/>
    <w:qFormat/>
    <w:rsid w:val="00AD6A72"/>
    <w:pPr>
      <w:numPr>
        <w:numId w:val="4"/>
      </w:numPr>
      <w:tabs>
        <w:tab w:val="clear" w:pos="1260"/>
        <w:tab w:val="left" w:pos="0"/>
        <w:tab w:val="left" w:pos="42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AD6A72"/>
  </w:style>
  <w:style w:type="paragraph" w:customStyle="1" w:styleId="3rdlevelproposal">
    <w:name w:val="3rd level proposal"/>
    <w:basedOn w:val="sub-proposal"/>
    <w:qFormat/>
    <w:rsid w:val="00AD6A72"/>
    <w:pPr>
      <w:numPr>
        <w:numId w:val="5"/>
      </w:numPr>
      <w:tabs>
        <w:tab w:val="clear" w:pos="1260"/>
      </w:tabs>
    </w:pPr>
  </w:style>
  <w:style w:type="paragraph" w:customStyle="1" w:styleId="3rdlevelobservation">
    <w:name w:val="3rd level observation"/>
    <w:basedOn w:val="sub-observation"/>
    <w:qFormat/>
    <w:rsid w:val="00AD6A72"/>
    <w:pPr>
      <w:numPr>
        <w:numId w:val="6"/>
      </w:numPr>
      <w:tabs>
        <w:tab w:val="clear" w:pos="1260"/>
      </w:tabs>
    </w:pPr>
  </w:style>
  <w:style w:type="paragraph" w:customStyle="1" w:styleId="References">
    <w:name w:val="References"/>
    <w:basedOn w:val="a"/>
    <w:qFormat/>
    <w:rsid w:val="00AD6A72"/>
    <w:pPr>
      <w:numPr>
        <w:numId w:val="7"/>
      </w:numPr>
      <w:spacing w:after="60"/>
    </w:pPr>
    <w:rPr>
      <w:szCs w:val="16"/>
    </w:rPr>
  </w:style>
  <w:style w:type="paragraph" w:styleId="ad">
    <w:name w:val="List Paragraph"/>
    <w:basedOn w:val="a"/>
    <w:link w:val="Char2"/>
    <w:uiPriority w:val="34"/>
    <w:qFormat/>
    <w:rsid w:val="00AD6A72"/>
    <w:pPr>
      <w:spacing w:beforeLines="0"/>
      <w:ind w:left="720"/>
      <w:contextualSpacing/>
    </w:pPr>
    <w:rPr>
      <w:rFonts w:eastAsia="Times New Roman"/>
      <w:sz w:val="24"/>
      <w:szCs w:val="24"/>
    </w:rPr>
  </w:style>
  <w:style w:type="character" w:customStyle="1" w:styleId="Char1">
    <w:name w:val="页眉 Char"/>
    <w:basedOn w:val="a0"/>
    <w:link w:val="a7"/>
    <w:semiHidden/>
    <w:qFormat/>
    <w:rsid w:val="00AD6A72"/>
    <w:rPr>
      <w:kern w:val="2"/>
      <w:sz w:val="18"/>
      <w:szCs w:val="18"/>
    </w:rPr>
  </w:style>
  <w:style w:type="character" w:customStyle="1" w:styleId="Char">
    <w:name w:val="文档结构图 Char"/>
    <w:basedOn w:val="a0"/>
    <w:link w:val="a4"/>
    <w:uiPriority w:val="99"/>
    <w:semiHidden/>
    <w:qFormat/>
    <w:rsid w:val="00AD6A72"/>
    <w:rPr>
      <w:rFonts w:ascii="宋体"/>
      <w:kern w:val="2"/>
      <w:sz w:val="18"/>
      <w:szCs w:val="18"/>
    </w:rPr>
  </w:style>
  <w:style w:type="character" w:customStyle="1" w:styleId="Char2">
    <w:name w:val="列出段落 Char"/>
    <w:link w:val="ad"/>
    <w:uiPriority w:val="34"/>
    <w:qFormat/>
    <w:locked/>
    <w:rsid w:val="00AD6A72"/>
    <w:rPr>
      <w:rFonts w:eastAsia="Times New Roman"/>
      <w:kern w:val="2"/>
      <w:sz w:val="24"/>
      <w:szCs w:val="24"/>
    </w:rPr>
  </w:style>
  <w:style w:type="character" w:customStyle="1" w:styleId="apple-converted-space">
    <w:name w:val="apple-converted-space"/>
    <w:qFormat/>
    <w:rsid w:val="00AD6A72"/>
  </w:style>
  <w:style w:type="character" w:customStyle="1" w:styleId="Char0">
    <w:name w:val="批注框文本 Char"/>
    <w:basedOn w:val="a0"/>
    <w:link w:val="a6"/>
    <w:uiPriority w:val="99"/>
    <w:semiHidden/>
    <w:qFormat/>
    <w:rsid w:val="00AD6A72"/>
    <w:rPr>
      <w:kern w:val="2"/>
      <w:sz w:val="18"/>
      <w:szCs w:val="18"/>
    </w:rPr>
  </w:style>
  <w:style w:type="character" w:customStyle="1" w:styleId="11">
    <w:name w:val="不明显强调1"/>
    <w:basedOn w:val="a0"/>
    <w:uiPriority w:val="19"/>
    <w:qFormat/>
    <w:rsid w:val="00AD6A72"/>
    <w:rPr>
      <w:i/>
      <w:iCs/>
      <w:color w:val="7F7F7F" w:themeColor="text1" w:themeTint="80"/>
    </w:rPr>
  </w:style>
  <w:style w:type="paragraph" w:customStyle="1" w:styleId="ListParagraph1">
    <w:name w:val="List Paragraph1"/>
    <w:basedOn w:val="a"/>
    <w:qFormat/>
    <w:rsid w:val="00AD6A72"/>
    <w:pPr>
      <w:spacing w:beforeLines="0" w:beforeAutospacing="1" w:afterLines="0" w:afterAutospacing="1"/>
      <w:ind w:leftChars="400" w:left="840"/>
      <w:jc w:val="left"/>
    </w:pPr>
    <w:rPr>
      <w:rFonts w:ascii="Times" w:eastAsia="Batang" w:hAnsi="Times"/>
      <w:kern w:val="0"/>
      <w:sz w:val="24"/>
      <w:szCs w:val="24"/>
    </w:rPr>
  </w:style>
  <w:style w:type="paragraph" w:customStyle="1" w:styleId="ListParagraph2">
    <w:name w:val="List Paragraph2"/>
    <w:basedOn w:val="a"/>
    <w:qFormat/>
    <w:rsid w:val="00AD6A72"/>
    <w:pPr>
      <w:spacing w:beforeLines="0" w:beforeAutospacing="1" w:afterLines="0" w:afterAutospacing="1"/>
      <w:ind w:leftChars="400" w:left="840"/>
      <w:jc w:val="left"/>
    </w:pPr>
    <w:rPr>
      <w:rFonts w:ascii="Times" w:eastAsia="Batang" w:hAnsi="Times"/>
      <w:kern w:val="0"/>
      <w:sz w:val="24"/>
      <w:szCs w:val="24"/>
    </w:rPr>
  </w:style>
  <w:style w:type="character" w:customStyle="1" w:styleId="y2iqfc">
    <w:name w:val="y2iqfc"/>
    <w:basedOn w:val="a0"/>
    <w:qFormat/>
    <w:rsid w:val="00AD6A72"/>
  </w:style>
  <w:style w:type="paragraph" w:customStyle="1" w:styleId="Proposal">
    <w:name w:val="Proposal"/>
    <w:basedOn w:val="a5"/>
    <w:next w:val="a"/>
    <w:qFormat/>
    <w:rsid w:val="00AD6A72"/>
    <w:pPr>
      <w:numPr>
        <w:numId w:val="8"/>
      </w:numPr>
      <w:tabs>
        <w:tab w:val="left" w:pos="1701"/>
      </w:tabs>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060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F39906-93F8-489B-94A8-8E049D890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1898</Words>
  <Characters>10824</Characters>
  <Application>Microsoft Office Word</Application>
  <DocSecurity>0</DocSecurity>
  <Lines>90</Lines>
  <Paragraphs>25</Paragraphs>
  <ScaleCrop>false</ScaleCrop>
  <Company>ZTE</Company>
  <LinksUpToDate>false</LinksUpToDate>
  <CharactersWithSpaces>12697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ZTE-LRY</cp:lastModifiedBy>
  <cp:revision>2</cp:revision>
  <dcterms:created xsi:type="dcterms:W3CDTF">2022-05-30T12:18:00Z</dcterms:created>
  <dcterms:modified xsi:type="dcterms:W3CDTF">2022-05-30T12:18:00Z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