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689CF3E1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F649B1">
        <w:rPr>
          <w:rFonts w:eastAsia="SimSun"/>
          <w:b/>
          <w:szCs w:val="22"/>
          <w:lang w:eastAsia="zh-CN"/>
        </w:rPr>
        <w:t>96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</w:t>
      </w:r>
      <w:r w:rsidR="00F649B1">
        <w:rPr>
          <w:rFonts w:eastAsia="SimSun"/>
          <w:b/>
          <w:szCs w:val="22"/>
        </w:rPr>
        <w:t>P</w:t>
      </w:r>
      <w:r w:rsidR="003C6897" w:rsidRPr="003C6897">
        <w:rPr>
          <w:rFonts w:eastAsia="SimSun"/>
          <w:b/>
          <w:szCs w:val="22"/>
        </w:rPr>
        <w:t>-</w:t>
      </w:r>
      <w:r w:rsidR="000C7D8E">
        <w:rPr>
          <w:rFonts w:eastAsia="SimSun"/>
          <w:b/>
          <w:szCs w:val="22"/>
        </w:rPr>
        <w:t>221582</w:t>
      </w:r>
    </w:p>
    <w:p w14:paraId="5F04922C" w14:textId="601B6D21" w:rsidR="00942BD3" w:rsidRPr="00646EDF" w:rsidRDefault="00031FD0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>
        <w:rPr>
          <w:rFonts w:eastAsia="SimSun"/>
          <w:b/>
          <w:szCs w:val="22"/>
          <w:lang w:eastAsia="zh-CN"/>
        </w:rPr>
        <w:t>June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>
        <w:rPr>
          <w:rFonts w:eastAsia="SimSun"/>
          <w:b/>
          <w:szCs w:val="22"/>
          <w:lang w:eastAsia="zh-CN"/>
        </w:rPr>
        <w:t>6</w:t>
      </w:r>
      <w:r w:rsidR="00296FFA" w:rsidRPr="00296FFA">
        <w:rPr>
          <w:rFonts w:eastAsia="SimSun"/>
          <w:b/>
          <w:szCs w:val="22"/>
          <w:lang w:eastAsia="zh-CN"/>
        </w:rPr>
        <w:t xml:space="preserve">th – </w:t>
      </w:r>
      <w:r>
        <w:rPr>
          <w:rFonts w:eastAsia="SimSun"/>
          <w:b/>
          <w:szCs w:val="22"/>
          <w:lang w:eastAsia="zh-CN"/>
        </w:rPr>
        <w:t>9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020814F1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proofErr w:type="gram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  <w:r w:rsidR="00653652">
        <w:rPr>
          <w:rFonts w:ascii="Times New Roman" w:eastAsia="MS Gothic" w:hAnsi="Times New Roman"/>
          <w:noProof w:val="0"/>
          <w:sz w:val="24"/>
          <w:szCs w:val="22"/>
        </w:rPr>
        <w:t xml:space="preserve"> </w:t>
      </w:r>
      <w:r w:rsidR="004B2007">
        <w:rPr>
          <w:rFonts w:ascii="Times New Roman" w:eastAsia="MS Gothic" w:hAnsi="Times New Roman"/>
          <w:noProof w:val="0"/>
          <w:sz w:val="24"/>
          <w:szCs w:val="22"/>
        </w:rPr>
        <w:t>,</w:t>
      </w:r>
      <w:proofErr w:type="gramEnd"/>
      <w:r w:rsidR="004B2007">
        <w:rPr>
          <w:rFonts w:ascii="Times New Roman" w:eastAsia="MS Gothic" w:hAnsi="Times New Roman"/>
          <w:noProof w:val="0"/>
          <w:sz w:val="24"/>
          <w:szCs w:val="22"/>
        </w:rPr>
        <w:t xml:space="preserve"> Charter Communications, </w:t>
      </w:r>
      <w:r w:rsidR="00653652">
        <w:rPr>
          <w:rFonts w:ascii="Times New Roman" w:eastAsia="MS Gothic" w:hAnsi="Times New Roman"/>
          <w:noProof w:val="0"/>
          <w:sz w:val="24"/>
          <w:szCs w:val="22"/>
        </w:rPr>
        <w:t>Broadcom, HP</w:t>
      </w:r>
      <w:r w:rsidR="00031FD0">
        <w:rPr>
          <w:rFonts w:ascii="Times New Roman" w:eastAsia="MS Gothic" w:hAnsi="Times New Roman"/>
          <w:noProof w:val="0"/>
          <w:sz w:val="24"/>
          <w:szCs w:val="22"/>
        </w:rPr>
        <w:t>E</w:t>
      </w:r>
    </w:p>
    <w:bookmarkEnd w:id="0"/>
    <w:p w14:paraId="41680584" w14:textId="1A929737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F649B1">
        <w:rPr>
          <w:rFonts w:ascii="Times New Roman" w:eastAsia="MS Gothic" w:hAnsi="Times New Roman"/>
          <w:noProof w:val="0"/>
          <w:sz w:val="24"/>
          <w:szCs w:val="22"/>
        </w:rPr>
        <w:t>WID revision</w:t>
      </w:r>
      <w:r w:rsidR="00A169A1">
        <w:rPr>
          <w:rFonts w:ascii="Times New Roman" w:eastAsia="MS Gothic" w:hAnsi="Times New Roman"/>
          <w:noProof w:val="0"/>
          <w:sz w:val="24"/>
          <w:szCs w:val="22"/>
        </w:rPr>
        <w:t>.</w:t>
      </w:r>
      <w:r w:rsidR="00F649B1">
        <w:rPr>
          <w:rFonts w:ascii="Times New Roman" w:eastAsia="MS Gothic" w:hAnsi="Times New Roman"/>
          <w:noProof w:val="0"/>
          <w:sz w:val="24"/>
          <w:szCs w:val="22"/>
        </w:rPr>
        <w:t xml:space="preserve"> NR </w:t>
      </w:r>
      <w:proofErr w:type="spellStart"/>
      <w:r w:rsidR="00F649B1">
        <w:rPr>
          <w:rFonts w:ascii="Times New Roman" w:eastAsia="MS Gothic" w:hAnsi="Times New Roman"/>
          <w:noProof w:val="0"/>
          <w:sz w:val="24"/>
          <w:szCs w:val="22"/>
        </w:rPr>
        <w:t>sidelink</w:t>
      </w:r>
      <w:proofErr w:type="spellEnd"/>
      <w:r w:rsidR="00F649B1">
        <w:rPr>
          <w:rFonts w:ascii="Times New Roman" w:eastAsia="MS Gothic" w:hAnsi="Times New Roman"/>
          <w:noProof w:val="0"/>
          <w:sz w:val="24"/>
          <w:szCs w:val="22"/>
        </w:rPr>
        <w:t xml:space="preserve"> evolution</w:t>
      </w:r>
    </w:p>
    <w:p w14:paraId="4EA871AB" w14:textId="6BD240D6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913B3B">
        <w:rPr>
          <w:rFonts w:ascii="Times New Roman" w:eastAsia="MS Gothic" w:hAnsi="Times New Roman"/>
          <w:noProof w:val="0"/>
          <w:sz w:val="24"/>
          <w:szCs w:val="22"/>
        </w:rPr>
        <w:t>3.1.5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050C9994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pproved </w:t>
      </w:r>
      <w:r w:rsidR="00913B3B">
        <w:rPr>
          <w:rFonts w:eastAsiaTheme="minorEastAsia"/>
          <w:color w:val="000000"/>
          <w:sz w:val="22"/>
          <w:szCs w:val="22"/>
          <w:lang w:eastAsia="zh-CN"/>
        </w:rPr>
        <w:t>the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proofErr w:type="spellStart"/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idelink</w:t>
      </w:r>
      <w:proofErr w:type="spellEnd"/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2F870151" w14:textId="77777777" w:rsidR="000618ED" w:rsidRPr="000618ED" w:rsidRDefault="000618ED" w:rsidP="000618E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 xml:space="preserve">Study and specify support of sidelink on unlicensed spectrum for both mode 1 and mode 2 where </w:t>
      </w:r>
      <w:proofErr w:type="spellStart"/>
      <w:r w:rsidRPr="000618ED">
        <w:rPr>
          <w:rFonts w:ascii="Times" w:hAnsi="Times" w:cs="Times"/>
          <w:i/>
          <w:iCs/>
          <w:sz w:val="22"/>
          <w:szCs w:val="22"/>
        </w:rPr>
        <w:t>Uu</w:t>
      </w:r>
      <w:proofErr w:type="spellEnd"/>
      <w:r w:rsidRPr="000618ED">
        <w:rPr>
          <w:rFonts w:ascii="Times" w:hAnsi="Times" w:cs="Times"/>
          <w:i/>
          <w:iCs/>
          <w:sz w:val="22"/>
          <w:szCs w:val="22"/>
        </w:rPr>
        <w:t xml:space="preserve"> operation for mode 1 is limited to licensed spectrum only [RAN1, RAN2, RAN4]</w:t>
      </w:r>
    </w:p>
    <w:p w14:paraId="694A48BB" w14:textId="77777777" w:rsidR="000618ED" w:rsidRPr="000618ED" w:rsidRDefault="000618ED" w:rsidP="000618E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Channel access mechanisms from NR-U shall be reused for sidelink unlicensed operation</w:t>
      </w:r>
    </w:p>
    <w:p w14:paraId="61D512A3" w14:textId="77777777" w:rsidR="000618ED" w:rsidRPr="000618ED" w:rsidRDefault="000618ED" w:rsidP="000618E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60" w:after="60"/>
        <w:ind w:left="1418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bookmarkStart w:id="3" w:name="_Hlk89917081"/>
      <w:r w:rsidRPr="000618ED">
        <w:rPr>
          <w:rFonts w:ascii="Times" w:hAnsi="Times" w:cs="Times"/>
          <w:i/>
          <w:iCs/>
          <w:sz w:val="22"/>
          <w:szCs w:val="22"/>
        </w:rPr>
        <w:t>Assess the applicability of sidelink resource reservation from Rel-16/Rel-17 to sidelink unlicensed operation within the boundaries of unlicensed channel access mechanism and operation</w:t>
      </w:r>
    </w:p>
    <w:p w14:paraId="500F8048" w14:textId="0B79F74A" w:rsidR="000618ED" w:rsidRDefault="000618ED" w:rsidP="00D30AF9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No specific enhancements for Rel-17 resource allocation mechanism</w:t>
      </w:r>
      <w:bookmarkEnd w:id="3"/>
    </w:p>
    <w:p w14:paraId="61108236" w14:textId="139A489F" w:rsidR="00D30AF9" w:rsidRPr="00D30AF9" w:rsidRDefault="00D30AF9" w:rsidP="00D30AF9">
      <w:pPr>
        <w:pStyle w:val="ListParagraph"/>
        <w:numPr>
          <w:ilvl w:val="0"/>
          <w:numId w:val="13"/>
        </w:numPr>
        <w:ind w:firstLineChars="0"/>
        <w:jc w:val="both"/>
        <w:rPr>
          <w:rFonts w:eastAsiaTheme="minorEastAsia"/>
          <w:i/>
          <w:iCs/>
          <w:sz w:val="20"/>
          <w:szCs w:val="20"/>
        </w:rPr>
      </w:pPr>
      <w:r w:rsidRPr="00D30AF9">
        <w:rPr>
          <w:rFonts w:eastAsiaTheme="minorEastAsia"/>
          <w:i/>
          <w:iCs/>
          <w:sz w:val="20"/>
          <w:szCs w:val="20"/>
        </w:rPr>
        <w:t xml:space="preserve">&lt;&lt;-omitted -&gt;&gt; </w:t>
      </w:r>
    </w:p>
    <w:p w14:paraId="57B16348" w14:textId="23BF1FB4" w:rsidR="009A5A74" w:rsidRPr="000618ED" w:rsidRDefault="000618ED" w:rsidP="000618E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The study should focus on FR1 unlicensed bands (n46 and n96/n102) and is to be completed by RAN#98</w:t>
      </w:r>
      <w:bookmarkStart w:id="4" w:name="_Hlk89917215"/>
      <w:r w:rsidRPr="000618ED">
        <w:rPr>
          <w:rFonts w:ascii="Times" w:hAnsi="Times" w:cs="Times"/>
          <w:i/>
          <w:iCs/>
          <w:sz w:val="22"/>
          <w:szCs w:val="22"/>
        </w:rPr>
        <w:t>.</w:t>
      </w:r>
      <w:bookmarkEnd w:id="4"/>
    </w:p>
    <w:p w14:paraId="500B4F57" w14:textId="1AC13596" w:rsidR="000D0955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This paper discusses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related to the SL </w:t>
      </w:r>
      <w:r w:rsidR="00913B3B">
        <w:rPr>
          <w:rFonts w:eastAsiaTheme="minorEastAsia"/>
          <w:color w:val="000000"/>
          <w:sz w:val="22"/>
          <w:szCs w:val="22"/>
          <w:lang w:eastAsia="zh-CN"/>
        </w:rPr>
        <w:t>limitations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in the unlicensed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/>
          <w:sz w:val="22"/>
          <w:szCs w:val="22"/>
          <w:lang w:eastAsia="zh-CN"/>
        </w:rPr>
        <w:t>spectrum</w:t>
      </w:r>
      <w:r w:rsidR="00913B3B">
        <w:rPr>
          <w:rFonts w:eastAsiaTheme="minorEastAsia"/>
          <w:color w:val="000000"/>
          <w:sz w:val="22"/>
          <w:szCs w:val="22"/>
          <w:lang w:eastAsia="zh-CN"/>
        </w:rPr>
        <w:t>, particularly band n96 and proposes a related WID update</w:t>
      </w:r>
      <w:r>
        <w:rPr>
          <w:rFonts w:eastAsiaTheme="minorEastAsia"/>
          <w:color w:val="000000"/>
          <w:sz w:val="22"/>
          <w:szCs w:val="22"/>
          <w:lang w:eastAsia="zh-CN"/>
        </w:rPr>
        <w:t>.</w:t>
      </w:r>
    </w:p>
    <w:p w14:paraId="4382A01C" w14:textId="2986AE37" w:rsidR="006029B2" w:rsidRDefault="001865EB" w:rsidP="006029B2">
      <w:pPr>
        <w:pStyle w:val="Heading1"/>
      </w:pPr>
      <w:r>
        <w:rPr>
          <w:lang w:val="en-US"/>
        </w:rPr>
        <w:t xml:space="preserve">Limitations of Band n96 </w:t>
      </w:r>
      <w:r w:rsidR="00B5255F">
        <w:rPr>
          <w:lang w:val="en-US"/>
        </w:rPr>
        <w:t>Device</w:t>
      </w:r>
      <w:r w:rsidR="00773BEB">
        <w:rPr>
          <w:lang w:val="en-US"/>
        </w:rPr>
        <w:t>-t</w:t>
      </w:r>
      <w:r w:rsidR="00B5255F">
        <w:rPr>
          <w:lang w:val="en-US"/>
        </w:rPr>
        <w:t>o</w:t>
      </w:r>
      <w:r w:rsidR="00773BEB">
        <w:rPr>
          <w:lang w:val="en-US"/>
        </w:rPr>
        <w:t>-</w:t>
      </w:r>
      <w:r w:rsidR="00B5255F">
        <w:rPr>
          <w:lang w:val="en-US"/>
        </w:rPr>
        <w:t>Device communications</w:t>
      </w:r>
      <w:r>
        <w:rPr>
          <w:lang w:val="en-US"/>
        </w:rPr>
        <w:t>.</w:t>
      </w:r>
    </w:p>
    <w:p w14:paraId="6D8A8286" w14:textId="75B289BE" w:rsidR="00E44BB1" w:rsidRDefault="00E44BB1" w:rsidP="00E44BB1">
      <w:pPr>
        <w:jc w:val="center"/>
      </w:pPr>
    </w:p>
    <w:p w14:paraId="7FAEC7AE" w14:textId="332BF379" w:rsidR="002225F8" w:rsidRDefault="009F0501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FCC issued the ruling on the use of 6GHz spectrum for unlicensed operation [</w:t>
      </w:r>
      <w:r w:rsidR="00D629AC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>].</w:t>
      </w:r>
    </w:p>
    <w:p w14:paraId="223C037B" w14:textId="735E4C30" w:rsidR="00E136ED" w:rsidRDefault="00E136ED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39DCAB9" w14:textId="3E96A657" w:rsidR="00E136ED" w:rsidRDefault="00EA22C7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Accordingly, 4 new U-NII 5/6/7/8 bands were defined</w:t>
      </w:r>
      <w:r w:rsidR="00E136ED">
        <w:rPr>
          <w:rFonts w:eastAsiaTheme="minorEastAsia"/>
          <w:sz w:val="22"/>
          <w:szCs w:val="22"/>
          <w:lang w:eastAsia="zh-CN"/>
        </w:rPr>
        <w:t xml:space="preserve">. </w:t>
      </w:r>
      <w:r w:rsidR="00EB6427">
        <w:rPr>
          <w:rFonts w:eastAsiaTheme="minorEastAsia"/>
          <w:sz w:val="22"/>
          <w:szCs w:val="22"/>
          <w:lang w:eastAsia="zh-CN"/>
        </w:rPr>
        <w:t>More details are provided in the appendix</w:t>
      </w:r>
    </w:p>
    <w:p w14:paraId="1B4C90A5" w14:textId="783A77BF" w:rsidR="00410459" w:rsidRPr="00410459" w:rsidRDefault="00EA22C7" w:rsidP="00410459">
      <w:pPr>
        <w:jc w:val="center"/>
      </w:pPr>
      <w:r>
        <w:rPr>
          <w:noProof/>
        </w:rPr>
        <w:drawing>
          <wp:inline distT="0" distB="0" distL="0" distR="0" wp14:anchorId="7610E23B" wp14:editId="5EE8DD3C">
            <wp:extent cx="6332220" cy="704193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66"/>
                    <a:stretch/>
                  </pic:blipFill>
                  <pic:spPr bwMode="auto">
                    <a:xfrm>
                      <a:off x="0" y="0"/>
                      <a:ext cx="6332220" cy="704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92D7F" w14:textId="1B72ACDE" w:rsidR="00E136ED" w:rsidRDefault="00E136ED" w:rsidP="00E136ED">
      <w:pPr>
        <w:jc w:val="center"/>
      </w:pPr>
    </w:p>
    <w:p w14:paraId="3A4840E7" w14:textId="7266EDD2" w:rsidR="00E136ED" w:rsidRDefault="00E136ED" w:rsidP="00E136ED">
      <w:pPr>
        <w:jc w:val="center"/>
      </w:pPr>
      <w:r>
        <w:t xml:space="preserve">Figure 1. </w:t>
      </w:r>
      <w:r w:rsidR="00EA22C7">
        <w:t>US 6 GHz spectrum. U-NII bands allocation.</w:t>
      </w:r>
    </w:p>
    <w:p w14:paraId="0BBFE749" w14:textId="5C188F4B" w:rsidR="00C13FD8" w:rsidRDefault="00C13FD8" w:rsidP="00410459"/>
    <w:p w14:paraId="7352AD4B" w14:textId="45CEFACD" w:rsidR="006A1366" w:rsidRDefault="006A1366" w:rsidP="00410459">
      <w:pPr>
        <w:rPr>
          <w:b/>
          <w:bCs/>
        </w:rPr>
      </w:pPr>
    </w:p>
    <w:p w14:paraId="30785B52" w14:textId="5DD5E2C8" w:rsidR="006A1366" w:rsidRDefault="006A1366" w:rsidP="00410459">
      <w:pPr>
        <w:rPr>
          <w:i/>
          <w:iCs/>
        </w:rPr>
      </w:pPr>
      <w:r w:rsidRPr="006A1366">
        <w:rPr>
          <w:i/>
          <w:iCs/>
        </w:rPr>
        <w:t>2.</w:t>
      </w:r>
      <w:r w:rsidR="00A16349">
        <w:rPr>
          <w:i/>
          <w:iCs/>
        </w:rPr>
        <w:t>1</w:t>
      </w:r>
      <w:r w:rsidRPr="006A1366">
        <w:rPr>
          <w:i/>
          <w:iCs/>
        </w:rPr>
        <w:t xml:space="preserve"> Client to Client communication</w:t>
      </w:r>
      <w:r w:rsidR="000263BC">
        <w:rPr>
          <w:i/>
          <w:iCs/>
        </w:rPr>
        <w:t xml:space="preserve">. US </w:t>
      </w:r>
      <w:r w:rsidR="008A4B89">
        <w:rPr>
          <w:i/>
          <w:iCs/>
        </w:rPr>
        <w:t>FCC Regulations</w:t>
      </w:r>
      <w:r w:rsidR="000263BC">
        <w:rPr>
          <w:i/>
          <w:iCs/>
        </w:rPr>
        <w:t>.</w:t>
      </w:r>
    </w:p>
    <w:p w14:paraId="381A75B4" w14:textId="2C67BC4E" w:rsidR="007E5BC4" w:rsidRDefault="006A1366" w:rsidP="00410459">
      <w:r w:rsidRPr="006A1366">
        <w:t xml:space="preserve">FCC </w:t>
      </w:r>
      <w:r>
        <w:t>prohibits direct connection of a client (</w:t>
      </w:r>
      <w:proofErr w:type="gramStart"/>
      <w:r>
        <w:t>e.g.</w:t>
      </w:r>
      <w:proofErr w:type="gramEnd"/>
      <w:r>
        <w:t xml:space="preserve"> STA or UE) to another client for U-NII</w:t>
      </w:r>
      <w:r w:rsidR="00191C05">
        <w:t xml:space="preserve"> </w:t>
      </w:r>
      <w:r w:rsidR="007E5BC4">
        <w:t>5, 6, 7, 8</w:t>
      </w:r>
      <w:r w:rsidR="00D629AC">
        <w:t xml:space="preserve"> [2]</w:t>
      </w:r>
      <w:r w:rsidR="007E5BC4">
        <w:t>.</w:t>
      </w:r>
    </w:p>
    <w:p w14:paraId="25856C90" w14:textId="0AA29DA4" w:rsidR="00191C05" w:rsidRDefault="00191C05" w:rsidP="00410459"/>
    <w:p w14:paraId="4827107A" w14:textId="78D3299A" w:rsidR="00191C05" w:rsidRPr="008A4B89" w:rsidRDefault="00191C05" w:rsidP="00191C05">
      <w:pPr>
        <w:autoSpaceDE w:val="0"/>
        <w:autoSpaceDN w:val="0"/>
        <w:adjustRightInd w:val="0"/>
        <w:rPr>
          <w:rFonts w:eastAsiaTheme="minorEastAsia"/>
          <w:i/>
          <w:iCs/>
          <w:color w:val="FF0000"/>
          <w:sz w:val="22"/>
          <w:szCs w:val="22"/>
          <w:lang w:eastAsia="zh-CN"/>
        </w:rPr>
      </w:pPr>
      <w:r w:rsidRPr="008A4B89">
        <w:rPr>
          <w:rFonts w:eastAsiaTheme="minorEastAsia"/>
          <w:i/>
          <w:iCs/>
          <w:sz w:val="22"/>
          <w:szCs w:val="22"/>
          <w:lang w:eastAsia="zh-CN"/>
        </w:rPr>
        <w:t xml:space="preserve">(5) </w:t>
      </w:r>
      <w:r w:rsidRPr="008A4B89">
        <w:rPr>
          <w:rFonts w:eastAsiaTheme="minorEastAsia"/>
          <w:i/>
          <w:iCs/>
          <w:color w:val="FF0000"/>
          <w:sz w:val="22"/>
          <w:szCs w:val="22"/>
          <w:lang w:eastAsia="zh-CN"/>
        </w:rPr>
        <w:t>In the 5.925-7.125 GHz band, client devices, except fixed client devices, must operate under the control of a standard power access</w:t>
      </w:r>
      <w:r w:rsidR="002F0C43" w:rsidRPr="008A4B89">
        <w:rPr>
          <w:rFonts w:eastAsiaTheme="minorEastAsia"/>
          <w:i/>
          <w:iCs/>
          <w:color w:val="FF0000"/>
          <w:sz w:val="22"/>
          <w:szCs w:val="22"/>
          <w:lang w:eastAsia="zh-CN"/>
        </w:rPr>
        <w:t xml:space="preserve"> </w:t>
      </w:r>
      <w:r w:rsidRPr="008A4B89">
        <w:rPr>
          <w:rFonts w:eastAsiaTheme="minorEastAsia"/>
          <w:i/>
          <w:iCs/>
          <w:color w:val="FF0000"/>
          <w:sz w:val="22"/>
          <w:szCs w:val="22"/>
          <w:lang w:eastAsia="zh-CN"/>
        </w:rPr>
        <w:t>point</w:t>
      </w:r>
      <w:r w:rsidRPr="008A4B89">
        <w:rPr>
          <w:rFonts w:eastAsiaTheme="minorEastAsia"/>
          <w:i/>
          <w:iCs/>
          <w:sz w:val="22"/>
          <w:szCs w:val="22"/>
          <w:lang w:eastAsia="zh-CN"/>
        </w:rPr>
        <w:t>, indoor access point or subordinate devices; Subordinate devices must operate under the control of an indoor access point.</w:t>
      </w:r>
    </w:p>
    <w:p w14:paraId="1B866171" w14:textId="3AAFBA1A" w:rsidR="00191C05" w:rsidRPr="008A4B89" w:rsidRDefault="00191C05" w:rsidP="002F0C43">
      <w:pPr>
        <w:autoSpaceDE w:val="0"/>
        <w:autoSpaceDN w:val="0"/>
        <w:adjustRightInd w:val="0"/>
        <w:rPr>
          <w:rFonts w:eastAsiaTheme="minorEastAsia"/>
          <w:i/>
          <w:iCs/>
          <w:sz w:val="22"/>
          <w:szCs w:val="22"/>
          <w:lang w:eastAsia="zh-CN"/>
        </w:rPr>
      </w:pPr>
      <w:r w:rsidRPr="008A4B89">
        <w:rPr>
          <w:rFonts w:eastAsiaTheme="minorEastAsia"/>
          <w:i/>
          <w:iCs/>
          <w:sz w:val="22"/>
          <w:szCs w:val="22"/>
          <w:lang w:eastAsia="zh-CN"/>
        </w:rPr>
        <w:t>In all cases, an exception exists for transmitting brief messages to an access point when attempting to join its network after</w:t>
      </w:r>
      <w:r w:rsidR="002F0C43" w:rsidRPr="008A4B89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Pr="008A4B89">
        <w:rPr>
          <w:rFonts w:eastAsiaTheme="minorEastAsia"/>
          <w:i/>
          <w:iCs/>
          <w:sz w:val="22"/>
          <w:szCs w:val="22"/>
          <w:lang w:eastAsia="zh-CN"/>
        </w:rPr>
        <w:t>detecting a signal that confirms that an access point is operating on a particular channel. Access points and subordinate devices</w:t>
      </w:r>
      <w:r w:rsidR="002F0C43" w:rsidRPr="008A4B89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Pr="008A4B89">
        <w:rPr>
          <w:rFonts w:eastAsiaTheme="minorEastAsia"/>
          <w:i/>
          <w:iCs/>
          <w:sz w:val="22"/>
          <w:szCs w:val="22"/>
          <w:lang w:eastAsia="zh-CN"/>
        </w:rPr>
        <w:t xml:space="preserve">may connect to other access points or subordinate devices. </w:t>
      </w:r>
      <w:r w:rsidRPr="008A4B89">
        <w:rPr>
          <w:rFonts w:eastAsiaTheme="minorEastAsia"/>
          <w:i/>
          <w:iCs/>
          <w:color w:val="FF0000"/>
          <w:sz w:val="22"/>
          <w:szCs w:val="22"/>
          <w:lang w:eastAsia="zh-CN"/>
        </w:rPr>
        <w:t>Client devices are prohibited from connecting directly to another client</w:t>
      </w:r>
      <w:r w:rsidR="002F0C43" w:rsidRPr="008A4B89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Pr="008A4B89">
        <w:rPr>
          <w:rFonts w:eastAsiaTheme="minorEastAsia"/>
          <w:i/>
          <w:iCs/>
          <w:color w:val="FF0000"/>
          <w:sz w:val="22"/>
          <w:szCs w:val="22"/>
          <w:lang w:eastAsia="zh-CN"/>
        </w:rPr>
        <w:t>device.</w:t>
      </w:r>
    </w:p>
    <w:p w14:paraId="45E55E4A" w14:textId="77777777" w:rsidR="002B0329" w:rsidRDefault="002B0329" w:rsidP="00410459"/>
    <w:p w14:paraId="4D695030" w14:textId="59EA6BCB" w:rsidR="00191C05" w:rsidRDefault="00191C05" w:rsidP="00410459">
      <w:r>
        <w:lastRenderedPageBreak/>
        <w:t>Accordingly</w:t>
      </w:r>
      <w:r w:rsidR="00A67A5F">
        <w:t>,</w:t>
      </w:r>
      <w:r>
        <w:t xml:space="preserve"> SL-U operation is not supported in US 5.925-7.125GHz (U-NII 5, </w:t>
      </w:r>
      <w:r w:rsidR="002B0329">
        <w:t>6</w:t>
      </w:r>
      <w:r>
        <w:t>, 7, 8) bands.</w:t>
      </w:r>
    </w:p>
    <w:p w14:paraId="41EF2E24" w14:textId="514133B4" w:rsidR="007E5BC4" w:rsidRDefault="00191C05" w:rsidP="00410459">
      <w:r>
        <w:t xml:space="preserve"> </w:t>
      </w:r>
    </w:p>
    <w:p w14:paraId="50E57721" w14:textId="348314C6" w:rsidR="007E5BC4" w:rsidRDefault="007E5BC4" w:rsidP="007E5BC4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 w:rsidR="009A5A74">
        <w:rPr>
          <w:b/>
          <w:bCs/>
        </w:rPr>
        <w:t>1</w:t>
      </w:r>
      <w:r w:rsidRPr="00C13FD8">
        <w:rPr>
          <w:b/>
          <w:bCs/>
        </w:rPr>
        <w:t xml:space="preserve">: </w:t>
      </w:r>
      <w:r w:rsidR="00191C05">
        <w:rPr>
          <w:b/>
          <w:bCs/>
        </w:rPr>
        <w:t>D</w:t>
      </w:r>
      <w:r>
        <w:rPr>
          <w:b/>
          <w:bCs/>
        </w:rPr>
        <w:t xml:space="preserve">evice to device </w:t>
      </w:r>
      <w:r w:rsidR="003738D1">
        <w:rPr>
          <w:b/>
          <w:bCs/>
        </w:rPr>
        <w:t xml:space="preserve">operation </w:t>
      </w:r>
      <w:r>
        <w:rPr>
          <w:b/>
          <w:bCs/>
        </w:rPr>
        <w:t xml:space="preserve">is </w:t>
      </w:r>
      <w:r w:rsidR="00191C05">
        <w:rPr>
          <w:b/>
          <w:bCs/>
        </w:rPr>
        <w:t xml:space="preserve">not supported in </w:t>
      </w:r>
      <w:r w:rsidR="00D629AC">
        <w:rPr>
          <w:b/>
          <w:bCs/>
        </w:rPr>
        <w:t xml:space="preserve">US </w:t>
      </w:r>
      <w:r w:rsidR="00D629AC">
        <w:rPr>
          <w:b/>
          <w:bCs/>
        </w:rPr>
        <w:t>bands U-NII 5/6/7/8</w:t>
      </w:r>
      <w:r w:rsidR="00D629AC">
        <w:rPr>
          <w:b/>
          <w:bCs/>
        </w:rPr>
        <w:t>, 5.925-7.125 GHz spectrum</w:t>
      </w:r>
      <w:r>
        <w:rPr>
          <w:b/>
          <w:bCs/>
        </w:rPr>
        <w:t>.</w:t>
      </w:r>
      <w:r w:rsidRPr="00C13FD8">
        <w:rPr>
          <w:b/>
          <w:bCs/>
        </w:rPr>
        <w:t xml:space="preserve"> </w:t>
      </w:r>
    </w:p>
    <w:p w14:paraId="6AB1BB1D" w14:textId="6A2253A1" w:rsidR="006A1366" w:rsidRPr="006A1366" w:rsidRDefault="007E5BC4" w:rsidP="00410459">
      <w:r>
        <w:t xml:space="preserve"> </w:t>
      </w:r>
    </w:p>
    <w:p w14:paraId="5AB4C0CA" w14:textId="0DA06613" w:rsidR="000263BC" w:rsidRDefault="000263BC" w:rsidP="000263BC">
      <w:pPr>
        <w:rPr>
          <w:i/>
          <w:iCs/>
        </w:rPr>
      </w:pPr>
      <w:r w:rsidRPr="006A1366">
        <w:rPr>
          <w:i/>
          <w:iCs/>
        </w:rPr>
        <w:t>2.</w:t>
      </w:r>
      <w:r>
        <w:rPr>
          <w:i/>
          <w:iCs/>
        </w:rPr>
        <w:t>2</w:t>
      </w:r>
      <w:r w:rsidRPr="006A1366">
        <w:rPr>
          <w:i/>
          <w:iCs/>
        </w:rPr>
        <w:t xml:space="preserve"> Client to Client communication</w:t>
      </w:r>
      <w:r>
        <w:rPr>
          <w:i/>
          <w:iCs/>
        </w:rPr>
        <w:t xml:space="preserve">. </w:t>
      </w:r>
      <w:r>
        <w:rPr>
          <w:i/>
          <w:iCs/>
        </w:rPr>
        <w:t>Canada</w:t>
      </w:r>
      <w:r w:rsidR="008A4B89">
        <w:rPr>
          <w:i/>
          <w:iCs/>
        </w:rPr>
        <w:t xml:space="preserve"> ISED Regulations</w:t>
      </w:r>
      <w:r>
        <w:rPr>
          <w:i/>
          <w:iCs/>
        </w:rPr>
        <w:t>.</w:t>
      </w:r>
    </w:p>
    <w:p w14:paraId="6873BC15" w14:textId="77777777" w:rsidR="008A4B89" w:rsidRDefault="008A4B89" w:rsidP="003738D1">
      <w:r>
        <w:t>Canada’s unlicensed 6 GHz band are open to public discussions, up to 07/15/2022</w:t>
      </w:r>
      <w:r w:rsidR="00191C05">
        <w:t>.</w:t>
      </w:r>
      <w:r>
        <w:t xml:space="preserve"> Based on the actual proposal, </w:t>
      </w:r>
      <w:proofErr w:type="gramStart"/>
      <w:r>
        <w:t>opened up</w:t>
      </w:r>
      <w:proofErr w:type="gramEnd"/>
      <w:r>
        <w:t xml:space="preserve"> for </w:t>
      </w:r>
      <w:proofErr w:type="spellStart"/>
      <w:r>
        <w:t>discusssions</w:t>
      </w:r>
      <w:proofErr w:type="spellEnd"/>
      <w:r>
        <w:t xml:space="preserve"> [3]:</w:t>
      </w:r>
    </w:p>
    <w:p w14:paraId="096D2105" w14:textId="77777777" w:rsidR="008A4B89" w:rsidRDefault="008A4B89" w:rsidP="003738D1"/>
    <w:p w14:paraId="07EEAFAA" w14:textId="77777777" w:rsidR="008A4B89" w:rsidRDefault="008A4B89" w:rsidP="008A4B89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Section #4.7.1 </w:t>
      </w:r>
    </w:p>
    <w:p w14:paraId="4D0B64C5" w14:textId="0B639F9B" w:rsidR="008A4B89" w:rsidRPr="008A4B89" w:rsidRDefault="008A4B89" w:rsidP="008A4B89">
      <w:pPr>
        <w:rPr>
          <w:i/>
          <w:iCs/>
          <w:sz w:val="22"/>
          <w:szCs w:val="22"/>
        </w:rPr>
      </w:pPr>
      <w:r w:rsidRPr="008A4B89">
        <w:rPr>
          <w:i/>
          <w:iCs/>
          <w:sz w:val="22"/>
          <w:szCs w:val="22"/>
        </w:rPr>
        <w:t>Low-power indoor access points, indoor subordinate devices, and low-power client</w:t>
      </w:r>
    </w:p>
    <w:p w14:paraId="733722CD" w14:textId="770E4CFC" w:rsidR="005F3BBC" w:rsidRDefault="008A4B89" w:rsidP="008A4B89">
      <w:pPr>
        <w:rPr>
          <w:i/>
          <w:iCs/>
          <w:sz w:val="22"/>
          <w:szCs w:val="22"/>
        </w:rPr>
      </w:pPr>
      <w:r w:rsidRPr="008A4B89">
        <w:rPr>
          <w:i/>
          <w:iCs/>
          <w:sz w:val="22"/>
          <w:szCs w:val="22"/>
        </w:rPr>
        <w:t>devices shall employ a contention-based protocol.</w:t>
      </w:r>
      <w:r w:rsidR="00191C05" w:rsidRPr="008A4B89">
        <w:rPr>
          <w:i/>
          <w:iCs/>
          <w:sz w:val="22"/>
          <w:szCs w:val="22"/>
        </w:rPr>
        <w:t xml:space="preserve"> </w:t>
      </w:r>
    </w:p>
    <w:p w14:paraId="7AAC68E3" w14:textId="4340CAB8" w:rsidR="005B4476" w:rsidRDefault="005B4476" w:rsidP="008A4B89">
      <w:pPr>
        <w:rPr>
          <w:i/>
          <w:iCs/>
          <w:sz w:val="22"/>
          <w:szCs w:val="22"/>
        </w:rPr>
      </w:pPr>
    </w:p>
    <w:p w14:paraId="52409CD9" w14:textId="3C143683" w:rsidR="005B4476" w:rsidRDefault="005B4476" w:rsidP="005B4476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>
        <w:rPr>
          <w:b/>
          <w:bCs/>
        </w:rPr>
        <w:t>2</w:t>
      </w:r>
      <w:r w:rsidRPr="00C13FD8">
        <w:rPr>
          <w:b/>
          <w:bCs/>
        </w:rPr>
        <w:t xml:space="preserve">: </w:t>
      </w:r>
      <w:r>
        <w:rPr>
          <w:b/>
          <w:bCs/>
        </w:rPr>
        <w:t xml:space="preserve">Device to device operation is not supported in </w:t>
      </w:r>
      <w:r>
        <w:rPr>
          <w:b/>
          <w:bCs/>
        </w:rPr>
        <w:t>Canada’s</w:t>
      </w:r>
      <w:r>
        <w:rPr>
          <w:b/>
          <w:bCs/>
        </w:rPr>
        <w:t xml:space="preserve"> bands U-NII 5/6/7/8, 5.925-7.125 GHz spectrum.</w:t>
      </w:r>
      <w:r w:rsidRPr="00C13FD8">
        <w:rPr>
          <w:b/>
          <w:bCs/>
        </w:rPr>
        <w:t xml:space="preserve"> </w:t>
      </w:r>
    </w:p>
    <w:p w14:paraId="3934F54C" w14:textId="3FB33E86" w:rsidR="005B4476" w:rsidRDefault="005B4476" w:rsidP="008A4B89">
      <w:pPr>
        <w:rPr>
          <w:i/>
          <w:iCs/>
          <w:sz w:val="22"/>
          <w:szCs w:val="22"/>
        </w:rPr>
      </w:pPr>
    </w:p>
    <w:p w14:paraId="7E511A45" w14:textId="77777777" w:rsidR="005B4476" w:rsidRDefault="005B4476" w:rsidP="008A4B89">
      <w:r>
        <w:t>Another SL-U related regulation concerns the vehicular applications, which are prohibited in this band”</w:t>
      </w:r>
    </w:p>
    <w:p w14:paraId="446EBCD0" w14:textId="77777777" w:rsidR="005B4476" w:rsidRPr="005B4476" w:rsidRDefault="005B4476" w:rsidP="008A4B89">
      <w:pPr>
        <w:rPr>
          <w:i/>
          <w:iCs/>
          <w:sz w:val="22"/>
          <w:szCs w:val="22"/>
        </w:rPr>
      </w:pPr>
      <w:r w:rsidRPr="005B4476">
        <w:rPr>
          <w:i/>
          <w:iCs/>
          <w:sz w:val="22"/>
          <w:szCs w:val="22"/>
        </w:rPr>
        <w:t>Section #4.8.2</w:t>
      </w:r>
    </w:p>
    <w:p w14:paraId="5A727352" w14:textId="22098A6F" w:rsidR="005B4476" w:rsidRPr="005B4476" w:rsidRDefault="005B4476" w:rsidP="005B4476">
      <w:pPr>
        <w:rPr>
          <w:i/>
          <w:iCs/>
          <w:sz w:val="22"/>
          <w:szCs w:val="22"/>
        </w:rPr>
      </w:pPr>
      <w:r w:rsidRPr="005B4476">
        <w:rPr>
          <w:i/>
          <w:iCs/>
          <w:sz w:val="22"/>
          <w:szCs w:val="22"/>
        </w:rPr>
        <w:t>Standard client devices and low-power client devices shall not connect directly to</w:t>
      </w:r>
      <w:r>
        <w:rPr>
          <w:i/>
          <w:iCs/>
          <w:sz w:val="22"/>
          <w:szCs w:val="22"/>
        </w:rPr>
        <w:t xml:space="preserve"> </w:t>
      </w:r>
      <w:r w:rsidRPr="005B4476">
        <w:rPr>
          <w:i/>
          <w:iCs/>
          <w:sz w:val="22"/>
          <w:szCs w:val="22"/>
        </w:rPr>
        <w:t xml:space="preserve">another standard client device or low-power client </w:t>
      </w:r>
      <w:proofErr w:type="gramStart"/>
      <w:r w:rsidRPr="005B4476">
        <w:rPr>
          <w:i/>
          <w:iCs/>
          <w:sz w:val="22"/>
          <w:szCs w:val="22"/>
        </w:rPr>
        <w:t>device;</w:t>
      </w:r>
      <w:r>
        <w:rPr>
          <w:i/>
          <w:iCs/>
          <w:sz w:val="22"/>
          <w:szCs w:val="22"/>
        </w:rPr>
        <w:t>…</w:t>
      </w:r>
      <w:proofErr w:type="gramEnd"/>
      <w:r w:rsidRPr="005B4476">
        <w:rPr>
          <w:i/>
          <w:iCs/>
          <w:sz w:val="22"/>
          <w:szCs w:val="22"/>
        </w:rPr>
        <w:t xml:space="preserve"> </w:t>
      </w:r>
    </w:p>
    <w:p w14:paraId="1F70906A" w14:textId="3C61018F" w:rsidR="00B056F5" w:rsidRDefault="00B056F5" w:rsidP="003738D1"/>
    <w:p w14:paraId="4CB0ED18" w14:textId="1DBF9CE7" w:rsidR="00B056F5" w:rsidRDefault="00B056F5" w:rsidP="00B056F5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 w:rsidR="005B4476">
        <w:rPr>
          <w:b/>
          <w:bCs/>
        </w:rPr>
        <w:t>3</w:t>
      </w:r>
      <w:r w:rsidRPr="00C13FD8">
        <w:rPr>
          <w:b/>
          <w:bCs/>
        </w:rPr>
        <w:t xml:space="preserve">: </w:t>
      </w:r>
      <w:r w:rsidR="005B4476">
        <w:rPr>
          <w:b/>
          <w:bCs/>
        </w:rPr>
        <w:t>Vehicular operation is not supported in Canada’s bands U-NII 5/6/7/8 5.925-7.125GHz spectrum</w:t>
      </w:r>
    </w:p>
    <w:p w14:paraId="0F864D5E" w14:textId="2E52C09A" w:rsidR="00B056F5" w:rsidRDefault="00B056F5" w:rsidP="00B056F5">
      <w:pPr>
        <w:rPr>
          <w:b/>
          <w:bCs/>
        </w:rPr>
      </w:pPr>
    </w:p>
    <w:p w14:paraId="37B3A94A" w14:textId="08A08A78" w:rsidR="00B056F5" w:rsidRDefault="00B056F5" w:rsidP="00B056F5">
      <w:r w:rsidRPr="00B056F5">
        <w:t>Based o</w:t>
      </w:r>
      <w:r>
        <w:t>n all the above limitations, it appears that out-of-coverage SL-U operation</w:t>
      </w:r>
      <w:r w:rsidR="00D31BE0">
        <w:t xml:space="preserve"> (Mode 2)</w:t>
      </w:r>
      <w:r>
        <w:t xml:space="preserve"> is not permitted </w:t>
      </w:r>
      <w:r w:rsidR="00D31BE0">
        <w:t>neither in US nor in Canada</w:t>
      </w:r>
      <w:r w:rsidR="00D31BE0">
        <w:rPr>
          <w:rStyle w:val="FootnoteReference"/>
        </w:rPr>
        <w:footnoteReference w:id="1"/>
      </w:r>
      <w:r>
        <w:t xml:space="preserve"> in </w:t>
      </w:r>
      <w:r w:rsidR="00D31BE0">
        <w:t>the un-licensed</w:t>
      </w:r>
      <w:r>
        <w:t xml:space="preserve"> </w:t>
      </w:r>
      <w:r w:rsidR="00D31BE0">
        <w:t>5.925-7.125 GHz</w:t>
      </w:r>
      <w:r>
        <w:t xml:space="preserve"> </w:t>
      </w:r>
      <w:r w:rsidR="00D31BE0">
        <w:t>spectrum</w:t>
      </w:r>
      <w:r>
        <w:t>.</w:t>
      </w:r>
    </w:p>
    <w:p w14:paraId="13EF754F" w14:textId="77777777" w:rsidR="00D31BE0" w:rsidRDefault="00D31BE0" w:rsidP="00B056F5">
      <w:pPr>
        <w:rPr>
          <w:b/>
          <w:bCs/>
          <w:lang w:eastAsia="ja-JP"/>
        </w:rPr>
      </w:pPr>
    </w:p>
    <w:p w14:paraId="43467BEE" w14:textId="6FE38524" w:rsidR="00B056F5" w:rsidRDefault="00D31BE0" w:rsidP="00B056F5">
      <w:r w:rsidRPr="00D30AF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D30AF9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The </w:t>
      </w:r>
      <w:proofErr w:type="spellStart"/>
      <w:r>
        <w:rPr>
          <w:b/>
          <w:bCs/>
          <w:lang w:eastAsia="ja-JP"/>
        </w:rPr>
        <w:t>Sidelink</w:t>
      </w:r>
      <w:proofErr w:type="spellEnd"/>
      <w:r>
        <w:rPr>
          <w:b/>
          <w:bCs/>
          <w:lang w:eastAsia="ja-JP"/>
        </w:rPr>
        <w:t xml:space="preserve"> Rel 18 WID shall not reference band n96, since </w:t>
      </w:r>
      <w:r w:rsidR="00366CBA" w:rsidRPr="00C713C1">
        <w:rPr>
          <w:b/>
          <w:bCs/>
          <w:color w:val="000000" w:themeColor="text1"/>
          <w:lang w:eastAsia="ja-JP"/>
        </w:rPr>
        <w:t>device-to-device communication</w:t>
      </w:r>
      <w:r w:rsidR="00EB6427">
        <w:rPr>
          <w:b/>
          <w:bCs/>
          <w:lang w:eastAsia="ja-JP"/>
        </w:rPr>
        <w:t xml:space="preserve"> operation is not supported </w:t>
      </w:r>
      <w:r w:rsidR="003D4DC3">
        <w:rPr>
          <w:b/>
          <w:bCs/>
          <w:lang w:eastAsia="ja-JP"/>
        </w:rPr>
        <w:t>under current</w:t>
      </w:r>
      <w:r w:rsidR="00EB6427">
        <w:rPr>
          <w:b/>
          <w:bCs/>
          <w:lang w:eastAsia="ja-JP"/>
        </w:rPr>
        <w:t xml:space="preserve"> US and Canada</w:t>
      </w:r>
      <w:r w:rsidR="003D4DC3">
        <w:rPr>
          <w:b/>
          <w:bCs/>
          <w:lang w:eastAsia="ja-JP"/>
        </w:rPr>
        <w:t xml:space="preserve"> regulations.</w:t>
      </w:r>
    </w:p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279D55B6" w:rsidR="000618ED" w:rsidRDefault="000618ED" w:rsidP="000618ED">
      <w:pPr>
        <w:pStyle w:val="Heading1"/>
        <w:rPr>
          <w:lang w:val="en-US"/>
        </w:rPr>
      </w:pPr>
      <w:r>
        <w:rPr>
          <w:lang w:val="en-US"/>
        </w:rPr>
        <w:t xml:space="preserve">SL-U </w:t>
      </w:r>
      <w:r w:rsidR="00D31BE0">
        <w:rPr>
          <w:lang w:val="en-US"/>
        </w:rPr>
        <w:t>WID update proposal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63E6B32" w14:textId="4F68F5A6" w:rsidR="00EB6427" w:rsidRDefault="00EB6427" w:rsidP="00EB6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C43E3">
        <w:rPr>
          <w:rFonts w:eastAsiaTheme="minorEastAsia"/>
          <w:lang w:eastAsia="zh-CN"/>
        </w:rPr>
        <w:t xml:space="preserve">objective of </w:t>
      </w:r>
      <w:r>
        <w:rPr>
          <w:rFonts w:eastAsiaTheme="minorEastAsia"/>
          <w:lang w:eastAsia="zh-CN"/>
        </w:rPr>
        <w:t>SL Rel 18 WID [1] should be updated as follows:</w:t>
      </w:r>
    </w:p>
    <w:p w14:paraId="17B6B266" w14:textId="77777777" w:rsidR="00EB6427" w:rsidRDefault="00EB6427" w:rsidP="00EB6427">
      <w:pPr>
        <w:jc w:val="both"/>
        <w:rPr>
          <w:rFonts w:eastAsiaTheme="minorEastAsia"/>
          <w:lang w:eastAsia="zh-CN"/>
        </w:rPr>
      </w:pPr>
    </w:p>
    <w:p w14:paraId="7EE8D84B" w14:textId="385DD76F" w:rsidR="00EB6427" w:rsidRDefault="00EB6427" w:rsidP="00EB6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………………</w:t>
      </w:r>
    </w:p>
    <w:p w14:paraId="29B0DB52" w14:textId="77777777" w:rsidR="00EB6427" w:rsidRPr="004E3261" w:rsidRDefault="00EB6427" w:rsidP="00EB6427">
      <w:pPr>
        <w:pStyle w:val="Heading3"/>
        <w:numPr>
          <w:ilvl w:val="1"/>
          <w:numId w:val="15"/>
        </w:numPr>
        <w:ind w:left="1440" w:hanging="360"/>
        <w:rPr>
          <w:color w:val="0000FF"/>
        </w:rPr>
      </w:pPr>
      <w:r w:rsidRPr="004E3261">
        <w:rPr>
          <w:color w:val="0000FF"/>
        </w:rPr>
        <w:t xml:space="preserve">Objective </w:t>
      </w:r>
      <w:r>
        <w:rPr>
          <w:color w:val="0000FF"/>
        </w:rPr>
        <w:t>of SI or Core part WI or Testing part WI</w:t>
      </w:r>
    </w:p>
    <w:p w14:paraId="495432D0" w14:textId="7C035CFD" w:rsidR="00EB6427" w:rsidRPr="00EB6427" w:rsidRDefault="00F21540" w:rsidP="00F21540">
      <w:pPr>
        <w:overflowPunct w:val="0"/>
        <w:autoSpaceDE w:val="0"/>
        <w:autoSpaceDN w:val="0"/>
        <w:adjustRightInd w:val="0"/>
        <w:spacing w:before="60" w:after="60"/>
        <w:ind w:left="142"/>
        <w:textAlignment w:val="baseline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…………………</w:t>
      </w:r>
    </w:p>
    <w:p w14:paraId="3E2E3625" w14:textId="77777777" w:rsidR="00EB6427" w:rsidRPr="00EB6427" w:rsidRDefault="00EB6427" w:rsidP="00EB642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 xml:space="preserve">Study and specify support of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on unlicensed spectrum for both mode 1 and mode 2 where </w:t>
      </w:r>
      <w:proofErr w:type="spellStart"/>
      <w:r w:rsidRPr="00EB6427">
        <w:rPr>
          <w:rFonts w:ascii="Times" w:hAnsi="Times" w:cs="Times"/>
          <w:sz w:val="22"/>
          <w:szCs w:val="22"/>
        </w:rPr>
        <w:t>Uu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operation for mode 1 is limited to licensed spectrum only [RAN1, RAN2, RAN4]</w:t>
      </w:r>
    </w:p>
    <w:p w14:paraId="0DE00874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 xml:space="preserve">Channel access mechanisms from NR-U shall be reused for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unlicensed operation</w:t>
      </w:r>
    </w:p>
    <w:p w14:paraId="66B109E7" w14:textId="77777777" w:rsidR="00EB6427" w:rsidRPr="00EB6427" w:rsidRDefault="00EB6427" w:rsidP="00EB64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60" w:after="60"/>
        <w:ind w:left="1418" w:hanging="284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 xml:space="preserve">Assess the applicability of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resource reservation from Rel-16/Rel-17 to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unlicensed operation within the boundaries of unlicensed channel access mechanism and operation</w:t>
      </w:r>
    </w:p>
    <w:p w14:paraId="30D5D2DD" w14:textId="77777777" w:rsidR="00EB6427" w:rsidRPr="00EB6427" w:rsidRDefault="00EB6427" w:rsidP="00EB642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>No specific enhancements for Rel-17 resource allocation mechanisms</w:t>
      </w:r>
    </w:p>
    <w:p w14:paraId="16072A00" w14:textId="77777777" w:rsidR="00EB6427" w:rsidRPr="00EB6427" w:rsidRDefault="00EB6427" w:rsidP="00EB642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>If the existing NR-U channel access framework does not support the required SL-U functionality, WGs will make appropriate recommendations for RAN approval.</w:t>
      </w:r>
    </w:p>
    <w:p w14:paraId="2BE300F1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sz w:val="22"/>
          <w:szCs w:val="22"/>
        </w:rPr>
      </w:pPr>
      <w:bookmarkStart w:id="5" w:name="_Hlk89917101"/>
      <w:r w:rsidRPr="00EB6427">
        <w:rPr>
          <w:rFonts w:ascii="Times" w:hAnsi="Times" w:cs="Times"/>
          <w:sz w:val="22"/>
          <w:szCs w:val="22"/>
        </w:rPr>
        <w:t xml:space="preserve">Physical channel design framework: Required changes to NR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physical channel structures and procedures to operate on unlicensed spectrum</w:t>
      </w:r>
      <w:bookmarkEnd w:id="5"/>
    </w:p>
    <w:p w14:paraId="3EA7E735" w14:textId="77777777" w:rsidR="00EB6427" w:rsidRPr="00EB6427" w:rsidRDefault="00EB6427" w:rsidP="00EB64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60" w:after="60"/>
        <w:ind w:left="1418" w:hanging="284"/>
        <w:textAlignment w:val="baseline"/>
        <w:rPr>
          <w:rFonts w:ascii="Times" w:hAnsi="Times" w:cs="Times"/>
          <w:sz w:val="22"/>
          <w:szCs w:val="22"/>
        </w:rPr>
      </w:pPr>
      <w:bookmarkStart w:id="6" w:name="_Hlk89917118"/>
      <w:r w:rsidRPr="00EB6427">
        <w:rPr>
          <w:rFonts w:ascii="Times" w:hAnsi="Times" w:cs="Times"/>
          <w:sz w:val="22"/>
          <w:szCs w:val="22"/>
        </w:rPr>
        <w:lastRenderedPageBreak/>
        <w:t xml:space="preserve">The existing NR </w:t>
      </w:r>
      <w:proofErr w:type="spellStart"/>
      <w:r w:rsidRPr="00EB6427">
        <w:rPr>
          <w:rFonts w:ascii="Times" w:hAnsi="Times" w:cs="Times"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sz w:val="22"/>
          <w:szCs w:val="22"/>
        </w:rPr>
        <w:t xml:space="preserve"> and NR-U channel structure shall be reused </w:t>
      </w:r>
      <w:bookmarkEnd w:id="6"/>
      <w:r w:rsidRPr="00EB6427">
        <w:rPr>
          <w:rFonts w:ascii="Times" w:hAnsi="Times" w:cs="Times"/>
          <w:sz w:val="22"/>
          <w:szCs w:val="22"/>
        </w:rPr>
        <w:t>as the baseline.</w:t>
      </w:r>
    </w:p>
    <w:p w14:paraId="4A5DA4EF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sz w:val="22"/>
          <w:szCs w:val="22"/>
        </w:rPr>
      </w:pPr>
      <w:bookmarkStart w:id="7" w:name="_Hlk89917140"/>
      <w:r w:rsidRPr="00EB6427">
        <w:rPr>
          <w:rFonts w:ascii="Times" w:hAnsi="Times" w:cs="Times"/>
          <w:sz w:val="22"/>
          <w:szCs w:val="22"/>
        </w:rPr>
        <w:t>No specific enhancements for existing NR SL feature</w:t>
      </w:r>
      <w:bookmarkEnd w:id="7"/>
    </w:p>
    <w:p w14:paraId="058D4603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 xml:space="preserve">The study should focus on FR1 unlicensed bands (n46 and </w:t>
      </w:r>
      <w:r w:rsidRPr="00EB6427">
        <w:rPr>
          <w:rFonts w:ascii="Times" w:hAnsi="Times" w:cs="Times"/>
          <w:strike/>
          <w:color w:val="FF0000"/>
          <w:sz w:val="22"/>
          <w:szCs w:val="22"/>
        </w:rPr>
        <w:t>n96</w:t>
      </w:r>
      <w:r w:rsidRPr="00EB6427">
        <w:rPr>
          <w:rFonts w:ascii="Times" w:hAnsi="Times" w:cs="Times"/>
          <w:sz w:val="22"/>
          <w:szCs w:val="22"/>
        </w:rPr>
        <w:t>/n102) and is to be completed by RAN#98.</w:t>
      </w:r>
    </w:p>
    <w:p w14:paraId="1DCBD5FD" w14:textId="6DE029D4" w:rsidR="00EB6427" w:rsidRPr="00EB6427" w:rsidRDefault="00F21540" w:rsidP="00F21540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Cs/>
          <w:sz w:val="22"/>
          <w:szCs w:val="22"/>
        </w:rPr>
      </w:pPr>
      <w:r>
        <w:rPr>
          <w:rFonts w:ascii="Times" w:hAnsi="Times" w:cs="Times"/>
          <w:iCs/>
          <w:sz w:val="22"/>
          <w:szCs w:val="22"/>
        </w:rPr>
        <w:t>……………………….</w:t>
      </w:r>
    </w:p>
    <w:p w14:paraId="2FDCF9D1" w14:textId="77777777" w:rsidR="00EB6427" w:rsidRPr="00EB6427" w:rsidRDefault="00EB6427" w:rsidP="00EB642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iCs/>
          <w:sz w:val="22"/>
          <w:szCs w:val="22"/>
        </w:rPr>
        <w:t xml:space="preserve">UE Tx and Rx RF requirement for supporting new features introduced in this WI, </w:t>
      </w:r>
      <w:proofErr w:type="spellStart"/>
      <w:r w:rsidRPr="00EB6427">
        <w:rPr>
          <w:rFonts w:ascii="Times" w:hAnsi="Times" w:cs="Times"/>
          <w:iCs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iCs/>
          <w:sz w:val="22"/>
          <w:szCs w:val="22"/>
        </w:rPr>
        <w:t xml:space="preserve"> frequency bands for single-carrier operation and frequency band combinations for carrier aggregation operation [RAN4]</w:t>
      </w:r>
    </w:p>
    <w:p w14:paraId="4B689586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iCs/>
          <w:sz w:val="22"/>
          <w:szCs w:val="22"/>
        </w:rPr>
        <w:t>The exact frequency bands for both licensed and ITS-dedicated spectrum in FR1 and FR2 are to be determined based on company input during the WI.</w:t>
      </w:r>
    </w:p>
    <w:p w14:paraId="063D2447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iCs/>
          <w:sz w:val="22"/>
          <w:szCs w:val="22"/>
        </w:rPr>
        <w:t xml:space="preserve">The exact frequency band combinations for both FR1 </w:t>
      </w:r>
      <w:proofErr w:type="gramStart"/>
      <w:r w:rsidRPr="00EB6427">
        <w:rPr>
          <w:rFonts w:ascii="Times" w:hAnsi="Times" w:cs="Times"/>
          <w:iCs/>
          <w:sz w:val="22"/>
          <w:szCs w:val="22"/>
        </w:rPr>
        <w:t>licensed</w:t>
      </w:r>
      <w:proofErr w:type="gramEnd"/>
      <w:r w:rsidRPr="00EB6427">
        <w:rPr>
          <w:rFonts w:ascii="Times" w:hAnsi="Times" w:cs="Times"/>
          <w:iCs/>
          <w:sz w:val="22"/>
          <w:szCs w:val="22"/>
        </w:rPr>
        <w:t xml:space="preserve"> and ITS-dedicated spectrum are to be determined based on company input during the WI.</w:t>
      </w:r>
    </w:p>
    <w:p w14:paraId="72A56F2A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sz w:val="22"/>
          <w:szCs w:val="22"/>
        </w:rPr>
        <w:t xml:space="preserve">Frequency bands for the unlicensed spectrum in FR1 are [n46 and </w:t>
      </w:r>
      <w:r w:rsidRPr="00F21540">
        <w:rPr>
          <w:rFonts w:ascii="Times" w:hAnsi="Times" w:cs="Times"/>
          <w:strike/>
          <w:color w:val="FF0000"/>
          <w:sz w:val="22"/>
          <w:szCs w:val="22"/>
        </w:rPr>
        <w:t>n96</w:t>
      </w:r>
      <w:r w:rsidRPr="00EB6427">
        <w:rPr>
          <w:rFonts w:ascii="Times" w:hAnsi="Times" w:cs="Times"/>
          <w:sz w:val="22"/>
          <w:szCs w:val="22"/>
        </w:rPr>
        <w:t>/n102] (i.e., 5GHz and 6GHz) in accordance with corresponding national regulatory requirements.</w:t>
      </w:r>
    </w:p>
    <w:p w14:paraId="4FA68103" w14:textId="77777777" w:rsidR="00EB6427" w:rsidRPr="00EB6427" w:rsidRDefault="00EB6427" w:rsidP="00EB64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iCs/>
          <w:sz w:val="22"/>
          <w:szCs w:val="22"/>
        </w:rPr>
        <w:t xml:space="preserve">Support of new </w:t>
      </w:r>
      <w:proofErr w:type="spellStart"/>
      <w:r w:rsidRPr="00EB6427">
        <w:rPr>
          <w:rFonts w:ascii="Times" w:hAnsi="Times" w:cs="Times"/>
          <w:iCs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iCs/>
          <w:sz w:val="22"/>
          <w:szCs w:val="22"/>
        </w:rPr>
        <w:t xml:space="preserve"> frequency bands and band combinations should ensure coexistence between </w:t>
      </w:r>
      <w:proofErr w:type="spellStart"/>
      <w:r w:rsidRPr="00EB6427">
        <w:rPr>
          <w:rFonts w:ascii="Times" w:hAnsi="Times" w:cs="Times"/>
          <w:iCs/>
          <w:sz w:val="22"/>
          <w:szCs w:val="22"/>
        </w:rPr>
        <w:t>sidelink</w:t>
      </w:r>
      <w:proofErr w:type="spellEnd"/>
      <w:r w:rsidRPr="00EB6427">
        <w:rPr>
          <w:rFonts w:ascii="Times" w:hAnsi="Times" w:cs="Times"/>
          <w:iCs/>
          <w:sz w:val="22"/>
          <w:szCs w:val="22"/>
        </w:rPr>
        <w:t xml:space="preserve"> and </w:t>
      </w:r>
      <w:proofErr w:type="spellStart"/>
      <w:r w:rsidRPr="00EB6427">
        <w:rPr>
          <w:rFonts w:ascii="Times" w:hAnsi="Times" w:cs="Times"/>
          <w:iCs/>
          <w:sz w:val="22"/>
          <w:szCs w:val="22"/>
        </w:rPr>
        <w:t>Uu</w:t>
      </w:r>
      <w:proofErr w:type="spellEnd"/>
      <w:r w:rsidRPr="00EB6427">
        <w:rPr>
          <w:rFonts w:ascii="Times" w:hAnsi="Times" w:cs="Times"/>
          <w:iCs/>
          <w:sz w:val="22"/>
          <w:szCs w:val="22"/>
        </w:rPr>
        <w:t xml:space="preserve"> interface in the same and adjacent channels in licensed spectrum.</w:t>
      </w:r>
    </w:p>
    <w:p w14:paraId="41B03984" w14:textId="77777777" w:rsidR="00EB6427" w:rsidRPr="00EB6427" w:rsidRDefault="00EB6427" w:rsidP="00EB642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iCs/>
          <w:sz w:val="22"/>
          <w:szCs w:val="22"/>
        </w:rPr>
      </w:pPr>
      <w:r w:rsidRPr="00EB6427">
        <w:rPr>
          <w:rFonts w:ascii="Times" w:hAnsi="Times" w:cs="Times"/>
          <w:iCs/>
          <w:sz w:val="22"/>
          <w:szCs w:val="22"/>
        </w:rPr>
        <w:t>UE RRM core requirement for the new features introduced in this WI [RAN4]</w:t>
      </w:r>
    </w:p>
    <w:p w14:paraId="209B463C" w14:textId="77777777" w:rsidR="00EB6427" w:rsidRPr="00EB6427" w:rsidRDefault="00EB6427" w:rsidP="00EB6427">
      <w:pPr>
        <w:spacing w:before="120"/>
        <w:rPr>
          <w:rFonts w:ascii="Times" w:hAnsi="Times" w:cs="Times"/>
          <w:iCs/>
          <w:sz w:val="22"/>
          <w:szCs w:val="22"/>
        </w:rPr>
      </w:pPr>
    </w:p>
    <w:p w14:paraId="7FE237FF" w14:textId="77777777" w:rsidR="00EB6427" w:rsidRPr="00EB6427" w:rsidRDefault="00EB6427" w:rsidP="00EB6427">
      <w:pPr>
        <w:rPr>
          <w:sz w:val="22"/>
          <w:szCs w:val="22"/>
        </w:rPr>
      </w:pPr>
      <w:r w:rsidRPr="00EB6427">
        <w:rPr>
          <w:sz w:val="22"/>
          <w:szCs w:val="22"/>
        </w:rPr>
        <w:t xml:space="preserve">Rel-18 </w:t>
      </w:r>
      <w:proofErr w:type="spellStart"/>
      <w:r w:rsidRPr="00EB6427">
        <w:rPr>
          <w:sz w:val="22"/>
          <w:szCs w:val="22"/>
        </w:rPr>
        <w:t>sidelink</w:t>
      </w:r>
      <w:proofErr w:type="spellEnd"/>
      <w:r w:rsidRPr="00EB6427">
        <w:rPr>
          <w:sz w:val="22"/>
          <w:szCs w:val="22"/>
        </w:rPr>
        <w:t xml:space="preserve"> should be able to coexist with Rel-16/17 </w:t>
      </w:r>
      <w:proofErr w:type="spellStart"/>
      <w:r w:rsidRPr="00EB6427">
        <w:rPr>
          <w:sz w:val="22"/>
          <w:szCs w:val="22"/>
        </w:rPr>
        <w:t>sidelink</w:t>
      </w:r>
      <w:proofErr w:type="spellEnd"/>
      <w:r w:rsidRPr="00EB6427">
        <w:rPr>
          <w:sz w:val="22"/>
          <w:szCs w:val="22"/>
        </w:rPr>
        <w:t xml:space="preserve"> in the same resource pool. This does not preclude the possibility of operating Rel-18 </w:t>
      </w:r>
      <w:proofErr w:type="spellStart"/>
      <w:r w:rsidRPr="00EB6427">
        <w:rPr>
          <w:sz w:val="22"/>
          <w:szCs w:val="22"/>
        </w:rPr>
        <w:t>sidelink</w:t>
      </w:r>
      <w:proofErr w:type="spellEnd"/>
      <w:r w:rsidRPr="00EB6427">
        <w:rPr>
          <w:sz w:val="22"/>
          <w:szCs w:val="22"/>
        </w:rPr>
        <w:t xml:space="preserve"> in a dedicated resource pool.</w:t>
      </w:r>
    </w:p>
    <w:p w14:paraId="40A58A21" w14:textId="77777777" w:rsidR="00EB6427" w:rsidRPr="00EB6427" w:rsidRDefault="00EB6427" w:rsidP="00EB6427">
      <w:pPr>
        <w:jc w:val="both"/>
        <w:rPr>
          <w:rFonts w:eastAsiaTheme="minorEastAsia"/>
          <w:lang w:eastAsia="zh-CN"/>
        </w:rPr>
      </w:pPr>
    </w:p>
    <w:p w14:paraId="2AAF4A86" w14:textId="32D43AD4" w:rsidR="00577AF7" w:rsidRDefault="00577AF7" w:rsidP="00577AF7">
      <w:pPr>
        <w:rPr>
          <w:b/>
          <w:bCs/>
          <w:lang w:eastAsia="ja-JP"/>
        </w:rPr>
      </w:pPr>
    </w:p>
    <w:p w14:paraId="12E19FA0" w14:textId="77777777" w:rsidR="00EB6427" w:rsidRPr="008F727F" w:rsidRDefault="00EB6427" w:rsidP="00577AF7">
      <w:pPr>
        <w:rPr>
          <w:b/>
          <w:bCs/>
          <w:lang w:eastAsia="ja-JP"/>
        </w:rPr>
      </w:pPr>
    </w:p>
    <w:p w14:paraId="6FF6E4E4" w14:textId="77777777" w:rsidR="00EB6427" w:rsidRDefault="00EB6427">
      <w:pPr>
        <w:spacing w:before="240" w:after="60"/>
        <w:rPr>
          <w:rFonts w:ascii="Arial" w:eastAsiaTheme="majorEastAsia" w:hAnsi="Arial"/>
          <w:b/>
          <w:bCs/>
          <w:kern w:val="28"/>
          <w:lang w:val="x-none" w:eastAsia="ja-JP"/>
        </w:rPr>
      </w:pPr>
      <w:r>
        <w:br w:type="page"/>
      </w:r>
    </w:p>
    <w:p w14:paraId="1CEE004F" w14:textId="5F7A4005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lastRenderedPageBreak/>
        <w:t>References</w:t>
      </w:r>
    </w:p>
    <w:p w14:paraId="32C64843" w14:textId="5CFE2752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P-220300</w:t>
      </w:r>
      <w:r w:rsidR="000D625B" w:rsidRPr="002F0C43">
        <w:rPr>
          <w:rFonts w:eastAsia="SimSun"/>
          <w:lang w:val="en-GB" w:eastAsia="zh-CN"/>
        </w:rPr>
        <w:t xml:space="preserve">, 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A5451D" w:rsidRPr="002F0C43">
        <w:rPr>
          <w:rFonts w:eastAsia="SimSun"/>
          <w:lang w:val="en-GB" w:eastAsia="zh-CN"/>
        </w:rPr>
        <w:t xml:space="preserve">, </w:t>
      </w:r>
    </w:p>
    <w:p w14:paraId="755918A9" w14:textId="73D5D1DA" w:rsidR="00D629AC" w:rsidRDefault="00D629AC" w:rsidP="00CD5F10">
      <w:pPr>
        <w:tabs>
          <w:tab w:val="left" w:pos="890"/>
        </w:tabs>
        <w:spacing w:afterLines="50" w:after="120"/>
        <w:jc w:val="both"/>
      </w:pPr>
      <w:r>
        <w:rPr>
          <w:rFonts w:eastAsia="SimSun"/>
          <w:lang w:val="en-GB" w:eastAsia="zh-CN"/>
        </w:rPr>
        <w:t xml:space="preserve">[2] </w:t>
      </w:r>
      <w:r>
        <w:t>FCC Title 47 CFR 15.407(a)3V and (d)5</w:t>
      </w:r>
    </w:p>
    <w:p w14:paraId="6CE09EC4" w14:textId="0E1DEB52" w:rsidR="000263BC" w:rsidRDefault="000263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t xml:space="preserve">[3] </w:t>
      </w:r>
      <w:r w:rsidR="009811F6">
        <w:t>RSS-248 Issue 2, ‘</w:t>
      </w:r>
      <w:r>
        <w:t>Radio Local Area Network (RLAN) Devices operating in the 5925-7125 MHz Band.</w:t>
      </w:r>
      <w:r w:rsidR="009811F6">
        <w:t>’</w:t>
      </w:r>
      <w:r>
        <w:t xml:space="preserve"> Innovation, Science and Economics Development Canada</w:t>
      </w:r>
      <w:r w:rsidR="009811F6">
        <w:t xml:space="preserve"> (ISED)</w:t>
      </w:r>
      <w:r>
        <w:t>, May 2022</w:t>
      </w:r>
    </w:p>
    <w:p w14:paraId="61A6BBBC" w14:textId="55D18D01" w:rsidR="005F3BBC" w:rsidRPr="00CD5F10" w:rsidRDefault="005F3B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br w:type="page"/>
      </w:r>
    </w:p>
    <w:p w14:paraId="7D9ADCC3" w14:textId="2883C198" w:rsidR="00F8432C" w:rsidRDefault="00F8432C" w:rsidP="00F8432C">
      <w:pPr>
        <w:pStyle w:val="Heading1"/>
      </w:pPr>
      <w:r>
        <w:lastRenderedPageBreak/>
        <w:t>Appendix</w:t>
      </w:r>
    </w:p>
    <w:p w14:paraId="2914C1E7" w14:textId="7EEE29B3" w:rsidR="005F3BBC" w:rsidRDefault="005F3BBC" w:rsidP="00F8432C">
      <w:pPr>
        <w:rPr>
          <w:lang w:eastAsia="ja-JP"/>
        </w:rPr>
      </w:pPr>
      <w:r>
        <w:rPr>
          <w:lang w:eastAsia="ja-JP"/>
        </w:rPr>
        <w:t>4.1 Appendix A</w:t>
      </w:r>
    </w:p>
    <w:p w14:paraId="67105258" w14:textId="1995F640" w:rsidR="00F8432C" w:rsidRDefault="00F8432C" w:rsidP="00F8432C">
      <w:pPr>
        <w:rPr>
          <w:lang w:eastAsia="ja-JP"/>
        </w:rPr>
      </w:pPr>
      <w:r>
        <w:rPr>
          <w:lang w:eastAsia="ja-JP"/>
        </w:rPr>
        <w:t>An overview of the 6GHz U-NII rules is provided below</w:t>
      </w:r>
      <w:r w:rsidR="005F3BBC">
        <w:rPr>
          <w:lang w:eastAsia="ja-JP"/>
        </w:rPr>
        <w:t xml:space="preserve"> [2]</w:t>
      </w:r>
    </w:p>
    <w:p w14:paraId="4800AC15" w14:textId="6C25ECAD" w:rsidR="00F8432C" w:rsidRDefault="00F8432C" w:rsidP="00F8432C">
      <w:pPr>
        <w:rPr>
          <w:lang w:eastAsia="ja-JP"/>
        </w:rPr>
      </w:pPr>
    </w:p>
    <w:p w14:paraId="05F59C17" w14:textId="5AF41551" w:rsidR="005F3BBC" w:rsidRPr="00F8432C" w:rsidRDefault="005F3BBC" w:rsidP="00F8432C">
      <w:pPr>
        <w:rPr>
          <w:lang w:eastAsia="ja-JP"/>
        </w:rPr>
      </w:pPr>
      <w:r w:rsidRPr="005F3BBC">
        <w:rPr>
          <w:noProof/>
          <w:lang w:eastAsia="ja-JP"/>
        </w:rPr>
        <w:drawing>
          <wp:inline distT="0" distB="0" distL="0" distR="0" wp14:anchorId="60E2B4E4" wp14:editId="0345D186">
            <wp:extent cx="6332220" cy="4003675"/>
            <wp:effectExtent l="0" t="0" r="5080" b="0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00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133B5" w14:textId="6D2F3A03" w:rsidR="00F8432C" w:rsidRPr="00F8432C" w:rsidRDefault="00F8432C" w:rsidP="00F8432C">
      <w:pPr>
        <w:rPr>
          <w:rFonts w:eastAsiaTheme="minorEastAsia"/>
          <w:lang w:val="x-none" w:eastAsia="ja-JP"/>
        </w:rPr>
      </w:pPr>
      <w:r>
        <w:rPr>
          <w:rFonts w:eastAsiaTheme="minorEastAsia"/>
          <w:noProof/>
          <w:lang w:val="x-none" w:eastAsia="ja-JP"/>
        </w:rPr>
        <w:drawing>
          <wp:inline distT="0" distB="0" distL="0" distR="0" wp14:anchorId="47D16BE4" wp14:editId="4B755AD3">
            <wp:extent cx="3251200" cy="3251200"/>
            <wp:effectExtent l="0" t="0" r="0" b="0"/>
            <wp:docPr id="2" name="Picture 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low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32C" w:rsidRPr="00F8432C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EBA7F" w14:textId="77777777" w:rsidR="00A76CC4" w:rsidRDefault="00A76CC4">
      <w:r>
        <w:separator/>
      </w:r>
    </w:p>
  </w:endnote>
  <w:endnote w:type="continuationSeparator" w:id="0">
    <w:p w14:paraId="3DF96AB5" w14:textId="77777777" w:rsidR="00A76CC4" w:rsidRDefault="00A7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AD50" w14:textId="77777777" w:rsidR="00A76CC4" w:rsidRDefault="00A76CC4">
      <w:r>
        <w:separator/>
      </w:r>
    </w:p>
  </w:footnote>
  <w:footnote w:type="continuationSeparator" w:id="0">
    <w:p w14:paraId="20DE3CD5" w14:textId="77777777" w:rsidR="00A76CC4" w:rsidRDefault="00A76CC4">
      <w:r>
        <w:continuationSeparator/>
      </w:r>
    </w:p>
  </w:footnote>
  <w:footnote w:id="1">
    <w:p w14:paraId="11ECD8A4" w14:textId="0A44AB0D" w:rsidR="00D31BE0" w:rsidRDefault="00D31BE0">
      <w:pPr>
        <w:pStyle w:val="FootnoteText"/>
      </w:pPr>
      <w:r>
        <w:rPr>
          <w:rStyle w:val="FootnoteReference"/>
        </w:rPr>
        <w:footnoteRef/>
      </w:r>
      <w:r>
        <w:t xml:space="preserve"> Subject to public discussion up to 07/15/2022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8F6327"/>
    <w:multiLevelType w:val="multilevel"/>
    <w:tmpl w:val="3714605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2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8"/>
  </w:num>
  <w:num w:numId="5" w16cid:durableId="1935280386">
    <w:abstractNumId w:val="6"/>
  </w:num>
  <w:num w:numId="6" w16cid:durableId="120196691">
    <w:abstractNumId w:val="4"/>
  </w:num>
  <w:num w:numId="7" w16cid:durableId="26875523">
    <w:abstractNumId w:val="14"/>
  </w:num>
  <w:num w:numId="8" w16cid:durableId="1964605069">
    <w:abstractNumId w:val="10"/>
  </w:num>
  <w:num w:numId="9" w16cid:durableId="1955478981">
    <w:abstractNumId w:val="11"/>
  </w:num>
  <w:num w:numId="10" w16cid:durableId="1540893841">
    <w:abstractNumId w:val="2"/>
  </w:num>
  <w:num w:numId="11" w16cid:durableId="976761781">
    <w:abstractNumId w:val="5"/>
  </w:num>
  <w:num w:numId="12" w16cid:durableId="1399355096">
    <w:abstractNumId w:val="13"/>
  </w:num>
  <w:num w:numId="13" w16cid:durableId="1847667402">
    <w:abstractNumId w:val="3"/>
  </w:num>
  <w:num w:numId="14" w16cid:durableId="699822424">
    <w:abstractNumId w:val="7"/>
  </w:num>
  <w:num w:numId="15" w16cid:durableId="144049104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removeDateAndTime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3BC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1FD0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D8E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6CBA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DC3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007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2EAA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5DA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476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652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2C82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43E3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B89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B3B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1F6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69A1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C4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3C1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CB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1BE0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29AC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427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4F06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40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9B1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BE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BE0"/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D31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9</cp:revision>
  <dcterms:created xsi:type="dcterms:W3CDTF">2022-05-27T15:03:00Z</dcterms:created>
  <dcterms:modified xsi:type="dcterms:W3CDTF">2022-05-30T17:26:00Z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