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tabs>
          <w:tab w:val="right" w:pos="8280"/>
          <w:tab w:val="right" w:pos="9781"/>
        </w:tabs>
        <w:snapToGrid w:val="0"/>
        <w:spacing w:after="0"/>
        <w:ind w:right="-57"/>
        <w:jc w:val="both"/>
        <w:rPr>
          <w:rFonts w:ascii="Arial" w:eastAsiaTheme="minorEastAsia" w:hAnsi="Arial"/>
          <w:b/>
          <w:noProof/>
          <w:color w:val="000000"/>
          <w:sz w:val="24"/>
          <w:szCs w:val="24"/>
          <w:lang w:val="en-US" w:eastAsia="zh-CN"/>
        </w:rPr>
      </w:pPr>
      <w:r>
        <w:rPr>
          <w:rFonts w:ascii="Arial" w:hAnsi="Arial" w:cs="Arial"/>
          <w:b/>
          <w:noProof/>
          <w:kern w:val="3"/>
          <w:sz w:val="24"/>
          <w:szCs w:val="24"/>
          <w:lang w:val="en-US"/>
        </w:rPr>
        <w:t xml:space="preserve">3GPP TSG RAN #96 </w:t>
      </w:r>
      <w:r>
        <w:rPr>
          <w:rFonts w:ascii="Arial" w:eastAsia="宋体" w:hAnsi="Arial" w:cs="Arial"/>
          <w:b/>
          <w:bCs/>
          <w:noProof/>
          <w:sz w:val="24"/>
          <w:szCs w:val="24"/>
          <w:lang w:val="en-US" w:eastAsia="zh-CN"/>
        </w:rPr>
        <w:t xml:space="preserve">                                                                       </w:t>
      </w:r>
      <w:r>
        <w:rPr>
          <w:rFonts w:ascii="Arial" w:eastAsia="宋体" w:hAnsi="Arial" w:cs="Arial" w:hint="eastAsia"/>
          <w:b/>
          <w:bCs/>
          <w:noProof/>
          <w:sz w:val="24"/>
          <w:szCs w:val="24"/>
          <w:lang w:val="en-US" w:eastAsia="zh-CN"/>
        </w:rPr>
        <w:t xml:space="preserve">   </w:t>
      </w:r>
      <w:r>
        <w:rPr>
          <w:rFonts w:ascii="Arial" w:eastAsia="宋体" w:hAnsi="Arial" w:cs="Arial"/>
          <w:b/>
          <w:bCs/>
          <w:noProof/>
          <w:sz w:val="24"/>
          <w:szCs w:val="24"/>
          <w:lang w:val="en-US" w:eastAsia="zh-CN"/>
        </w:rPr>
        <w:t xml:space="preserve">               </w:t>
      </w:r>
      <w:r>
        <w:rPr>
          <w:rFonts w:ascii="Arial" w:hAnsi="Arial"/>
          <w:b/>
          <w:noProof/>
          <w:color w:val="000000"/>
          <w:sz w:val="24"/>
          <w:szCs w:val="24"/>
          <w:lang w:val="en-US"/>
        </w:rPr>
        <w:t>RP-221454</w:t>
      </w:r>
    </w:p>
    <w:p>
      <w:pPr>
        <w:tabs>
          <w:tab w:val="center" w:pos="4536"/>
          <w:tab w:val="right" w:pos="9072"/>
        </w:tabs>
        <w:jc w:val="both"/>
        <w:rPr>
          <w:rFonts w:ascii="Arial" w:hAnsi="Arial" w:cs="Arial"/>
          <w:b/>
          <w:noProof/>
          <w:kern w:val="3"/>
          <w:sz w:val="24"/>
          <w:szCs w:val="24"/>
          <w:lang w:val="en-US"/>
        </w:rPr>
      </w:pPr>
      <w:r>
        <w:rPr>
          <w:rFonts w:ascii="Arial" w:hAnsi="Arial" w:cs="Arial"/>
          <w:b/>
          <w:noProof/>
          <w:kern w:val="3"/>
          <w:sz w:val="24"/>
          <w:szCs w:val="24"/>
          <w:lang w:val="en-US"/>
        </w:rPr>
        <w:t xml:space="preserve">Budapest, Hungary, </w:t>
      </w:r>
      <w:r>
        <w:rPr>
          <w:rFonts w:ascii="Arial" w:eastAsiaTheme="minorEastAsia" w:hAnsi="Arial" w:cs="Arial"/>
          <w:b/>
          <w:noProof/>
          <w:kern w:val="3"/>
          <w:sz w:val="24"/>
          <w:szCs w:val="24"/>
          <w:lang w:val="en-US" w:eastAsia="zh-CN"/>
        </w:rPr>
        <w:t>June</w:t>
      </w:r>
      <w:r>
        <w:rPr>
          <w:rFonts w:ascii="Arial" w:eastAsiaTheme="minorEastAsia" w:hAnsi="Arial" w:cs="Arial" w:hint="eastAsia"/>
          <w:b/>
          <w:noProof/>
          <w:kern w:val="3"/>
          <w:sz w:val="24"/>
          <w:szCs w:val="24"/>
          <w:lang w:val="en-US" w:eastAsia="zh-CN"/>
        </w:rPr>
        <w:t xml:space="preserve"> </w:t>
      </w:r>
      <w:r>
        <w:rPr>
          <w:rFonts w:ascii="Arial" w:eastAsiaTheme="minorEastAsia" w:hAnsi="Arial" w:cs="Arial"/>
          <w:b/>
          <w:noProof/>
          <w:kern w:val="3"/>
          <w:sz w:val="24"/>
          <w:szCs w:val="24"/>
          <w:lang w:val="en-US" w:eastAsia="zh-CN"/>
        </w:rPr>
        <w:t>6</w:t>
      </w:r>
      <w:r>
        <w:rPr>
          <w:rFonts w:ascii="Arial" w:hAnsi="Arial" w:cs="Arial"/>
          <w:b/>
          <w:noProof/>
          <w:kern w:val="3"/>
          <w:sz w:val="24"/>
          <w:szCs w:val="24"/>
          <w:vertAlign w:val="superscript"/>
          <w:lang w:val="en-US"/>
        </w:rPr>
        <w:t>th</w:t>
      </w:r>
      <w:r>
        <w:rPr>
          <w:rFonts w:ascii="Arial" w:hAnsi="Arial" w:cs="Arial"/>
          <w:b/>
          <w:noProof/>
          <w:kern w:val="3"/>
          <w:sz w:val="24"/>
          <w:szCs w:val="24"/>
          <w:lang w:val="en-US"/>
        </w:rPr>
        <w:t xml:space="preserve"> – </w:t>
      </w:r>
      <w:r>
        <w:rPr>
          <w:rFonts w:ascii="Arial" w:eastAsiaTheme="minorEastAsia" w:hAnsi="Arial" w:cs="Arial"/>
          <w:b/>
          <w:noProof/>
          <w:kern w:val="3"/>
          <w:sz w:val="24"/>
          <w:szCs w:val="24"/>
          <w:lang w:val="en-US" w:eastAsia="zh-CN"/>
        </w:rPr>
        <w:t>1</w:t>
      </w:r>
      <w:r>
        <w:rPr>
          <w:rFonts w:ascii="Arial" w:eastAsiaTheme="minorEastAsia" w:hAnsi="Arial" w:cs="Arial" w:hint="eastAsia"/>
          <w:b/>
          <w:noProof/>
          <w:kern w:val="3"/>
          <w:sz w:val="24"/>
          <w:szCs w:val="24"/>
          <w:lang w:val="en-US" w:eastAsia="zh-CN"/>
        </w:rPr>
        <w:t>0</w:t>
      </w:r>
      <w:r>
        <w:rPr>
          <w:rFonts w:ascii="Arial" w:hAnsi="Arial" w:cs="Arial"/>
          <w:b/>
          <w:noProof/>
          <w:kern w:val="3"/>
          <w:sz w:val="24"/>
          <w:szCs w:val="24"/>
          <w:vertAlign w:val="superscript"/>
          <w:lang w:val="en-US"/>
        </w:rPr>
        <w:t>th</w:t>
      </w:r>
      <w:r>
        <w:rPr>
          <w:rFonts w:ascii="Arial" w:hAnsi="Arial" w:cs="Arial"/>
          <w:b/>
          <w:noProof/>
          <w:kern w:val="3"/>
          <w:sz w:val="24"/>
          <w:szCs w:val="24"/>
          <w:lang w:val="en-US"/>
        </w:rPr>
        <w:t xml:space="preserve">, 2022 </w:t>
      </w:r>
    </w:p>
    <w:p>
      <w:pPr>
        <w:spacing w:after="0"/>
        <w:jc w:val="both"/>
        <w:rPr>
          <w:rFonts w:ascii="Arial" w:eastAsia="宋体" w:hAnsi="Arial" w:cs="Arial"/>
          <w:b/>
          <w:sz w:val="24"/>
          <w:szCs w:val="24"/>
          <w:lang w:eastAsia="zh-CN"/>
        </w:rPr>
      </w:pPr>
      <w:r>
        <w:rPr>
          <w:rFonts w:ascii="Arial" w:eastAsia="宋体" w:hAnsi="Arial" w:cs="Arial"/>
          <w:b/>
          <w:sz w:val="24"/>
          <w:szCs w:val="24"/>
          <w:lang w:eastAsia="zh-CN"/>
        </w:rPr>
        <w:t xml:space="preserve">Source:             </w:t>
      </w:r>
      <w:r>
        <w:rPr>
          <w:rFonts w:ascii="Arial" w:eastAsia="宋体" w:hAnsi="Arial" w:cs="Arial"/>
          <w:b/>
          <w:sz w:val="24"/>
          <w:szCs w:val="24"/>
          <w:lang w:val="en-US" w:eastAsia="zh-CN"/>
        </w:rPr>
        <w:t xml:space="preserve"> </w:t>
      </w:r>
      <w:r>
        <w:rPr>
          <w:rFonts w:ascii="Arial" w:eastAsia="宋体" w:hAnsi="Arial" w:cs="Arial"/>
          <w:b/>
          <w:sz w:val="24"/>
          <w:szCs w:val="24"/>
          <w:lang w:eastAsia="zh-CN"/>
        </w:rPr>
        <w:t>CATT</w:t>
      </w:r>
    </w:p>
    <w:p>
      <w:pPr>
        <w:pStyle w:val="aa"/>
        <w:spacing w:line="276" w:lineRule="auto"/>
        <w:jc w:val="both"/>
        <w:rPr>
          <w:rFonts w:eastAsia="宋体" w:cs="Arial"/>
          <w:sz w:val="24"/>
          <w:szCs w:val="24"/>
          <w:lang w:eastAsia="zh-CN"/>
        </w:rPr>
      </w:pPr>
      <w:r>
        <w:rPr>
          <w:rFonts w:eastAsia="宋体" w:cs="Arial"/>
          <w:sz w:val="24"/>
          <w:szCs w:val="24"/>
          <w:lang w:eastAsia="zh-CN"/>
        </w:rPr>
        <w:t>Title:                  Clarification of XR awareness scheduling in RAN1 and RAN2 works</w:t>
      </w:r>
    </w:p>
    <w:p>
      <w:pPr>
        <w:pStyle w:val="aa"/>
        <w:spacing w:line="276" w:lineRule="auto"/>
        <w:jc w:val="both"/>
        <w:rPr>
          <w:rFonts w:eastAsia="宋体" w:cs="Arial"/>
          <w:sz w:val="24"/>
          <w:szCs w:val="24"/>
          <w:lang w:val="en-US" w:eastAsia="zh-CN"/>
        </w:rPr>
      </w:pPr>
      <w:bookmarkStart w:id="0" w:name="Source"/>
      <w:bookmarkEnd w:id="0"/>
      <w:r>
        <w:rPr>
          <w:rFonts w:eastAsia="宋体" w:cs="Arial"/>
          <w:sz w:val="24"/>
          <w:szCs w:val="24"/>
          <w:lang w:eastAsia="zh-CN"/>
        </w:rPr>
        <w:t xml:space="preserve">Agenda Item:    </w:t>
      </w:r>
      <w:r>
        <w:rPr>
          <w:rFonts w:eastAsia="宋体" w:cs="Arial"/>
          <w:sz w:val="24"/>
          <w:szCs w:val="24"/>
          <w:lang w:val="en-US" w:eastAsia="zh-CN"/>
        </w:rPr>
        <w:t xml:space="preserve"> </w:t>
      </w:r>
      <w:r>
        <w:rPr>
          <w:rFonts w:eastAsia="宋体" w:cs="Arial" w:hint="eastAsia"/>
          <w:sz w:val="24"/>
          <w:szCs w:val="24"/>
          <w:lang w:val="en-US" w:eastAsia="zh-CN"/>
        </w:rPr>
        <w:t>9</w:t>
      </w:r>
      <w:r>
        <w:rPr>
          <w:rFonts w:eastAsia="宋体" w:cs="Arial"/>
          <w:sz w:val="24"/>
          <w:szCs w:val="24"/>
          <w:lang w:val="en-US" w:eastAsia="zh-CN"/>
        </w:rPr>
        <w:t>.2.1</w:t>
      </w:r>
      <w:r>
        <w:rPr>
          <w:rFonts w:eastAsia="宋体" w:cs="Arial" w:hint="eastAsia"/>
          <w:sz w:val="24"/>
          <w:szCs w:val="24"/>
          <w:lang w:val="en-US" w:eastAsia="zh-CN"/>
        </w:rPr>
        <w:t>1</w:t>
      </w:r>
    </w:p>
    <w:p>
      <w:pPr>
        <w:pStyle w:val="aa"/>
        <w:spacing w:line="276" w:lineRule="auto"/>
        <w:jc w:val="both"/>
        <w:rPr>
          <w:rFonts w:eastAsiaTheme="minorEastAsia" w:cs="Arial"/>
          <w:sz w:val="24"/>
          <w:szCs w:val="24"/>
          <w:lang w:eastAsia="zh-CN"/>
        </w:rPr>
      </w:pPr>
      <w:bookmarkStart w:id="1" w:name="DocumentFor"/>
      <w:bookmarkEnd w:id="1"/>
      <w:r>
        <w:rPr>
          <w:rFonts w:eastAsia="宋体" w:cs="Arial"/>
          <w:sz w:val="24"/>
          <w:szCs w:val="24"/>
          <w:lang w:eastAsia="zh-CN"/>
        </w:rPr>
        <w:t>Document for:   Discussion and Decision</w:t>
      </w:r>
      <w:r>
        <w:rPr>
          <w:rFonts w:cs="Arial"/>
          <w:sz w:val="24"/>
          <w:szCs w:val="24"/>
        </w:rPr>
        <w:t xml:space="preserve"> </w:t>
      </w:r>
    </w:p>
    <w:p>
      <w:pPr>
        <w:pBdr>
          <w:bottom w:val="single" w:sz="4" w:space="1" w:color="auto"/>
        </w:pBdr>
        <w:tabs>
          <w:tab w:val="left" w:pos="2552"/>
        </w:tabs>
        <w:jc w:val="both"/>
        <w:rPr>
          <w:sz w:val="4"/>
          <w:szCs w:val="4"/>
        </w:rPr>
      </w:pPr>
    </w:p>
    <w:p>
      <w:pPr>
        <w:pStyle w:val="1"/>
        <w:rPr>
          <w:rFonts w:eastAsia="宋体"/>
          <w:b/>
          <w:sz w:val="24"/>
          <w:szCs w:val="28"/>
          <w:lang w:eastAsia="zh-CN"/>
        </w:rPr>
      </w:pPr>
      <w:r>
        <w:rPr>
          <w:rFonts w:eastAsia="宋体"/>
          <w:b/>
          <w:sz w:val="24"/>
          <w:szCs w:val="28"/>
          <w:lang w:eastAsia="zh-CN"/>
        </w:rPr>
        <w:t>Introduction</w:t>
      </w:r>
    </w:p>
    <w:p>
      <w:pPr>
        <w:jc w:val="both"/>
        <w:rPr>
          <w:rFonts w:eastAsiaTheme="minorEastAsia"/>
          <w:lang w:eastAsia="zh-CN"/>
        </w:rPr>
      </w:pPr>
      <w:r>
        <w:rPr>
          <w:rFonts w:eastAsiaTheme="minorEastAsia"/>
          <w:lang w:eastAsia="zh-CN"/>
        </w:rPr>
        <w:t xml:space="preserve">The </w:t>
      </w:r>
      <w:r>
        <w:rPr>
          <w:rFonts w:eastAsiaTheme="minorEastAsia" w:hint="eastAsia"/>
          <w:lang w:eastAsia="zh-CN"/>
        </w:rPr>
        <w:t xml:space="preserve">XR </w:t>
      </w:r>
      <w:r>
        <w:rPr>
          <w:rFonts w:eastAsiaTheme="minorEastAsia"/>
          <w:lang w:eastAsia="zh-CN"/>
        </w:rPr>
        <w:t xml:space="preserve">study in Rel-18 is to extend the study of Rel-17 XR study in RAN1, SA4 and Rel-18 XR study in SA2.  The XR study is based on the </w:t>
      </w:r>
      <w:r>
        <w:rPr>
          <w:rFonts w:eastAsiaTheme="minorEastAsia" w:hint="eastAsia"/>
          <w:lang w:eastAsia="zh-CN"/>
        </w:rPr>
        <w:t>awareness</w:t>
      </w:r>
      <w:r>
        <w:rPr>
          <w:rFonts w:eastAsiaTheme="minorEastAsia"/>
          <w:lang w:eastAsia="zh-CN"/>
        </w:rPr>
        <w:t xml:space="preserve"> of the XR traffic at the gNB in order to increase the XR capacity in NR and further UE power saving.  </w:t>
      </w:r>
      <w:r>
        <w:rPr>
          <w:rFonts w:eastAsiaTheme="minorEastAsia" w:hint="eastAsia"/>
          <w:lang w:eastAsia="zh-CN"/>
        </w:rPr>
        <w:t xml:space="preserve"> </w:t>
      </w:r>
      <w:r>
        <w:rPr>
          <w:rFonts w:eastAsiaTheme="minorEastAsia"/>
          <w:lang w:eastAsia="zh-CN"/>
        </w:rPr>
        <w:t xml:space="preserve">The objectives of Rel-18 XR study in RAN are </w:t>
      </w:r>
      <w:r>
        <w:rPr>
          <w:rFonts w:eastAsiaTheme="minorEastAsia" w:hint="eastAsia"/>
          <w:lang w:eastAsia="zh-CN"/>
        </w:rPr>
        <w:t xml:space="preserve">as follows: </w:t>
      </w:r>
    </w:p>
    <w:p>
      <w:pPr>
        <w:rPr>
          <w:rFonts w:eastAsiaTheme="minorEastAsia"/>
          <w:lang w:eastAsia="zh-CN"/>
        </w:rPr>
      </w:pPr>
      <w:r>
        <w:rPr>
          <w:noProof/>
          <w:lang w:val="en-US" w:eastAsia="zh-CN"/>
        </w:rPr>
        <mc:AlternateContent>
          <mc:Choice Requires="wps">
            <w:drawing>
              <wp:inline distT="0" distB="0" distL="0" distR="0">
                <wp:extent cx="6122035" cy="3536950"/>
                <wp:effectExtent l="9525" t="9525" r="12065" b="63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9554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
                              <w:t xml:space="preserve">The study is to be based on Release 17 TR 38.838, on corresponding Release 17 work from SA4 (as per SP-210043) and on Release 18 work from SA2 (as per SP-211166). </w:t>
                            </w:r>
                          </w:p>
                          <w:p>
                            <w:r>
                              <w:t>Objectives on XR-awareness in RAN (RAN2):</w:t>
                            </w:r>
                          </w:p>
                          <w:p>
                            <w:pPr>
                              <w:numPr>
                                <w:ilvl w:val="0"/>
                                <w:numId w:val="15"/>
                              </w:numPr>
                              <w:overflowPunct w:val="0"/>
                              <w:autoSpaceDE w:val="0"/>
                              <w:autoSpaceDN w:val="0"/>
                              <w:adjustRightInd w:val="0"/>
                              <w:textAlignment w:val="baseline"/>
                            </w:pPr>
                            <w:r>
                              <w:t>Study and identify the XR traffic (both UL and DL) characteristics, QoS metrics, and application layer attributes beneficial for the gNB to be aware of.</w:t>
                            </w:r>
                          </w:p>
                          <w:p>
                            <w:pPr>
                              <w:numPr>
                                <w:ilvl w:val="0"/>
                                <w:numId w:val="15"/>
                              </w:numPr>
                              <w:overflowPunct w:val="0"/>
                              <w:autoSpaceDE w:val="0"/>
                              <w:autoSpaceDN w:val="0"/>
                              <w:adjustRightInd w:val="0"/>
                              <w:textAlignment w:val="baseline"/>
                            </w:pPr>
                            <w:r>
                              <w:t>Study how the above information aids XR-specific traffic handling.</w:t>
                            </w:r>
                          </w:p>
                          <w:p>
                            <w:r>
                              <w:t>Objectives on XR-specific Power Saving (RAN1, RAN2):</w:t>
                            </w:r>
                          </w:p>
                          <w:p>
                            <w:pPr>
                              <w:numPr>
                                <w:ilvl w:val="0"/>
                                <w:numId w:val="15"/>
                              </w:numPr>
                              <w:overflowPunct w:val="0"/>
                              <w:autoSpaceDE w:val="0"/>
                              <w:autoSpaceDN w:val="0"/>
                              <w:adjustRightInd w:val="0"/>
                              <w:textAlignment w:val="baseline"/>
                            </w:pPr>
                            <w:r>
                              <w:t>Study XR specific power saving techniques to accommodate XR service characteristics (periodicity, multiple flows, jitter, latency, reliability, etc...). Focus is on the following techniques:</w:t>
                            </w:r>
                          </w:p>
                          <w:p>
                            <w:pPr>
                              <w:numPr>
                                <w:ilvl w:val="1"/>
                                <w:numId w:val="15"/>
                              </w:numPr>
                              <w:overflowPunct w:val="0"/>
                              <w:autoSpaceDE w:val="0"/>
                              <w:autoSpaceDN w:val="0"/>
                              <w:adjustRightInd w:val="0"/>
                              <w:textAlignment w:val="baseline"/>
                            </w:pPr>
                            <w:r>
                              <w:t>C-DRX enhancement.</w:t>
                            </w:r>
                          </w:p>
                          <w:p>
                            <w:pPr>
                              <w:numPr>
                                <w:ilvl w:val="1"/>
                                <w:numId w:val="15"/>
                              </w:numPr>
                              <w:overflowPunct w:val="0"/>
                              <w:autoSpaceDE w:val="0"/>
                              <w:autoSpaceDN w:val="0"/>
                              <w:adjustRightInd w:val="0"/>
                              <w:textAlignment w:val="baseline"/>
                            </w:pPr>
                            <w:r>
                              <w:t>PDCCH monitoring enhancement.</w:t>
                            </w:r>
                          </w:p>
                          <w:p>
                            <w:r>
                              <w:t>Objectives on XR-specific capacity improvements (RAN1, RAN2):</w:t>
                            </w:r>
                          </w:p>
                          <w:p>
                            <w:pPr>
                              <w:numPr>
                                <w:ilvl w:val="0"/>
                                <w:numId w:val="15"/>
                              </w:numPr>
                              <w:overflowPunct w:val="0"/>
                              <w:autoSpaceDE w:val="0"/>
                              <w:autoSpaceDN w:val="0"/>
                              <w:adjustRightInd w:val="0"/>
                              <w:textAlignment w:val="baseline"/>
                            </w:pPr>
                            <w:r>
                              <w:t>Study mechanisms that provide more efficient resource allocation and scheduling for XR service characteristics (periodicity, multiple flows, jitter, latency, reliability, etc…). Focus is on the following mechanisms:</w:t>
                            </w:r>
                          </w:p>
                          <w:p>
                            <w:pPr>
                              <w:numPr>
                                <w:ilvl w:val="1"/>
                                <w:numId w:val="15"/>
                              </w:numPr>
                              <w:overflowPunct w:val="0"/>
                              <w:autoSpaceDE w:val="0"/>
                              <w:autoSpaceDN w:val="0"/>
                              <w:adjustRightInd w:val="0"/>
                              <w:textAlignment w:val="baseline"/>
                            </w:pPr>
                            <w:r>
                              <w:t>SPS and CG enhancements;</w:t>
                            </w:r>
                          </w:p>
                          <w:p>
                            <w:pPr>
                              <w:numPr>
                                <w:ilvl w:val="1"/>
                                <w:numId w:val="15"/>
                              </w:numPr>
                              <w:overflowPunct w:val="0"/>
                              <w:autoSpaceDE w:val="0"/>
                              <w:autoSpaceDN w:val="0"/>
                              <w:adjustRightInd w:val="0"/>
                              <w:textAlignment w:val="baseline"/>
                            </w:pPr>
                            <w:r>
                              <w:t>Dynamic scheduling/grant enhancements.</w:t>
                            </w:r>
                          </w:p>
                        </w:txbxContent>
                      </wps:txbx>
                      <wps:bodyPr rot="0" vert="horz" wrap="square" lIns="91440" tIns="45720" rIns="91440" bIns="45720" anchor="t" anchorCtr="0" upright="1">
                        <a:sp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936A733" id="_x0000_t202" coordsize="21600,21600" o:spt="202" path="m,l,21600r21600,l21600,xe">
                <v:stroke joinstyle="miter"/>
                <v:path gradientshapeok="t" o:connecttype="rect"/>
              </v:shapetype>
              <v:shape id="文本框 2" o:spid="_x0000_s1026" type="#_x0000_t202" style="width:482.05pt;height:2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" filled="f">
                <v:textbox style="mso-fit-shape-to-text:t">
                  <w:txbxContent>
                    <w:p w14:paraId="523CBA0B" w14:textId="77777777" w:rsidR="006D1935" w:rsidRPr="00A52508" w:rsidRDefault="006D1935" w:rsidP="006D1935">
                      <w:r w:rsidRPr="00A52508">
                        <w:t>The study is to be based on Release 17 TR 38.838, on corresponding Release 17 work from SA4 (as per SP-2</w:t>
                      </w:r>
                      <w:r>
                        <w:t>1</w:t>
                      </w:r>
                      <w:r w:rsidRPr="00A52508">
                        <w:t>00</w:t>
                      </w:r>
                      <w:r>
                        <w:t>43</w:t>
                      </w:r>
                      <w:r w:rsidRPr="00A52508">
                        <w:t xml:space="preserve">) and on Release 18 work from SA2 (as per SP-211166). </w:t>
                      </w:r>
                    </w:p>
                    <w:p w14:paraId="7EBA1AAC" w14:textId="77777777" w:rsidR="006D1935" w:rsidRPr="00A52508" w:rsidRDefault="006D1935" w:rsidP="006D1935">
                      <w:r w:rsidRPr="00A52508">
                        <w:t>Objectives on XR-awareness in RAN (RAN2):</w:t>
                      </w:r>
                    </w:p>
                    <w:p w14:paraId="449E4127" w14:textId="77777777" w:rsidR="006D1935" w:rsidRPr="00A52508" w:rsidRDefault="006D1935" w:rsidP="006D1935">
                      <w:pPr>
                        <w:numPr>
                          <w:ilvl w:val="0"/>
                          <w:numId w:val="15"/>
                        </w:numPr>
                        <w:overflowPunct w:val="0"/>
                        <w:autoSpaceDE w:val="0"/>
                        <w:autoSpaceDN w:val="0"/>
                        <w:adjustRightInd w:val="0"/>
                        <w:textAlignment w:val="baseline"/>
                      </w:pPr>
                      <w:r w:rsidRPr="00A52508">
                        <w:t>Study and identify the XR traffic (both UL and DL) characteristics, QoS metrics, and application layer attributes beneficial for the gNB to be aware of.</w:t>
                      </w:r>
                    </w:p>
                    <w:p w14:paraId="6E4DBCB4" w14:textId="338CD169" w:rsidR="006D1935" w:rsidRPr="00A52508" w:rsidRDefault="006D1935" w:rsidP="006D1935">
                      <w:pPr>
                        <w:numPr>
                          <w:ilvl w:val="0"/>
                          <w:numId w:val="15"/>
                        </w:numPr>
                        <w:overflowPunct w:val="0"/>
                        <w:autoSpaceDE w:val="0"/>
                        <w:autoSpaceDN w:val="0"/>
                        <w:adjustRightInd w:val="0"/>
                        <w:textAlignment w:val="baseline"/>
                      </w:pPr>
                      <w:r w:rsidRPr="00A52508">
                        <w:t>Study how the above information aids XR-specific traffic handling.</w:t>
                      </w:r>
                    </w:p>
                    <w:p w14:paraId="374D3DF3" w14:textId="77777777" w:rsidR="006D1935" w:rsidRPr="00A474AF" w:rsidRDefault="006D1935" w:rsidP="006D1935">
                      <w:r w:rsidRPr="00A52508">
                        <w:t xml:space="preserve">Objectives on XR-specific Power </w:t>
                      </w:r>
                      <w:r w:rsidRPr="00A474AF">
                        <w:t>Saving (RAN1, RAN2):</w:t>
                      </w:r>
                    </w:p>
                    <w:p w14:paraId="294E7729" w14:textId="77777777" w:rsidR="006D1935" w:rsidRPr="00A474AF" w:rsidRDefault="006D1935" w:rsidP="006D1935">
                      <w:pPr>
                        <w:numPr>
                          <w:ilvl w:val="0"/>
                          <w:numId w:val="15"/>
                        </w:numPr>
                        <w:overflowPunct w:val="0"/>
                        <w:autoSpaceDE w:val="0"/>
                        <w:autoSpaceDN w:val="0"/>
                        <w:adjustRightInd w:val="0"/>
                        <w:textAlignment w:val="baseline"/>
                      </w:pPr>
                      <w:r w:rsidRPr="00A474AF">
                        <w:t>Study XR specific power saving techniques to accommodate XR service characteristics (periodicity, multiple flows, jitter, latency, reliability, etc...). Focus is on the following techniques:</w:t>
                      </w:r>
                    </w:p>
                    <w:p w14:paraId="423E183E" w14:textId="77777777" w:rsidR="006D1935" w:rsidRPr="00A474AF" w:rsidRDefault="006D1935" w:rsidP="006D1935">
                      <w:pPr>
                        <w:numPr>
                          <w:ilvl w:val="1"/>
                          <w:numId w:val="15"/>
                        </w:numPr>
                        <w:overflowPunct w:val="0"/>
                        <w:autoSpaceDE w:val="0"/>
                        <w:autoSpaceDN w:val="0"/>
                        <w:adjustRightInd w:val="0"/>
                        <w:textAlignment w:val="baseline"/>
                      </w:pPr>
                      <w:r w:rsidRPr="00A474AF">
                        <w:t>C-DRX enhancement.</w:t>
                      </w:r>
                    </w:p>
                    <w:p w14:paraId="7BA0C85A" w14:textId="5C7C4E78" w:rsidR="006D1935" w:rsidRPr="00A474AF" w:rsidRDefault="006D1935" w:rsidP="006D1935">
                      <w:pPr>
                        <w:numPr>
                          <w:ilvl w:val="1"/>
                          <w:numId w:val="15"/>
                        </w:numPr>
                        <w:overflowPunct w:val="0"/>
                        <w:autoSpaceDE w:val="0"/>
                        <w:autoSpaceDN w:val="0"/>
                        <w:adjustRightInd w:val="0"/>
                        <w:textAlignment w:val="baseline"/>
                      </w:pPr>
                      <w:r w:rsidRPr="00A474AF">
                        <w:t>PDCCH monitoring enhancement.</w:t>
                      </w:r>
                    </w:p>
                    <w:p w14:paraId="623331A2" w14:textId="77777777" w:rsidR="006D1935" w:rsidRPr="00A474AF" w:rsidRDefault="006D1935" w:rsidP="006D1935">
                      <w:r w:rsidRPr="00A474AF">
                        <w:t>Objectives on XR-specific capacity improvements (RAN1, RAN2):</w:t>
                      </w:r>
                    </w:p>
                    <w:p w14:paraId="61040750" w14:textId="77777777" w:rsidR="006D1935" w:rsidRPr="00A474AF" w:rsidRDefault="006D1935" w:rsidP="006D1935">
                      <w:pPr>
                        <w:numPr>
                          <w:ilvl w:val="0"/>
                          <w:numId w:val="15"/>
                        </w:numPr>
                        <w:overflowPunct w:val="0"/>
                        <w:autoSpaceDE w:val="0"/>
                        <w:autoSpaceDN w:val="0"/>
                        <w:adjustRightInd w:val="0"/>
                        <w:textAlignment w:val="baseline"/>
                      </w:pPr>
                      <w:r w:rsidRPr="00A474AF">
                        <w:t>Study mechanisms that provide more efficient resource allocation and scheduling for XR service characteristics (periodicity, multiple flows, jitter, latency, reliability, etc…). Focus is on the following mechanisms:</w:t>
                      </w:r>
                    </w:p>
                    <w:p w14:paraId="729984BE" w14:textId="77777777" w:rsidR="006D1935" w:rsidRPr="00A474AF" w:rsidRDefault="006D1935" w:rsidP="006D1935">
                      <w:pPr>
                        <w:numPr>
                          <w:ilvl w:val="1"/>
                          <w:numId w:val="15"/>
                        </w:numPr>
                        <w:overflowPunct w:val="0"/>
                        <w:autoSpaceDE w:val="0"/>
                        <w:autoSpaceDN w:val="0"/>
                        <w:adjustRightInd w:val="0"/>
                        <w:textAlignment w:val="baseline"/>
                      </w:pPr>
                      <w:r w:rsidRPr="00A474AF">
                        <w:t>SPS and CG enhancements;</w:t>
                      </w:r>
                    </w:p>
                    <w:p w14:paraId="4334A6A6" w14:textId="4A041B64" w:rsidR="009F23E6" w:rsidRPr="00A56DAB" w:rsidRDefault="006D1935" w:rsidP="00BC6649">
                      <w:pPr>
                        <w:numPr>
                          <w:ilvl w:val="1"/>
                          <w:numId w:val="15"/>
                        </w:numPr>
                        <w:overflowPunct w:val="0"/>
                        <w:autoSpaceDE w:val="0"/>
                        <w:autoSpaceDN w:val="0"/>
                        <w:adjustRightInd w:val="0"/>
                        <w:textAlignment w:val="baseline"/>
                      </w:pPr>
                      <w:r w:rsidRPr="00A474AF">
                        <w:t>Dynamic scheduling/grant</w:t>
                      </w:r>
                      <w:r w:rsidRPr="00A52508">
                        <w:t xml:space="preserve"> enhancements.</w:t>
                      </w:r>
                    </w:p>
                  </w:txbxContent>
                </v:textbox>
                <w10:anchorlock/>
              </v:shape>
            </w:pict>
          </mc:Fallback>
        </mc:AlternateContent>
      </w:r>
    </w:p>
    <w:p>
      <w:pPr>
        <w:jc w:val="both"/>
        <w:rPr>
          <w:rFonts w:eastAsiaTheme="minorEastAsia"/>
          <w:lang w:eastAsia="zh-CN"/>
        </w:rPr>
      </w:pPr>
      <w:r>
        <w:rPr>
          <w:rFonts w:eastAsiaTheme="minorEastAsia"/>
          <w:lang w:eastAsia="zh-CN"/>
        </w:rPr>
        <w:t>I</w:t>
      </w:r>
      <w:r>
        <w:rPr>
          <w:rFonts w:eastAsiaTheme="minorEastAsia" w:hint="eastAsia"/>
          <w:lang w:eastAsia="zh-CN"/>
        </w:rPr>
        <w:t>n this paper, we discuss</w:t>
      </w:r>
      <w:r>
        <w:rPr>
          <w:rFonts w:eastAsiaTheme="minorEastAsia"/>
          <w:lang w:eastAsia="zh-CN"/>
        </w:rPr>
        <w:t xml:space="preserve"> the XR awareness works and assumption made in RAN1 and RAN2</w:t>
      </w:r>
      <w:r>
        <w:rPr>
          <w:rFonts w:eastAsiaTheme="minorEastAsia" w:hint="eastAsia"/>
          <w:lang w:eastAsia="zh-CN"/>
        </w:rPr>
        <w:t xml:space="preserve"> </w:t>
      </w:r>
      <w:r>
        <w:rPr>
          <w:rFonts w:eastAsiaTheme="minorEastAsia"/>
          <w:lang w:eastAsia="zh-CN"/>
        </w:rPr>
        <w:t xml:space="preserve">for the enhancement of system capacity and UE power saving in supporting XR services </w:t>
      </w:r>
      <w:r>
        <w:rPr>
          <w:rFonts w:eastAsiaTheme="minorEastAsia" w:hint="eastAsia"/>
          <w:lang w:eastAsia="zh-CN"/>
        </w:rPr>
        <w:t>RAN</w:t>
      </w:r>
      <w:r>
        <w:rPr>
          <w:rFonts w:eastAsiaTheme="minorEastAsia"/>
          <w:lang w:eastAsia="zh-CN"/>
        </w:rPr>
        <w:t xml:space="preserve">.  </w:t>
      </w:r>
      <w:r>
        <w:rPr>
          <w:rFonts w:eastAsiaTheme="minorEastAsia" w:hint="eastAsia"/>
          <w:lang w:eastAsia="zh-CN"/>
        </w:rPr>
        <w:t xml:space="preserve"> </w:t>
      </w:r>
    </w:p>
    <w:p>
      <w:pPr>
        <w:pStyle w:val="1"/>
        <w:rPr>
          <w:rFonts w:eastAsiaTheme="minorEastAsia"/>
          <w:b/>
          <w:sz w:val="24"/>
          <w:szCs w:val="24"/>
          <w:lang w:eastAsia="zh-CN"/>
        </w:rPr>
      </w:pPr>
      <w:r>
        <w:rPr>
          <w:rFonts w:eastAsiaTheme="minorEastAsia" w:hint="eastAsia"/>
          <w:b/>
          <w:sz w:val="24"/>
          <w:szCs w:val="24"/>
          <w:lang w:eastAsia="zh-CN"/>
        </w:rPr>
        <w:t xml:space="preserve">gNB awareness of XR application information from UE </w:t>
      </w:r>
    </w:p>
    <w:p>
      <w:pPr>
        <w:jc w:val="both"/>
        <w:rPr>
          <w:rFonts w:eastAsiaTheme="minorEastAsia"/>
          <w:szCs w:val="21"/>
          <w:lang w:eastAsia="zh-CN"/>
        </w:rPr>
      </w:pPr>
      <w:r>
        <w:rPr>
          <w:rFonts w:eastAsiaTheme="minorEastAsia"/>
          <w:szCs w:val="21"/>
          <w:lang w:eastAsia="zh-CN"/>
        </w:rPr>
        <w:t>The advanced media services have been studied in SA2 with study results captured in TR 23.700 [3], which includes the multi-modality flows coordinated transmission for a single UE and among multiple UEs.  XR services have the strict QoS requirements services in terms of high data rate and low latency.   The generic network control function of resource allocation in the traditional scheduling function with service agnostic principles may not work efficiently. The enhanced network control function with service awareness principles, i.e., XR awareness of traffic characteristic and attribute, had been used in the Rel-17 XR study for the modelling of XR traffic, evaluation methodology, and system configuration, such as C-DRX, in improving the system capacity and UE power saving in RAN1.    The AR/VR traffic trace from SA4</w:t>
      </w:r>
      <w:bookmarkStart w:id="2" w:name="_GoBack"/>
      <w:bookmarkEnd w:id="2"/>
      <w:r>
        <w:rPr>
          <w:rFonts w:eastAsiaTheme="minorEastAsia"/>
          <w:szCs w:val="21"/>
          <w:lang w:eastAsia="zh-CN"/>
        </w:rPr>
        <w:t xml:space="preserve"> was also used for verification of XR traffic model in Rel-17.   </w:t>
      </w:r>
    </w:p>
    <w:p>
      <w:pPr>
        <w:jc w:val="both"/>
        <w:rPr>
          <w:rFonts w:eastAsiaTheme="minorEastAsia"/>
          <w:szCs w:val="21"/>
          <w:lang w:eastAsia="zh-CN"/>
        </w:rPr>
      </w:pPr>
      <w:r>
        <w:rPr>
          <w:rFonts w:eastAsiaTheme="minorEastAsia"/>
          <w:szCs w:val="21"/>
          <w:lang w:eastAsia="zh-CN"/>
        </w:rPr>
        <w:t xml:space="preserve">XR awareness may include RAN awareness of XR traffic characteristics and application attributes, such as packet generation rate, XR packet size, and QoS attribute, such as packet reliability and average delay </w:t>
      </w:r>
      <w:r>
        <w:rPr>
          <w:rFonts w:eastAsiaTheme="minorEastAsia"/>
          <w:szCs w:val="21"/>
          <w:lang w:eastAsia="zh-CN"/>
        </w:rPr>
        <w:t>tolerance</w:t>
      </w:r>
      <w:r>
        <w:rPr>
          <w:rFonts w:eastAsiaTheme="minorEastAsia"/>
          <w:szCs w:val="21"/>
          <w:lang w:eastAsia="zh-CN"/>
        </w:rPr>
        <w:t xml:space="preserve"> and network delay jitter.  During Rel-17 XR study, the gNB scheduler assumes to acquire the necessary information of XR traffic characteristics and application layer attributes to achieve the radio bearer control and adaptive scheduling customized for XR traffic. On the other side, 5GS information could be also exposed to application for XR enhancement.  </w:t>
      </w:r>
      <w:r>
        <w:rPr>
          <w:rFonts w:eastAsiaTheme="minorEastAsia" w:hint="eastAsia"/>
          <w:szCs w:val="21"/>
          <w:lang w:eastAsia="zh-CN"/>
        </w:rPr>
        <w:t xml:space="preserve">The XR </w:t>
      </w:r>
      <w:r>
        <w:rPr>
          <w:rFonts w:eastAsiaTheme="minorEastAsia" w:hint="eastAsia"/>
          <w:szCs w:val="21"/>
          <w:lang w:eastAsia="zh-CN"/>
        </w:rPr>
        <w:lastRenderedPageBreak/>
        <w:t xml:space="preserve">application </w:t>
      </w:r>
      <w:r>
        <w:rPr>
          <w:rFonts w:eastAsiaTheme="minorEastAsia"/>
          <w:szCs w:val="21"/>
          <w:lang w:eastAsia="zh-CN"/>
        </w:rPr>
        <w:t>information</w:t>
      </w:r>
      <w:r>
        <w:rPr>
          <w:rFonts w:eastAsiaTheme="minorEastAsia" w:hint="eastAsia"/>
          <w:szCs w:val="21"/>
          <w:lang w:eastAsia="zh-CN"/>
        </w:rPr>
        <w:t xml:space="preserve"> from UE includes a variety of </w:t>
      </w:r>
      <w:r>
        <w:rPr>
          <w:rFonts w:eastAsiaTheme="minorEastAsia"/>
          <w:szCs w:val="21"/>
          <w:lang w:eastAsia="zh-CN"/>
        </w:rPr>
        <w:t>attributes of the XR traffic and UE implementation</w:t>
      </w:r>
      <w:r>
        <w:rPr>
          <w:rFonts w:eastAsiaTheme="minorEastAsia" w:hint="eastAsia"/>
          <w:szCs w:val="21"/>
          <w:lang w:eastAsia="zh-CN"/>
        </w:rPr>
        <w:t xml:space="preserve"> </w:t>
      </w:r>
      <w:r>
        <w:rPr>
          <w:rFonts w:eastAsiaTheme="minorEastAsia"/>
          <w:szCs w:val="21"/>
          <w:lang w:eastAsia="zh-CN"/>
        </w:rPr>
        <w:fldChar w:fldCharType="begin"/>
      </w:r>
      <w:r>
        <w:rPr>
          <w:rFonts w:eastAsiaTheme="minorEastAsia"/>
          <w:szCs w:val="21"/>
          <w:lang w:eastAsia="zh-CN"/>
        </w:rPr>
        <w:instrText xml:space="preserve"> </w:instrText>
      </w:r>
      <w:r>
        <w:rPr>
          <w:rFonts w:eastAsiaTheme="minorEastAsia" w:hint="eastAsia"/>
          <w:szCs w:val="21"/>
          <w:lang w:eastAsia="zh-CN"/>
        </w:rPr>
        <w:instrText>REF _Ref101449412 \r \h</w:instrText>
      </w:r>
      <w:r>
        <w:rPr>
          <w:rFonts w:eastAsiaTheme="minorEastAsia"/>
          <w:szCs w:val="21"/>
          <w:lang w:eastAsia="zh-CN"/>
        </w:rPr>
        <w:instrText xml:space="preserve"> </w:instrText>
      </w:r>
      <w:r>
        <w:rPr>
          <w:rFonts w:eastAsiaTheme="minorEastAsia"/>
          <w:szCs w:val="21"/>
          <w:lang w:eastAsia="zh-CN"/>
        </w:rPr>
      </w:r>
      <w:r>
        <w:rPr>
          <w:rFonts w:eastAsiaTheme="minorEastAsia"/>
          <w:szCs w:val="21"/>
          <w:lang w:eastAsia="zh-CN"/>
        </w:rPr>
        <w:fldChar w:fldCharType="separate"/>
      </w:r>
      <w:r>
        <w:rPr>
          <w:rFonts w:eastAsiaTheme="minorEastAsia"/>
          <w:szCs w:val="21"/>
          <w:lang w:eastAsia="zh-CN"/>
        </w:rPr>
        <w:t>[4]</w:t>
      </w:r>
      <w:r>
        <w:rPr>
          <w:rFonts w:eastAsiaTheme="minorEastAsia"/>
          <w:szCs w:val="21"/>
          <w:lang w:eastAsia="zh-CN"/>
        </w:rPr>
        <w:fldChar w:fldCharType="end"/>
      </w:r>
      <w:r>
        <w:rPr>
          <w:rFonts w:eastAsiaTheme="minorEastAsia" w:hint="eastAsia"/>
          <w:szCs w:val="21"/>
          <w:lang w:eastAsia="zh-CN"/>
        </w:rPr>
        <w:t xml:space="preserve">, </w:t>
      </w:r>
      <w:r>
        <w:rPr>
          <w:rFonts w:eastAsiaTheme="minorEastAsia"/>
          <w:szCs w:val="21"/>
          <w:lang w:eastAsia="zh-CN"/>
        </w:rPr>
        <w:fldChar w:fldCharType="begin"/>
      </w:r>
      <w:r>
        <w:rPr>
          <w:rFonts w:eastAsiaTheme="minorEastAsia"/>
          <w:szCs w:val="21"/>
          <w:lang w:eastAsia="zh-CN"/>
        </w:rPr>
        <w:instrText xml:space="preserve"> REF _Ref101449419 \r \h </w:instrText>
      </w:r>
      <w:r>
        <w:rPr>
          <w:rFonts w:eastAsiaTheme="minorEastAsia"/>
          <w:szCs w:val="21"/>
          <w:lang w:eastAsia="zh-CN"/>
        </w:rPr>
      </w:r>
      <w:r>
        <w:rPr>
          <w:rFonts w:eastAsiaTheme="minorEastAsia"/>
          <w:szCs w:val="21"/>
          <w:lang w:eastAsia="zh-CN"/>
        </w:rPr>
        <w:fldChar w:fldCharType="separate"/>
      </w:r>
      <w:r>
        <w:rPr>
          <w:rFonts w:eastAsiaTheme="minorEastAsia"/>
          <w:szCs w:val="21"/>
          <w:lang w:eastAsia="zh-CN"/>
        </w:rPr>
        <w:t>[5]</w:t>
      </w:r>
      <w:r>
        <w:rPr>
          <w:rFonts w:eastAsiaTheme="minorEastAsia"/>
          <w:szCs w:val="21"/>
          <w:lang w:eastAsia="zh-CN"/>
        </w:rPr>
        <w:fldChar w:fldCharType="end"/>
      </w:r>
      <w:r>
        <w:rPr>
          <w:rFonts w:eastAsiaTheme="minorEastAsia" w:hint="eastAsia"/>
          <w:szCs w:val="21"/>
          <w:lang w:eastAsia="zh-CN"/>
        </w:rPr>
        <w:t xml:space="preserve">, </w:t>
      </w:r>
      <w:r>
        <w:rPr>
          <w:rFonts w:eastAsiaTheme="minorEastAsia"/>
          <w:szCs w:val="21"/>
          <w:lang w:eastAsia="zh-CN"/>
        </w:rPr>
        <w:t>XR</w:t>
      </w:r>
      <w:r>
        <w:rPr>
          <w:rFonts w:eastAsiaTheme="minorEastAsia" w:hint="eastAsia"/>
          <w:szCs w:val="21"/>
          <w:lang w:eastAsia="zh-CN"/>
        </w:rPr>
        <w:t xml:space="preserve"> traffic characteristics</w:t>
      </w:r>
      <w:r>
        <w:rPr>
          <w:rFonts w:eastAsiaTheme="minorEastAsia"/>
          <w:szCs w:val="21"/>
          <w:lang w:eastAsia="zh-CN"/>
        </w:rPr>
        <w:t xml:space="preserve"> </w:t>
      </w:r>
      <w:r>
        <w:rPr>
          <w:rFonts w:eastAsiaTheme="minorEastAsia" w:hint="eastAsia"/>
          <w:szCs w:val="21"/>
          <w:lang w:eastAsia="zh-CN"/>
        </w:rPr>
        <w:t xml:space="preserve">and </w:t>
      </w:r>
      <w:r>
        <w:rPr>
          <w:rFonts w:eastAsiaTheme="minorEastAsia"/>
          <w:szCs w:val="21"/>
          <w:lang w:eastAsia="zh-CN"/>
        </w:rPr>
        <w:t>XR</w:t>
      </w:r>
      <w:r>
        <w:rPr>
          <w:rFonts w:eastAsiaTheme="minorEastAsia" w:hint="eastAsia"/>
          <w:szCs w:val="21"/>
          <w:lang w:eastAsia="zh-CN"/>
        </w:rPr>
        <w:t xml:space="preserve"> </w:t>
      </w:r>
      <w:r>
        <w:rPr>
          <w:rFonts w:eastAsiaTheme="minorEastAsia"/>
          <w:szCs w:val="21"/>
          <w:lang w:eastAsia="zh-CN"/>
        </w:rPr>
        <w:t>latency</w:t>
      </w:r>
      <w:r>
        <w:rPr>
          <w:rFonts w:eastAsiaTheme="minorEastAsia" w:hint="eastAsia"/>
          <w:szCs w:val="21"/>
          <w:lang w:eastAsia="zh-CN"/>
        </w:rPr>
        <w:t xml:space="preserve"> information. </w:t>
      </w:r>
      <w:r>
        <w:rPr>
          <w:rFonts w:eastAsiaTheme="minorEastAsia"/>
          <w:szCs w:val="21"/>
          <w:lang w:eastAsia="zh-CN"/>
        </w:rPr>
        <w:t xml:space="preserve">The gNB scheduler and </w:t>
      </w:r>
      <w:r>
        <w:rPr>
          <w:rFonts w:eastAsiaTheme="minorEastAsia" w:hint="eastAsia"/>
          <w:szCs w:val="21"/>
          <w:lang w:eastAsia="zh-CN"/>
        </w:rPr>
        <w:t>UE</w:t>
      </w:r>
      <w:r>
        <w:rPr>
          <w:rFonts w:eastAsiaTheme="minorEastAsia"/>
          <w:szCs w:val="21"/>
          <w:lang w:eastAsia="zh-CN"/>
        </w:rPr>
        <w:t xml:space="preserve"> lower layer</w:t>
      </w:r>
      <w:r>
        <w:rPr>
          <w:rFonts w:eastAsiaTheme="minorEastAsia" w:hint="eastAsia"/>
          <w:szCs w:val="21"/>
          <w:lang w:eastAsia="zh-CN"/>
        </w:rPr>
        <w:t xml:space="preserve"> has fully knowledge of all this XR application information. </w:t>
      </w:r>
      <w:r>
        <w:rPr>
          <w:rFonts w:eastAsiaTheme="minorEastAsia"/>
          <w:szCs w:val="21"/>
          <w:lang w:eastAsia="zh-CN"/>
        </w:rPr>
        <w:t xml:space="preserve"> The gNB can</w:t>
      </w:r>
      <w:r>
        <w:rPr>
          <w:rFonts w:eastAsiaTheme="minorEastAsia" w:hint="eastAsia"/>
          <w:szCs w:val="21"/>
          <w:lang w:eastAsia="zh-CN"/>
        </w:rPr>
        <w:t xml:space="preserve"> </w:t>
      </w:r>
      <w:r>
        <w:rPr>
          <w:rFonts w:eastAsiaTheme="minorEastAsia"/>
          <w:szCs w:val="21"/>
          <w:lang w:eastAsia="zh-CN"/>
        </w:rPr>
        <w:t>configure the system parameters, such as SPS cycle and resource, C-DRX cycle and</w:t>
      </w:r>
      <w:r>
        <w:rPr>
          <w:rFonts w:eastAsiaTheme="minorEastAsia" w:hint="eastAsia"/>
          <w:szCs w:val="21"/>
          <w:lang w:eastAsia="zh-CN"/>
        </w:rPr>
        <w:t xml:space="preserve"> </w:t>
      </w:r>
      <w:r>
        <w:rPr>
          <w:rFonts w:eastAsiaTheme="minorEastAsia"/>
          <w:szCs w:val="21"/>
          <w:lang w:eastAsia="zh-CN"/>
        </w:rPr>
        <w:t>On Duration etc</w:t>
      </w:r>
      <w:r>
        <w:rPr>
          <w:rFonts w:eastAsiaTheme="minorEastAsia" w:hint="eastAsia"/>
          <w:szCs w:val="21"/>
          <w:lang w:eastAsia="zh-CN"/>
        </w:rPr>
        <w:t>.,</w:t>
      </w:r>
      <w:r>
        <w:rPr>
          <w:rFonts w:eastAsiaTheme="minorEastAsia"/>
          <w:szCs w:val="21"/>
          <w:lang w:eastAsia="zh-CN"/>
        </w:rPr>
        <w:t xml:space="preserve"> based on the XR traffic characteristic and the application attributes for the improvement of </w:t>
      </w:r>
      <w:r>
        <w:rPr>
          <w:rFonts w:eastAsiaTheme="minorEastAsia" w:hint="eastAsia"/>
          <w:szCs w:val="21"/>
          <w:lang w:eastAsia="zh-CN"/>
        </w:rPr>
        <w:t xml:space="preserve">system capacity and UE power </w:t>
      </w:r>
      <w:r>
        <w:rPr>
          <w:rFonts w:eastAsiaTheme="minorEastAsia"/>
          <w:szCs w:val="21"/>
          <w:lang w:eastAsia="zh-CN"/>
        </w:rPr>
        <w:t xml:space="preserve">saving.   All the evaluation results of UE power saving, XR capacity enhancement, mobility and coverage in TR38.838 </w:t>
      </w:r>
      <w:r>
        <w:rPr>
          <w:rFonts w:eastAsiaTheme="minorEastAsia"/>
          <w:szCs w:val="21"/>
          <w:lang w:eastAsia="zh-CN"/>
        </w:rPr>
        <w:fldChar w:fldCharType="begin"/>
      </w:r>
      <w:r>
        <w:rPr>
          <w:rFonts w:eastAsiaTheme="minorEastAsia"/>
          <w:szCs w:val="21"/>
          <w:lang w:eastAsia="zh-CN"/>
        </w:rPr>
        <w:instrText xml:space="preserve"> REF _Ref101443413 \r \h </w:instrText>
      </w:r>
      <w:r>
        <w:rPr>
          <w:rFonts w:eastAsiaTheme="minorEastAsia"/>
          <w:szCs w:val="21"/>
          <w:lang w:eastAsia="zh-CN"/>
        </w:rPr>
      </w:r>
      <w:r>
        <w:rPr>
          <w:rFonts w:eastAsiaTheme="minorEastAsia"/>
          <w:szCs w:val="21"/>
          <w:lang w:eastAsia="zh-CN"/>
        </w:rPr>
        <w:fldChar w:fldCharType="separate"/>
      </w:r>
      <w:r>
        <w:rPr>
          <w:rFonts w:eastAsiaTheme="minorEastAsia"/>
          <w:szCs w:val="21"/>
          <w:lang w:eastAsia="zh-CN"/>
        </w:rPr>
        <w:t>[1]</w:t>
      </w:r>
      <w:r>
        <w:rPr>
          <w:rFonts w:eastAsiaTheme="minorEastAsia"/>
          <w:szCs w:val="21"/>
          <w:lang w:eastAsia="zh-CN"/>
        </w:rPr>
        <w:fldChar w:fldCharType="end"/>
      </w:r>
      <w:r>
        <w:rPr>
          <w:rFonts w:eastAsiaTheme="minorEastAsia"/>
          <w:szCs w:val="21"/>
          <w:lang w:eastAsia="zh-CN"/>
        </w:rPr>
        <w:t xml:space="preserve"> are from the evaluation assumption of XR-awareness scheduling and resource allocation.</w:t>
      </w:r>
      <w:r>
        <w:rPr>
          <w:rFonts w:eastAsiaTheme="minorEastAsia" w:hint="eastAsia"/>
          <w:szCs w:val="21"/>
          <w:lang w:eastAsia="zh-CN"/>
        </w:rPr>
        <w:t xml:space="preserve">  </w:t>
      </w:r>
    </w:p>
    <w:p>
      <w:pPr>
        <w:jc w:val="both"/>
        <w:rPr>
          <w:rFonts w:eastAsia="宋体" w:cs="Times"/>
          <w:lang w:val="en-US" w:eastAsia="zh-CN"/>
        </w:rPr>
      </w:pPr>
      <w:r>
        <w:rPr>
          <w:rFonts w:eastAsia="宋体" w:cs="Times"/>
        </w:rPr>
        <w:t xml:space="preserve">In RAN1#109-e, it was agreed that Rel-17 evaluation methodology in TR 38.838 is used as the baseline evaluation methodology for UE power evaluation of Rel-18 SI on the UE power saving and XR capacity enhancements.   It implies that </w:t>
      </w:r>
      <w:r>
        <w:rPr>
          <w:rFonts w:eastAsia="宋体" w:hint="eastAsia"/>
          <w:lang w:eastAsia="zh-CN"/>
        </w:rPr>
        <w:t>XR</w:t>
      </w:r>
      <w:r>
        <w:rPr>
          <w:rFonts w:eastAsia="宋体"/>
          <w:lang w:eastAsia="zh-CN"/>
        </w:rPr>
        <w:t xml:space="preserve">-awareness scheduling would continue to be used for the study of the XR-specific UE power saving techniques and XR capacity enhancement in RAN1.   </w:t>
      </w:r>
      <w:r>
        <w:rPr>
          <w:rFonts w:eastAsia="宋体" w:hint="eastAsia"/>
          <w:lang w:eastAsia="zh-CN"/>
        </w:rPr>
        <w:t xml:space="preserve"> </w:t>
      </w:r>
      <w:r>
        <w:rPr>
          <w:rFonts w:eastAsia="宋体"/>
          <w:lang w:eastAsia="zh-CN"/>
        </w:rPr>
        <w:t xml:space="preserve">However, the XR-awareness is tasked to be studied in RAN2 only in </w:t>
      </w:r>
      <w:r>
        <w:rPr>
          <w:rFonts w:eastAsia="宋体"/>
          <w:lang w:eastAsia="zh-CN"/>
        </w:rPr>
        <w:fldChar w:fldCharType="begin"/>
      </w:r>
      <w:r>
        <w:rPr>
          <w:rFonts w:eastAsia="宋体"/>
          <w:lang w:eastAsia="zh-CN"/>
        </w:rPr>
        <w:instrText xml:space="preserve"> REF _Ref101443418 \r \h  \* MERGEFORMAT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In RAN1#109-e, there were proposals from companies that all XR-specific power saving techniques and XR capacity enhancement schemes with XR-awareness scheduling in RAN1 should wait for RAN2 study results of XR traffic characteristic and application attributes.    It implies that the XR traffic models based on XR traffic characteristic, such as packet generation rate and packet size, and system configuration based on the QoS attribute, such as delay tolerance and network delay jitter, could not be assumed by RAN1 before RAN2 completion the study of XR-awareness.   All the proposals of XR-specific UE power saving and XR capacity</w:t>
      </w:r>
      <w:r>
        <w:rPr>
          <w:rFonts w:eastAsia="宋体" w:hint="eastAsia"/>
          <w:lang w:eastAsia="zh-CN"/>
        </w:rPr>
        <w:t xml:space="preserve"> enhancements</w:t>
      </w:r>
      <w:r>
        <w:rPr>
          <w:rFonts w:eastAsia="宋体"/>
          <w:lang w:eastAsia="zh-CN"/>
        </w:rPr>
        <w:t xml:space="preserve"> in Rel-17 XR study and submitted in RAN1#109-e would not be valid until RAN2 finalizes the XR traffic characteristic set and application attributes in </w:t>
      </w:r>
      <w:r>
        <w:t xml:space="preserve">periodicity, multiple flows, jitter, latency, and reliability.   This implies that RAN1 should not study of XR-specific UE power saving and XR capacity enhancement before RAN2 complete its study of XR-awareness.   Thus, the definition and the scope of XR-awareness scheduling and the tasks in RAN1 and RAN2 should be clarified in RAN.   </w:t>
      </w:r>
    </w:p>
    <w:p>
      <w:pPr>
        <w:jc w:val="both"/>
        <w:rPr>
          <w:rFonts w:eastAsiaTheme="minorEastAsia"/>
          <w:b/>
          <w:iCs/>
          <w:szCs w:val="21"/>
          <w:lang w:eastAsia="zh-CN"/>
        </w:rPr>
      </w:pPr>
      <w:bookmarkStart w:id="3" w:name="_Hlk104639838"/>
      <w:r>
        <w:rPr>
          <w:rFonts w:eastAsiaTheme="minorEastAsia" w:hint="eastAsia"/>
          <w:b/>
          <w:iCs/>
          <w:szCs w:val="21"/>
          <w:lang w:eastAsia="zh-CN"/>
        </w:rPr>
        <w:t xml:space="preserve">Proposal </w:t>
      </w:r>
      <w:r>
        <w:rPr>
          <w:rFonts w:eastAsiaTheme="minorEastAsia"/>
          <w:b/>
          <w:iCs/>
          <w:szCs w:val="21"/>
          <w:lang w:eastAsia="zh-CN"/>
        </w:rPr>
        <w:t xml:space="preserve">1: Whether XR-awareness scheduling could be assumed in RAN1 in the study of XR-specific UE power saving and XR capacity enhancement should be clarified in RAN.  </w:t>
      </w:r>
    </w:p>
    <w:bookmarkEnd w:id="3"/>
    <w:p>
      <w:pPr>
        <w:jc w:val="both"/>
        <w:rPr>
          <w:rFonts w:eastAsiaTheme="minorEastAsia"/>
          <w:iCs/>
          <w:lang w:eastAsia="zh-CN"/>
        </w:rPr>
      </w:pPr>
      <w:r>
        <w:rPr>
          <w:rFonts w:eastAsiaTheme="minorEastAsia"/>
          <w:iCs/>
          <w:lang w:eastAsia="zh-CN"/>
        </w:rPr>
        <w:t xml:space="preserve">The TU allocation of Rel-18 XR enhancement in </w:t>
      </w:r>
      <w:r>
        <w:rPr>
          <w:rFonts w:eastAsiaTheme="minorEastAsia"/>
          <w:iCs/>
          <w:lang w:eastAsia="zh-CN"/>
        </w:rPr>
        <w:fldChar w:fldCharType="begin"/>
      </w:r>
      <w:r>
        <w:rPr>
          <w:rFonts w:eastAsiaTheme="minorEastAsia"/>
          <w:iCs/>
          <w:lang w:eastAsia="zh-CN"/>
        </w:rPr>
        <w:instrText xml:space="preserve"> REF _Ref104638495 \r \h </w:instrText>
      </w:r>
      <w:r>
        <w:rPr>
          <w:rFonts w:eastAsiaTheme="minorEastAsia"/>
          <w:iCs/>
          <w:lang w:eastAsia="zh-CN"/>
        </w:rPr>
      </w:r>
      <w:r>
        <w:rPr>
          <w:rFonts w:eastAsiaTheme="minorEastAsia"/>
          <w:iCs/>
          <w:lang w:eastAsia="zh-CN"/>
        </w:rPr>
        <w:fldChar w:fldCharType="separate"/>
      </w:r>
      <w:r>
        <w:rPr>
          <w:rFonts w:eastAsiaTheme="minorEastAsia"/>
          <w:iCs/>
          <w:lang w:eastAsia="zh-CN"/>
        </w:rPr>
        <w:t>[6]</w:t>
      </w:r>
      <w:r>
        <w:rPr>
          <w:rFonts w:eastAsiaTheme="minorEastAsia"/>
          <w:iCs/>
          <w:lang w:eastAsia="zh-CN"/>
        </w:rPr>
        <w:fldChar w:fldCharType="end"/>
      </w:r>
      <w:r>
        <w:rPr>
          <w:rFonts w:eastAsiaTheme="minorEastAsia"/>
          <w:iCs/>
          <w:lang w:eastAsia="zh-CN"/>
        </w:rPr>
        <w:t xml:space="preserve"> is to have RAN1 and RAN2 TUs in 3</w:t>
      </w:r>
      <w:r>
        <w:rPr>
          <w:rFonts w:eastAsiaTheme="minorEastAsia"/>
          <w:iCs/>
          <w:vertAlign w:val="superscript"/>
          <w:lang w:eastAsia="zh-CN"/>
        </w:rPr>
        <w:t>rd</w:t>
      </w:r>
      <w:r>
        <w:rPr>
          <w:rFonts w:eastAsiaTheme="minorEastAsia"/>
          <w:iCs/>
          <w:lang w:eastAsia="zh-CN"/>
        </w:rPr>
        <w:t xml:space="preserve"> and 4</w:t>
      </w:r>
      <w:r>
        <w:rPr>
          <w:rFonts w:eastAsiaTheme="minorEastAsia"/>
          <w:iCs/>
          <w:vertAlign w:val="superscript"/>
          <w:lang w:eastAsia="zh-CN"/>
        </w:rPr>
        <w:t>th</w:t>
      </w:r>
      <w:r>
        <w:rPr>
          <w:rFonts w:eastAsiaTheme="minorEastAsia"/>
          <w:iCs/>
          <w:lang w:eastAsia="zh-CN"/>
        </w:rPr>
        <w:t xml:space="preserve"> quarters of 2022.   If RAN1 has to wait for RAN2 completion of XR-awareness and could not have the XR-awareness scheduling for the study of XR-specific UE power saving and XR capacity enhancement, RAN1 could not have any progress of any technical proposals in handling of issues for XR-specific UE power saving, such as misalignment of C-DRX and XR packet periodicity, and XR capacity enhancements, such as SPS/CG enhancement for XR and dynamic scheduling enhancement for XR.   Thus, the XR-awareness scheduling with the awareness of the XR traffic model and system configuration based on the XR-traffic characteristic and application attributes in the XR evaluation methodology in TR38.838 </w:t>
      </w:r>
      <w:r>
        <w:rPr>
          <w:rFonts w:eastAsiaTheme="minorEastAsia"/>
          <w:iCs/>
          <w:lang w:eastAsia="zh-CN"/>
        </w:rPr>
        <w:fldChar w:fldCharType="begin"/>
      </w:r>
      <w:r>
        <w:rPr>
          <w:rFonts w:eastAsiaTheme="minorEastAsia"/>
          <w:iCs/>
          <w:lang w:eastAsia="zh-CN"/>
        </w:rPr>
        <w:instrText xml:space="preserve"> REF _Ref101443413 \r \h </w:instrText>
      </w:r>
      <w:r>
        <w:rPr>
          <w:rFonts w:eastAsiaTheme="minorEastAsia"/>
          <w:iCs/>
          <w:lang w:eastAsia="zh-CN"/>
        </w:rPr>
      </w:r>
      <w:r>
        <w:rPr>
          <w:rFonts w:eastAsiaTheme="minorEastAsia"/>
          <w:iCs/>
          <w:lang w:eastAsia="zh-CN"/>
        </w:rPr>
        <w:fldChar w:fldCharType="separate"/>
      </w:r>
      <w:r>
        <w:rPr>
          <w:rFonts w:eastAsiaTheme="minorEastAsia"/>
          <w:iCs/>
          <w:lang w:eastAsia="zh-CN"/>
        </w:rPr>
        <w:t>[1]</w:t>
      </w:r>
      <w:r>
        <w:rPr>
          <w:rFonts w:eastAsiaTheme="minorEastAsia"/>
          <w:iCs/>
          <w:lang w:eastAsia="zh-CN"/>
        </w:rPr>
        <w:fldChar w:fldCharType="end"/>
      </w:r>
      <w:r>
        <w:rPr>
          <w:rFonts w:eastAsiaTheme="minorEastAsia"/>
          <w:iCs/>
          <w:lang w:eastAsia="zh-CN"/>
        </w:rPr>
        <w:t xml:space="preserve"> need to be assumed in RAN1 in order to provide the evaluation results for the XR study.   The task of RAN2 study in XR-awareness is to retrieve and derive the parameters of XR traffic characteristic, such as periodicity and average and range of packet sizes and QoS attributes, such as packet error rate, packet delay tolerance and delay jitter, to provide to the gNB scheduler for the XR-awareness scheduling.   RAN1 will continue using the XR traffic models and system configuration in the XR evaluation methodologies in TR38.838 for the study the techniques of XR-specific UE power saving and XR capacity enhancement.  </w:t>
      </w:r>
      <w:bookmarkStart w:id="4" w:name="_Hlk104639690"/>
      <w:r>
        <w:rPr>
          <w:rFonts w:eastAsiaTheme="minorEastAsia"/>
          <w:iCs/>
          <w:lang w:eastAsia="zh-CN"/>
        </w:rPr>
        <w:t xml:space="preserve">If any of RAN2 study results of XR traffic characteristics and application attributes are different to those in TR38.838, RAN2 would inform RAN1 to adjust the evaluation based on RAN2 study output.  </w:t>
      </w:r>
    </w:p>
    <w:bookmarkEnd w:id="4"/>
    <w:p>
      <w:pPr>
        <w:jc w:val="both"/>
        <w:rPr>
          <w:rFonts w:eastAsiaTheme="minorEastAsia"/>
          <w:b/>
          <w:bCs/>
          <w:iCs/>
          <w:lang w:val="en-US" w:eastAsia="zh-CN"/>
        </w:rPr>
      </w:pPr>
    </w:p>
    <w:p>
      <w:pPr>
        <w:jc w:val="both"/>
        <w:rPr>
          <w:rFonts w:eastAsiaTheme="minorEastAsia"/>
          <w:b/>
          <w:bCs/>
          <w:iCs/>
          <w:lang w:val="en-US" w:eastAsia="zh-CN"/>
        </w:rPr>
      </w:pPr>
      <w:bookmarkStart w:id="5" w:name="_Hlk104639850"/>
      <w:r>
        <w:rPr>
          <w:rFonts w:eastAsiaTheme="minorEastAsia"/>
          <w:b/>
          <w:bCs/>
          <w:iCs/>
          <w:lang w:val="en-US" w:eastAsia="zh-CN"/>
        </w:rPr>
        <w:t xml:space="preserve">Proposal 2:  </w:t>
      </w:r>
      <w:bookmarkStart w:id="6" w:name="_Hlk104640036"/>
      <w:r>
        <w:rPr>
          <w:rFonts w:eastAsiaTheme="minorEastAsia"/>
          <w:b/>
          <w:bCs/>
          <w:iCs/>
          <w:lang w:val="en-US" w:eastAsia="zh-CN"/>
        </w:rPr>
        <w:t>The tasks of XR-awareness scheduling are clarified in RAN2 and RAN1 for the 3</w:t>
      </w:r>
      <w:r>
        <w:rPr>
          <w:rFonts w:eastAsiaTheme="minorEastAsia"/>
          <w:b/>
          <w:bCs/>
          <w:iCs/>
          <w:vertAlign w:val="superscript"/>
          <w:lang w:val="en-US" w:eastAsia="zh-CN"/>
        </w:rPr>
        <w:t>rd</w:t>
      </w:r>
      <w:r>
        <w:rPr>
          <w:rFonts w:eastAsiaTheme="minorEastAsia"/>
          <w:b/>
          <w:bCs/>
          <w:iCs/>
          <w:lang w:val="en-US" w:eastAsia="zh-CN"/>
        </w:rPr>
        <w:t xml:space="preserve"> and 4</w:t>
      </w:r>
      <w:r>
        <w:rPr>
          <w:rFonts w:eastAsiaTheme="minorEastAsia"/>
          <w:b/>
          <w:bCs/>
          <w:iCs/>
          <w:vertAlign w:val="superscript"/>
          <w:lang w:val="en-US" w:eastAsia="zh-CN"/>
        </w:rPr>
        <w:t>th</w:t>
      </w:r>
      <w:r>
        <w:rPr>
          <w:rFonts w:eastAsiaTheme="minorEastAsia"/>
          <w:b/>
          <w:bCs/>
          <w:iCs/>
          <w:lang w:val="en-US" w:eastAsia="zh-CN"/>
        </w:rPr>
        <w:t xml:space="preserve"> quarters of 2022.   </w:t>
      </w:r>
    </w:p>
    <w:bookmarkEnd w:id="6"/>
    <w:p>
      <w:pPr>
        <w:pStyle w:val="af7"/>
        <w:numPr>
          <w:ilvl w:val="0"/>
          <w:numId w:val="17"/>
        </w:numPr>
        <w:jc w:val="both"/>
        <w:rPr>
          <w:rFonts w:eastAsiaTheme="minorEastAsia"/>
          <w:b/>
          <w:bCs/>
          <w:iCs/>
          <w:lang w:val="en-US" w:eastAsia="zh-CN"/>
        </w:rPr>
      </w:pPr>
      <w:r>
        <w:rPr>
          <w:rFonts w:eastAsiaTheme="minorEastAsia"/>
          <w:b/>
          <w:bCs/>
          <w:iCs/>
          <w:lang w:val="en-US" w:eastAsia="zh-CN"/>
        </w:rPr>
        <w:t>RAN2 is tasked to study how to retrieve and derive the XR traffic characteristics, QoS metrics and application layer attributes for the XR study</w:t>
      </w:r>
    </w:p>
    <w:p>
      <w:pPr>
        <w:pStyle w:val="af7"/>
        <w:numPr>
          <w:ilvl w:val="0"/>
          <w:numId w:val="17"/>
        </w:numPr>
        <w:jc w:val="both"/>
        <w:rPr>
          <w:rFonts w:eastAsiaTheme="minorEastAsia"/>
          <w:b/>
          <w:bCs/>
          <w:iCs/>
          <w:lang w:val="en-US" w:eastAsia="zh-CN"/>
        </w:rPr>
      </w:pPr>
      <w:r>
        <w:rPr>
          <w:rFonts w:eastAsiaTheme="minorEastAsia"/>
          <w:b/>
          <w:bCs/>
          <w:iCs/>
          <w:lang w:val="en-US" w:eastAsia="zh-CN"/>
        </w:rPr>
        <w:t>RAN1 continues the traffic models and system configuration based on the evaluation methodologies in TR38.838 with XR-awareness scheduling and resource allocation for XR-specific power saving and capacity enhancement in parallel to RAN2 study of XR-awareness</w:t>
      </w:r>
    </w:p>
    <w:p>
      <w:pPr>
        <w:pStyle w:val="af7"/>
        <w:numPr>
          <w:ilvl w:val="0"/>
          <w:numId w:val="17"/>
        </w:numPr>
        <w:jc w:val="both"/>
        <w:rPr>
          <w:rFonts w:eastAsiaTheme="minorEastAsia"/>
          <w:b/>
          <w:bCs/>
          <w:iCs/>
          <w:lang w:val="en-US" w:eastAsia="zh-CN"/>
        </w:rPr>
      </w:pPr>
      <w:r>
        <w:rPr>
          <w:rFonts w:eastAsiaTheme="minorEastAsia"/>
          <w:b/>
          <w:bCs/>
          <w:iCs/>
          <w:lang w:val="en-US" w:eastAsia="zh-CN"/>
        </w:rPr>
        <w:t xml:space="preserve">If any of RAN2 study results of XR traffic characteristics and application attributes are different to those in TR38.838, RAN2 would inform RAN1 to adjust the evaluation based on RAN2 study output of XR-awareness.  </w:t>
      </w:r>
    </w:p>
    <w:bookmarkEnd w:id="5"/>
    <w:p>
      <w:pPr>
        <w:jc w:val="both"/>
        <w:rPr>
          <w:rFonts w:eastAsiaTheme="minorEastAsia"/>
          <w:iCs/>
          <w:lang w:eastAsia="zh-CN"/>
        </w:rPr>
      </w:pPr>
    </w:p>
    <w:p>
      <w:pPr>
        <w:pStyle w:val="1"/>
        <w:rPr>
          <w:rFonts w:eastAsia="宋体"/>
          <w:b/>
          <w:sz w:val="24"/>
          <w:lang w:eastAsia="zh-CN"/>
        </w:rPr>
      </w:pPr>
      <w:r>
        <w:rPr>
          <w:rFonts w:eastAsia="宋体"/>
          <w:b/>
          <w:sz w:val="24"/>
          <w:lang w:eastAsia="zh-CN"/>
        </w:rPr>
        <w:t>Conclusion</w:t>
      </w:r>
      <w:r>
        <w:rPr>
          <w:rFonts w:eastAsia="宋体"/>
          <w:b/>
          <w:sz w:val="24"/>
        </w:rPr>
        <w:t xml:space="preserve"> </w:t>
      </w:r>
    </w:p>
    <w:p>
      <w:pPr>
        <w:rPr>
          <w:rFonts w:eastAsia="宋体"/>
          <w:lang w:eastAsia="zh-CN"/>
        </w:rPr>
      </w:pPr>
      <w:r>
        <w:rPr>
          <w:rFonts w:eastAsia="宋体"/>
          <w:lang w:eastAsia="zh-CN"/>
        </w:rPr>
        <w:t>In this contribution, the XR-awareness scheduling and its relation in the work of XR-awareness, XR-specific UE power saving, and XR capacity enhancement in XR enhancement study.    We</w:t>
      </w:r>
      <w:r>
        <w:rPr>
          <w:rFonts w:eastAsia="宋体" w:hint="eastAsia"/>
          <w:lang w:eastAsia="zh-CN"/>
        </w:rPr>
        <w:t xml:space="preserve"> have </w:t>
      </w:r>
      <w:r>
        <w:rPr>
          <w:rFonts w:eastAsia="宋体"/>
          <w:lang w:eastAsia="zh-CN"/>
        </w:rPr>
        <w:t>two</w:t>
      </w:r>
      <w:r>
        <w:rPr>
          <w:rFonts w:eastAsia="宋体" w:hint="eastAsia"/>
          <w:lang w:eastAsia="zh-CN"/>
        </w:rPr>
        <w:t xml:space="preserve"> proposals as follows:</w:t>
      </w:r>
    </w:p>
    <w:p>
      <w:pPr>
        <w:rPr>
          <w:rFonts w:eastAsia="宋体"/>
          <w:lang w:eastAsia="zh-CN"/>
        </w:rPr>
      </w:pPr>
    </w:p>
    <w:p>
      <w:pPr>
        <w:pStyle w:val="af7"/>
        <w:numPr>
          <w:ilvl w:val="0"/>
          <w:numId w:val="18"/>
        </w:numPr>
        <w:jc w:val="both"/>
        <w:rPr>
          <w:rFonts w:eastAsiaTheme="minorEastAsia"/>
          <w:bCs/>
          <w:iCs/>
          <w:szCs w:val="21"/>
          <w:lang w:eastAsia="zh-CN"/>
        </w:rPr>
      </w:pPr>
      <w:r>
        <w:rPr>
          <w:rFonts w:eastAsiaTheme="minorEastAsia" w:hint="eastAsia"/>
          <w:bCs/>
          <w:iCs/>
          <w:szCs w:val="21"/>
          <w:lang w:eastAsia="zh-CN"/>
        </w:rPr>
        <w:t xml:space="preserve">Proposal </w:t>
      </w:r>
      <w:r>
        <w:rPr>
          <w:rFonts w:eastAsiaTheme="minorEastAsia"/>
          <w:bCs/>
          <w:iCs/>
          <w:szCs w:val="21"/>
          <w:lang w:eastAsia="zh-CN"/>
        </w:rPr>
        <w:t xml:space="preserve">1: Whether XR-awareness scheduling could be assumed in RAN1 in the study of XR-specific UE power saving and XR capacity enhancement should be clarified in RAN.  </w:t>
      </w:r>
    </w:p>
    <w:p>
      <w:pPr>
        <w:pStyle w:val="af7"/>
        <w:numPr>
          <w:ilvl w:val="0"/>
          <w:numId w:val="18"/>
        </w:numPr>
        <w:jc w:val="both"/>
        <w:rPr>
          <w:rFonts w:eastAsiaTheme="minorEastAsia"/>
          <w:bCs/>
          <w:iCs/>
          <w:lang w:val="en-US" w:eastAsia="zh-CN"/>
        </w:rPr>
      </w:pPr>
      <w:r>
        <w:rPr>
          <w:rFonts w:eastAsiaTheme="minorEastAsia"/>
          <w:bCs/>
          <w:iCs/>
          <w:lang w:val="en-US" w:eastAsia="zh-CN"/>
        </w:rPr>
        <w:t xml:space="preserve">Proposal 2:  The tasks of XR-awareness scheduling are clarified in RAN2 and RAN1 for the 3rd and 4th quarters of 2022.      </w:t>
      </w:r>
    </w:p>
    <w:p>
      <w:pPr>
        <w:pStyle w:val="af7"/>
        <w:numPr>
          <w:ilvl w:val="1"/>
          <w:numId w:val="18"/>
        </w:numPr>
        <w:jc w:val="both"/>
        <w:rPr>
          <w:rFonts w:eastAsiaTheme="minorEastAsia"/>
          <w:bCs/>
          <w:iCs/>
          <w:lang w:val="en-US" w:eastAsia="zh-CN"/>
        </w:rPr>
      </w:pPr>
      <w:r>
        <w:rPr>
          <w:rFonts w:eastAsiaTheme="minorEastAsia"/>
          <w:bCs/>
          <w:iCs/>
          <w:lang w:val="en-US" w:eastAsia="zh-CN"/>
        </w:rPr>
        <w:t>RAN2 is tasked to study how to retrieve and derive the XR traffic characteristics, QoS metrics and application layer attributes for the XR study</w:t>
      </w:r>
    </w:p>
    <w:p>
      <w:pPr>
        <w:pStyle w:val="af7"/>
        <w:numPr>
          <w:ilvl w:val="1"/>
          <w:numId w:val="18"/>
        </w:numPr>
        <w:jc w:val="both"/>
        <w:rPr>
          <w:rFonts w:eastAsiaTheme="minorEastAsia"/>
          <w:bCs/>
          <w:iCs/>
          <w:lang w:val="en-US" w:eastAsia="zh-CN"/>
        </w:rPr>
      </w:pPr>
      <w:r>
        <w:rPr>
          <w:rFonts w:eastAsiaTheme="minorEastAsia"/>
          <w:bCs/>
          <w:iCs/>
          <w:lang w:val="en-US" w:eastAsia="zh-CN"/>
        </w:rPr>
        <w:t>RAN1 continues the traffic models and system configuration based on the evaluation methodologies in TR38.838 with XR-awareness scheduling and resource allocation for XR-specific power saving and capacity enhancement in parallel to RAN2 study of XR-awareness</w:t>
      </w:r>
    </w:p>
    <w:p>
      <w:pPr>
        <w:pStyle w:val="af7"/>
        <w:numPr>
          <w:ilvl w:val="1"/>
          <w:numId w:val="18"/>
        </w:numPr>
        <w:jc w:val="both"/>
        <w:rPr>
          <w:rFonts w:eastAsiaTheme="minorEastAsia"/>
          <w:bCs/>
          <w:iCs/>
          <w:lang w:val="en-US" w:eastAsia="zh-CN"/>
        </w:rPr>
      </w:pPr>
      <w:r>
        <w:rPr>
          <w:rFonts w:eastAsiaTheme="minorEastAsia"/>
          <w:bCs/>
          <w:iCs/>
          <w:lang w:val="en-US" w:eastAsia="zh-CN"/>
        </w:rPr>
        <w:t xml:space="preserve">If any of RAN2 study results of XR traffic characteristics and application attributes are different to those in TR38.838, RAN2 would inform RAN1 to adjust the evaluation based on RAN2 study output of XR-awareness.  </w:t>
      </w:r>
    </w:p>
    <w:p>
      <w:pPr>
        <w:rPr>
          <w:rFonts w:eastAsia="宋体"/>
          <w:lang w:val="en-US" w:eastAsia="zh-CN"/>
        </w:rPr>
      </w:pPr>
    </w:p>
    <w:p>
      <w:pPr>
        <w:pStyle w:val="1"/>
        <w:rPr>
          <w:rFonts w:eastAsia="宋体"/>
          <w:b/>
          <w:sz w:val="24"/>
          <w:lang w:val="en-US" w:eastAsia="zh-CN"/>
        </w:rPr>
      </w:pPr>
      <w:r>
        <w:rPr>
          <w:rFonts w:eastAsia="宋体"/>
          <w:b/>
          <w:sz w:val="24"/>
          <w:lang w:eastAsia="zh-CN"/>
        </w:rPr>
        <w:t>References</w:t>
      </w:r>
    </w:p>
    <w:p>
      <w:pPr>
        <w:pStyle w:val="af7"/>
        <w:numPr>
          <w:ilvl w:val="0"/>
          <w:numId w:val="14"/>
        </w:numPr>
        <w:rPr>
          <w:rFonts w:eastAsia="宋体"/>
          <w:lang w:eastAsia="zh-CN"/>
        </w:rPr>
      </w:pPr>
      <w:bookmarkStart w:id="7" w:name="_Ref101443413"/>
      <w:bookmarkStart w:id="8" w:name="_Ref101377068"/>
      <w:r>
        <w:rPr>
          <w:rFonts w:eastAsia="宋体" w:hint="eastAsia"/>
          <w:lang w:eastAsia="zh-CN"/>
        </w:rPr>
        <w:t xml:space="preserve">3GPP TR 38.838, </w:t>
      </w:r>
      <w:r>
        <w:t>Study on XR (Extended Reality) Evaluations for NR</w:t>
      </w:r>
      <w:r>
        <w:rPr>
          <w:rFonts w:eastAsia="宋体" w:hint="eastAsia"/>
          <w:lang w:eastAsia="zh-CN"/>
        </w:rPr>
        <w:t>.</w:t>
      </w:r>
      <w:bookmarkEnd w:id="7"/>
    </w:p>
    <w:p>
      <w:pPr>
        <w:pStyle w:val="af7"/>
        <w:numPr>
          <w:ilvl w:val="0"/>
          <w:numId w:val="14"/>
        </w:numPr>
        <w:rPr>
          <w:rFonts w:eastAsia="宋体"/>
          <w:lang w:eastAsia="zh-CN"/>
        </w:rPr>
      </w:pPr>
      <w:bookmarkStart w:id="9" w:name="_Ref101443418"/>
      <w:r>
        <w:rPr>
          <w:rFonts w:eastAsia="宋体"/>
          <w:lang w:eastAsia="zh-CN"/>
        </w:rPr>
        <w:t>RP-220285</w:t>
      </w:r>
      <w:r>
        <w:rPr>
          <w:rFonts w:eastAsia="宋体" w:hint="eastAsia"/>
          <w:lang w:eastAsia="zh-CN"/>
        </w:rPr>
        <w:t xml:space="preserve">, </w:t>
      </w:r>
      <w:r>
        <w:rPr>
          <w:rFonts w:eastAsia="宋体"/>
          <w:lang w:eastAsia="zh-CN"/>
        </w:rPr>
        <w:t>Revised SID: Study on XR Enhancements for NR</w:t>
      </w:r>
      <w:r>
        <w:rPr>
          <w:rFonts w:eastAsia="宋体" w:hint="eastAsia"/>
          <w:lang w:eastAsia="zh-CN"/>
        </w:rPr>
        <w:t>,</w:t>
      </w:r>
      <w:r>
        <w:t xml:space="preserve"> </w:t>
      </w:r>
      <w:r>
        <w:rPr>
          <w:rFonts w:eastAsia="宋体"/>
          <w:lang w:eastAsia="zh-CN"/>
        </w:rPr>
        <w:t>Nokia (Rapporteur)</w:t>
      </w:r>
      <w:r>
        <w:rPr>
          <w:rFonts w:eastAsia="宋体" w:hint="eastAsia"/>
          <w:lang w:eastAsia="zh-CN"/>
        </w:rPr>
        <w:t>.</w:t>
      </w:r>
      <w:bookmarkEnd w:id="9"/>
    </w:p>
    <w:p>
      <w:pPr>
        <w:pStyle w:val="af7"/>
        <w:numPr>
          <w:ilvl w:val="0"/>
          <w:numId w:val="14"/>
        </w:numPr>
        <w:rPr>
          <w:rFonts w:eastAsia="宋体"/>
          <w:lang w:val="en-US" w:eastAsia="zh-CN"/>
        </w:rPr>
      </w:pPr>
      <w:bookmarkStart w:id="10" w:name="_Ref101445690"/>
      <w:r>
        <w:rPr>
          <w:rFonts w:eastAsia="宋体" w:hint="eastAsia"/>
          <w:lang w:val="en-US" w:eastAsia="zh-CN"/>
        </w:rPr>
        <w:t>3GPP TR 23.700, Study on XR (Extended Reality) and media services.</w:t>
      </w:r>
      <w:bookmarkEnd w:id="8"/>
      <w:bookmarkEnd w:id="10"/>
    </w:p>
    <w:p>
      <w:pPr>
        <w:pStyle w:val="af7"/>
        <w:numPr>
          <w:ilvl w:val="0"/>
          <w:numId w:val="14"/>
        </w:numPr>
        <w:rPr>
          <w:rFonts w:eastAsia="宋体"/>
          <w:lang w:val="en-US" w:eastAsia="zh-CN"/>
        </w:rPr>
      </w:pPr>
      <w:bookmarkStart w:id="11" w:name="_Ref101377082"/>
      <w:r>
        <w:rPr>
          <w:rFonts w:eastAsia="宋体" w:hint="eastAsia"/>
          <w:lang w:val="en-US" w:eastAsia="zh-CN"/>
        </w:rPr>
        <w:t>S2-2202715, New Solution for KI#4/5: Sub-QoS Flow based QoS Architecture and Policy Control, CATT.</w:t>
      </w:r>
      <w:bookmarkEnd w:id="11"/>
    </w:p>
    <w:p>
      <w:pPr>
        <w:pStyle w:val="af7"/>
        <w:numPr>
          <w:ilvl w:val="0"/>
          <w:numId w:val="14"/>
        </w:numPr>
        <w:rPr>
          <w:rFonts w:eastAsia="宋体"/>
          <w:lang w:val="en-US" w:eastAsia="zh-CN"/>
        </w:rPr>
      </w:pPr>
      <w:bookmarkStart w:id="12" w:name="_Ref101377016"/>
      <w:r>
        <w:t>3GPP TS 22.261</w:t>
      </w:r>
      <w:r>
        <w:rPr>
          <w:rFonts w:eastAsiaTheme="minorEastAsia" w:hint="eastAsia"/>
          <w:lang w:eastAsia="zh-CN"/>
        </w:rPr>
        <w:t>,</w:t>
      </w:r>
      <w:r>
        <w:t xml:space="preserve"> Service requirements for the 5G system; Stage 1.</w:t>
      </w:r>
      <w:bookmarkEnd w:id="12"/>
    </w:p>
    <w:p>
      <w:pPr>
        <w:pStyle w:val="af7"/>
        <w:numPr>
          <w:ilvl w:val="0"/>
          <w:numId w:val="14"/>
        </w:numPr>
        <w:rPr>
          <w:rFonts w:eastAsia="宋体"/>
          <w:lang w:val="en-US" w:eastAsia="zh-CN"/>
        </w:rPr>
      </w:pPr>
      <w:bookmarkStart w:id="13" w:name="_Ref104638495"/>
      <w:r>
        <w:t>RP-213587, New SID “Study on XR Enhancements for NR”, Nokia</w:t>
      </w:r>
      <w:bookmarkEnd w:id="13"/>
    </w:p>
    <w:sectPr>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Fonts w:eastAsia="宋体"/>
        <w:lang w:eastAsia="zh-CN"/>
      </w:rPr>
      <w:t>1</w:t>
    </w:r>
    <w:r>
      <w:rPr>
        <w:rStyle w:val="af1"/>
      </w:rPr>
      <w:fldChar w:fldCharType="end"/>
    </w:r>
  </w:p>
  <w:p>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1</w:t>
    </w:r>
    <w:r>
      <w:rPr>
        <w:rStyle w:val="af1"/>
      </w:rPr>
      <w:fldChar w:fldCharType="end"/>
    </w:r>
  </w:p>
  <w:p>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D9C4862"/>
    <w:multiLevelType w:val="multilevel"/>
    <w:tmpl w:val="1316752E"/>
    <w:lvl w:ilvl="0">
      <w:start w:val="1"/>
      <w:numFmt w:val="decimal"/>
      <w:pStyle w:val="1"/>
      <w:lvlText w:val="%1"/>
      <w:lvlJc w:val="left"/>
      <w:pPr>
        <w:tabs>
          <w:tab w:val="left" w:pos="450"/>
        </w:tabs>
        <w:ind w:left="450" w:hanging="450"/>
      </w:pPr>
      <w:rPr>
        <w:rFonts w:eastAsia="MS Mincho" w:hint="default"/>
        <w:lang w:val="en-GB"/>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pStyle w:val="3"/>
      <w:lvlText w:val="%1.%2.%3"/>
      <w:lvlJc w:val="left"/>
      <w:pPr>
        <w:tabs>
          <w:tab w:val="left" w:pos="1713"/>
        </w:tabs>
        <w:ind w:left="1713"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2">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A5E212A"/>
    <w:multiLevelType w:val="hybridMultilevel"/>
    <w:tmpl w:val="FE744D6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18B5027"/>
    <w:multiLevelType w:val="hybridMultilevel"/>
    <w:tmpl w:val="3A80A080"/>
    <w:lvl w:ilvl="0" w:tplc="709ED10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F31694A"/>
    <w:multiLevelType w:val="hybridMultilevel"/>
    <w:tmpl w:val="0D280D98"/>
    <w:lvl w:ilvl="0" w:tplc="BA74AE6A">
      <w:start w:val="1"/>
      <w:numFmt w:val="bullet"/>
      <w:lvlText w:val="•"/>
      <w:lvlJc w:val="left"/>
      <w:pPr>
        <w:tabs>
          <w:tab w:val="num" w:pos="720"/>
        </w:tabs>
        <w:ind w:left="720" w:hanging="360"/>
      </w:pPr>
      <w:rPr>
        <w:rFonts w:ascii="Arial" w:hAnsi="Arial" w:hint="default"/>
      </w:rPr>
    </w:lvl>
    <w:lvl w:ilvl="1" w:tplc="BED6D036" w:tentative="1">
      <w:start w:val="1"/>
      <w:numFmt w:val="bullet"/>
      <w:lvlText w:val="•"/>
      <w:lvlJc w:val="left"/>
      <w:pPr>
        <w:tabs>
          <w:tab w:val="num" w:pos="1440"/>
        </w:tabs>
        <w:ind w:left="1440" w:hanging="360"/>
      </w:pPr>
      <w:rPr>
        <w:rFonts w:ascii="Arial" w:hAnsi="Arial" w:hint="default"/>
      </w:rPr>
    </w:lvl>
    <w:lvl w:ilvl="2" w:tplc="47C6C386" w:tentative="1">
      <w:start w:val="1"/>
      <w:numFmt w:val="bullet"/>
      <w:lvlText w:val="•"/>
      <w:lvlJc w:val="left"/>
      <w:pPr>
        <w:tabs>
          <w:tab w:val="num" w:pos="2160"/>
        </w:tabs>
        <w:ind w:left="2160" w:hanging="360"/>
      </w:pPr>
      <w:rPr>
        <w:rFonts w:ascii="Arial" w:hAnsi="Arial" w:hint="default"/>
      </w:rPr>
    </w:lvl>
    <w:lvl w:ilvl="3" w:tplc="75D035AA" w:tentative="1">
      <w:start w:val="1"/>
      <w:numFmt w:val="bullet"/>
      <w:lvlText w:val="•"/>
      <w:lvlJc w:val="left"/>
      <w:pPr>
        <w:tabs>
          <w:tab w:val="num" w:pos="2880"/>
        </w:tabs>
        <w:ind w:left="2880" w:hanging="360"/>
      </w:pPr>
      <w:rPr>
        <w:rFonts w:ascii="Arial" w:hAnsi="Arial" w:hint="default"/>
      </w:rPr>
    </w:lvl>
    <w:lvl w:ilvl="4" w:tplc="42901504" w:tentative="1">
      <w:start w:val="1"/>
      <w:numFmt w:val="bullet"/>
      <w:lvlText w:val="•"/>
      <w:lvlJc w:val="left"/>
      <w:pPr>
        <w:tabs>
          <w:tab w:val="num" w:pos="3600"/>
        </w:tabs>
        <w:ind w:left="3600" w:hanging="360"/>
      </w:pPr>
      <w:rPr>
        <w:rFonts w:ascii="Arial" w:hAnsi="Arial" w:hint="default"/>
      </w:rPr>
    </w:lvl>
    <w:lvl w:ilvl="5" w:tplc="811803D2" w:tentative="1">
      <w:start w:val="1"/>
      <w:numFmt w:val="bullet"/>
      <w:lvlText w:val="•"/>
      <w:lvlJc w:val="left"/>
      <w:pPr>
        <w:tabs>
          <w:tab w:val="num" w:pos="4320"/>
        </w:tabs>
        <w:ind w:left="4320" w:hanging="360"/>
      </w:pPr>
      <w:rPr>
        <w:rFonts w:ascii="Arial" w:hAnsi="Arial" w:hint="default"/>
      </w:rPr>
    </w:lvl>
    <w:lvl w:ilvl="6" w:tplc="DE68CD14" w:tentative="1">
      <w:start w:val="1"/>
      <w:numFmt w:val="bullet"/>
      <w:lvlText w:val="•"/>
      <w:lvlJc w:val="left"/>
      <w:pPr>
        <w:tabs>
          <w:tab w:val="num" w:pos="5040"/>
        </w:tabs>
        <w:ind w:left="5040" w:hanging="360"/>
      </w:pPr>
      <w:rPr>
        <w:rFonts w:ascii="Arial" w:hAnsi="Arial" w:hint="default"/>
      </w:rPr>
    </w:lvl>
    <w:lvl w:ilvl="7" w:tplc="120CAC72" w:tentative="1">
      <w:start w:val="1"/>
      <w:numFmt w:val="bullet"/>
      <w:lvlText w:val="•"/>
      <w:lvlJc w:val="left"/>
      <w:pPr>
        <w:tabs>
          <w:tab w:val="num" w:pos="5760"/>
        </w:tabs>
        <w:ind w:left="5760" w:hanging="360"/>
      </w:pPr>
      <w:rPr>
        <w:rFonts w:ascii="Arial" w:hAnsi="Arial" w:hint="default"/>
      </w:rPr>
    </w:lvl>
    <w:lvl w:ilvl="8" w:tplc="478E8C66" w:tentative="1">
      <w:start w:val="1"/>
      <w:numFmt w:val="bullet"/>
      <w:lvlText w:val="•"/>
      <w:lvlJc w:val="left"/>
      <w:pPr>
        <w:tabs>
          <w:tab w:val="num" w:pos="6480"/>
        </w:tabs>
        <w:ind w:left="6480" w:hanging="360"/>
      </w:pPr>
      <w:rPr>
        <w:rFonts w:ascii="Arial" w:hAnsi="Arial" w:hint="default"/>
      </w:rPr>
    </w:lvl>
  </w:abstractNum>
  <w:abstractNum w:abstractNumId="7">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nsid w:val="4BC61D4A"/>
    <w:multiLevelType w:val="hybridMultilevel"/>
    <w:tmpl w:val="8C82BA8C"/>
    <w:lvl w:ilvl="0" w:tplc="709ED10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2">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nsid w:val="620D68ED"/>
    <w:multiLevelType w:val="hybridMultilevel"/>
    <w:tmpl w:val="4B96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776C51"/>
    <w:multiLevelType w:val="hybridMultilevel"/>
    <w:tmpl w:val="52420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C6798C"/>
    <w:multiLevelType w:val="hybridMultilevel"/>
    <w:tmpl w:val="A24CA6C4"/>
    <w:lvl w:ilvl="0" w:tplc="A9B638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1"/>
  </w:num>
  <w:num w:numId="3">
    <w:abstractNumId w:val="8"/>
  </w:num>
  <w:num w:numId="4">
    <w:abstractNumId w:val="17"/>
  </w:num>
  <w:num w:numId="5">
    <w:abstractNumId w:val="0"/>
  </w:num>
  <w:num w:numId="6">
    <w:abstractNumId w:val="2"/>
  </w:num>
  <w:num w:numId="7">
    <w:abstractNumId w:val="12"/>
  </w:num>
  <w:num w:numId="8">
    <w:abstractNumId w:val="7"/>
  </w:num>
  <w:num w:numId="9">
    <w:abstractNumId w:val="9"/>
  </w:num>
  <w:num w:numId="10">
    <w:abstractNumId w:val="3"/>
  </w:num>
  <w:num w:numId="11">
    <w:abstractNumId w:val="4"/>
  </w:num>
  <w:num w:numId="12">
    <w:abstractNumId w:val="6"/>
  </w:num>
  <w:num w:numId="13">
    <w:abstractNumId w:val="10"/>
  </w:num>
  <w:num w:numId="14">
    <w:abstractNumId w:val="5"/>
  </w:num>
  <w:num w:numId="15">
    <w:abstractNumId w:val="14"/>
  </w:num>
  <w:num w:numId="16">
    <w:abstractNumId w:val="16"/>
  </w:num>
  <w:num w:numId="17">
    <w:abstractNumId w:val="13"/>
  </w:num>
  <w:num w:numId="1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9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1287"/>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9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31">
    <w:name w:val="修订3"/>
    <w:hidden/>
    <w:uiPriority w:val="99"/>
    <w:unhideWhenUsed/>
    <w:rPr>
      <w:rFonts w:eastAsia="Times New Roman"/>
      <w:lang w:val="en-GB" w:eastAsia="en-US"/>
    </w:rPr>
  </w:style>
  <w:style w:type="paragraph" w:customStyle="1" w:styleId="xmsonormal">
    <w:name w:val="x_msonormal"/>
    <w:basedOn w:val="a0"/>
    <w:uiPriority w:val="99"/>
    <w:qFormat/>
    <w:pPr>
      <w:spacing w:after="0"/>
    </w:pPr>
    <w:rPr>
      <w:rFonts w:eastAsia="Calibri"/>
      <w:sz w:val="24"/>
      <w:szCs w:val="24"/>
      <w:lang w:val="en-US" w:eastAsia="zh-CN"/>
    </w:rPr>
  </w:style>
  <w:style w:type="character" w:customStyle="1" w:styleId="xapple-converted-space">
    <w:name w:val="x_apple-converted-space"/>
    <w:basedOn w:val="a1"/>
    <w:qFormat/>
  </w:style>
  <w:style w:type="paragraph" w:customStyle="1" w:styleId="xxmsonormal">
    <w:name w:val="x_xmsonormal"/>
    <w:basedOn w:val="a0"/>
    <w:pPr>
      <w:spacing w:after="0"/>
    </w:pPr>
    <w:rPr>
      <w:rFonts w:ascii="宋体" w:eastAsia="宋体" w:hAnsi="宋体" w:cs="Calibri"/>
      <w:sz w:val="24"/>
      <w:szCs w:val="24"/>
      <w:lang w:val="en-US"/>
    </w:rPr>
  </w:style>
  <w:style w:type="table" w:styleId="-3">
    <w:name w:val="Light Grid Accent 3"/>
    <w:basedOn w:val="a2"/>
    <w:uiPriority w:val="62"/>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
    <w:name w:val="Light Shading Accent 1"/>
    <w:basedOn w:val="a2"/>
    <w:uiPriority w:val="6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2"/>
    <w:uiPriority w:val="60"/>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2"/>
    <w:uiPriority w:val="60"/>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2"/>
    <w:uiPriority w:val="60"/>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0">
    <w:name w:val="Light List Accent 2"/>
    <w:basedOn w:val="a2"/>
    <w:uiPriority w:val="61"/>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1">
    <w:name w:val="Light List Accent 3"/>
    <w:basedOn w:val="a2"/>
    <w:uiPriority w:val="61"/>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0">
    <w:name w:val="Light List Accent 1"/>
    <w:basedOn w:val="a2"/>
    <w:uiPriority w:val="6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9">
    <w:name w:val="Revision"/>
    <w:hidden/>
    <w:uiPriority w:val="99"/>
    <w:semiHidden/>
    <w:rPr>
      <w:rFonts w:eastAsia="Times New Roman"/>
      <w:lang w:val="en-GB" w:eastAsia="en-US"/>
    </w:rPr>
  </w:style>
  <w:style w:type="table" w:styleId="3-1">
    <w:name w:val="Medium Grid 3 Accent 1"/>
    <w:basedOn w:val="a2"/>
    <w:uiPriority w:val="69"/>
    <w:rPr>
      <w:rFonts w:asciiTheme="minorHAnsi" w:eastAsiaTheme="minorEastAsia" w:hAnsiTheme="minorHAnsi" w:cstheme="minorBidi"/>
      <w:kern w:val="2"/>
      <w:sz w:val="21"/>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2"/>
    <w:uiPriority w:val="69"/>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1">
    <w:name w:val="Medium Shading 1 Accent 1"/>
    <w:basedOn w:val="a2"/>
    <w:uiPriority w:val="63"/>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2"/>
    <w:uiPriority w:val="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9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1287"/>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9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31">
    <w:name w:val="修订3"/>
    <w:hidden/>
    <w:uiPriority w:val="99"/>
    <w:unhideWhenUsed/>
    <w:rPr>
      <w:rFonts w:eastAsia="Times New Roman"/>
      <w:lang w:val="en-GB" w:eastAsia="en-US"/>
    </w:rPr>
  </w:style>
  <w:style w:type="paragraph" w:customStyle="1" w:styleId="xmsonormal">
    <w:name w:val="x_msonormal"/>
    <w:basedOn w:val="a0"/>
    <w:uiPriority w:val="99"/>
    <w:qFormat/>
    <w:pPr>
      <w:spacing w:after="0"/>
    </w:pPr>
    <w:rPr>
      <w:rFonts w:eastAsia="Calibri"/>
      <w:sz w:val="24"/>
      <w:szCs w:val="24"/>
      <w:lang w:val="en-US" w:eastAsia="zh-CN"/>
    </w:rPr>
  </w:style>
  <w:style w:type="character" w:customStyle="1" w:styleId="xapple-converted-space">
    <w:name w:val="x_apple-converted-space"/>
    <w:basedOn w:val="a1"/>
    <w:qFormat/>
  </w:style>
  <w:style w:type="paragraph" w:customStyle="1" w:styleId="xxmsonormal">
    <w:name w:val="x_xmsonormal"/>
    <w:basedOn w:val="a0"/>
    <w:pPr>
      <w:spacing w:after="0"/>
    </w:pPr>
    <w:rPr>
      <w:rFonts w:ascii="宋体" w:eastAsia="宋体" w:hAnsi="宋体" w:cs="Calibri"/>
      <w:sz w:val="24"/>
      <w:szCs w:val="24"/>
      <w:lang w:val="en-US"/>
    </w:rPr>
  </w:style>
  <w:style w:type="table" w:styleId="-3">
    <w:name w:val="Light Grid Accent 3"/>
    <w:basedOn w:val="a2"/>
    <w:uiPriority w:val="62"/>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
    <w:name w:val="Light Shading Accent 1"/>
    <w:basedOn w:val="a2"/>
    <w:uiPriority w:val="6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2"/>
    <w:uiPriority w:val="60"/>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2"/>
    <w:uiPriority w:val="60"/>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2"/>
    <w:uiPriority w:val="60"/>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0">
    <w:name w:val="Light List Accent 2"/>
    <w:basedOn w:val="a2"/>
    <w:uiPriority w:val="61"/>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1">
    <w:name w:val="Light List Accent 3"/>
    <w:basedOn w:val="a2"/>
    <w:uiPriority w:val="61"/>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0">
    <w:name w:val="Light List Accent 1"/>
    <w:basedOn w:val="a2"/>
    <w:uiPriority w:val="6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9">
    <w:name w:val="Revision"/>
    <w:hidden/>
    <w:uiPriority w:val="99"/>
    <w:semiHidden/>
    <w:rPr>
      <w:rFonts w:eastAsia="Times New Roman"/>
      <w:lang w:val="en-GB" w:eastAsia="en-US"/>
    </w:rPr>
  </w:style>
  <w:style w:type="table" w:styleId="3-1">
    <w:name w:val="Medium Grid 3 Accent 1"/>
    <w:basedOn w:val="a2"/>
    <w:uiPriority w:val="69"/>
    <w:rPr>
      <w:rFonts w:asciiTheme="minorHAnsi" w:eastAsiaTheme="minorEastAsia" w:hAnsiTheme="minorHAnsi" w:cstheme="minorBidi"/>
      <w:kern w:val="2"/>
      <w:sz w:val="21"/>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2"/>
    <w:uiPriority w:val="69"/>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1">
    <w:name w:val="Medium Shading 1 Accent 1"/>
    <w:basedOn w:val="a2"/>
    <w:uiPriority w:val="63"/>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2"/>
    <w:uiPriority w:val="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017048">
      <w:bodyDiv w:val="1"/>
      <w:marLeft w:val="0"/>
      <w:marRight w:val="0"/>
      <w:marTop w:val="0"/>
      <w:marBottom w:val="0"/>
      <w:divBdr>
        <w:top w:val="none" w:sz="0" w:space="0" w:color="auto"/>
        <w:left w:val="none" w:sz="0" w:space="0" w:color="auto"/>
        <w:bottom w:val="none" w:sz="0" w:space="0" w:color="auto"/>
        <w:right w:val="none" w:sz="0" w:space="0" w:color="auto"/>
      </w:divBdr>
    </w:div>
    <w:div w:id="649405763">
      <w:bodyDiv w:val="1"/>
      <w:marLeft w:val="0"/>
      <w:marRight w:val="0"/>
      <w:marTop w:val="0"/>
      <w:marBottom w:val="0"/>
      <w:divBdr>
        <w:top w:val="none" w:sz="0" w:space="0" w:color="auto"/>
        <w:left w:val="none" w:sz="0" w:space="0" w:color="auto"/>
        <w:bottom w:val="none" w:sz="0" w:space="0" w:color="auto"/>
        <w:right w:val="none" w:sz="0" w:space="0" w:color="auto"/>
      </w:divBdr>
    </w:div>
    <w:div w:id="740716197">
      <w:bodyDiv w:val="1"/>
      <w:marLeft w:val="0"/>
      <w:marRight w:val="0"/>
      <w:marTop w:val="0"/>
      <w:marBottom w:val="0"/>
      <w:divBdr>
        <w:top w:val="none" w:sz="0" w:space="0" w:color="auto"/>
        <w:left w:val="none" w:sz="0" w:space="0" w:color="auto"/>
        <w:bottom w:val="none" w:sz="0" w:space="0" w:color="auto"/>
        <w:right w:val="none" w:sz="0" w:space="0" w:color="auto"/>
      </w:divBdr>
    </w:div>
    <w:div w:id="794836192">
      <w:bodyDiv w:val="1"/>
      <w:marLeft w:val="0"/>
      <w:marRight w:val="0"/>
      <w:marTop w:val="0"/>
      <w:marBottom w:val="0"/>
      <w:divBdr>
        <w:top w:val="none" w:sz="0" w:space="0" w:color="auto"/>
        <w:left w:val="none" w:sz="0" w:space="0" w:color="auto"/>
        <w:bottom w:val="none" w:sz="0" w:space="0" w:color="auto"/>
        <w:right w:val="none" w:sz="0" w:space="0" w:color="auto"/>
      </w:divBdr>
    </w:div>
    <w:div w:id="871646398">
      <w:bodyDiv w:val="1"/>
      <w:marLeft w:val="0"/>
      <w:marRight w:val="0"/>
      <w:marTop w:val="0"/>
      <w:marBottom w:val="0"/>
      <w:divBdr>
        <w:top w:val="none" w:sz="0" w:space="0" w:color="auto"/>
        <w:left w:val="none" w:sz="0" w:space="0" w:color="auto"/>
        <w:bottom w:val="none" w:sz="0" w:space="0" w:color="auto"/>
        <w:right w:val="none" w:sz="0" w:space="0" w:color="auto"/>
      </w:divBdr>
      <w:divsChild>
        <w:div w:id="476268390">
          <w:marLeft w:val="547"/>
          <w:marRight w:val="0"/>
          <w:marTop w:val="40"/>
          <w:marBottom w:val="0"/>
          <w:divBdr>
            <w:top w:val="none" w:sz="0" w:space="0" w:color="auto"/>
            <w:left w:val="none" w:sz="0" w:space="0" w:color="auto"/>
            <w:bottom w:val="none" w:sz="0" w:space="0" w:color="auto"/>
            <w:right w:val="none" w:sz="0" w:space="0" w:color="auto"/>
          </w:divBdr>
        </w:div>
      </w:divsChild>
    </w:div>
    <w:div w:id="953706229">
      <w:bodyDiv w:val="1"/>
      <w:marLeft w:val="0"/>
      <w:marRight w:val="0"/>
      <w:marTop w:val="0"/>
      <w:marBottom w:val="0"/>
      <w:divBdr>
        <w:top w:val="none" w:sz="0" w:space="0" w:color="auto"/>
        <w:left w:val="none" w:sz="0" w:space="0" w:color="auto"/>
        <w:bottom w:val="none" w:sz="0" w:space="0" w:color="auto"/>
        <w:right w:val="none" w:sz="0" w:space="0" w:color="auto"/>
      </w:divBdr>
    </w:div>
    <w:div w:id="979193799">
      <w:bodyDiv w:val="1"/>
      <w:marLeft w:val="0"/>
      <w:marRight w:val="0"/>
      <w:marTop w:val="0"/>
      <w:marBottom w:val="0"/>
      <w:divBdr>
        <w:top w:val="none" w:sz="0" w:space="0" w:color="auto"/>
        <w:left w:val="none" w:sz="0" w:space="0" w:color="auto"/>
        <w:bottom w:val="none" w:sz="0" w:space="0" w:color="auto"/>
        <w:right w:val="none" w:sz="0" w:space="0" w:color="auto"/>
      </w:divBdr>
    </w:div>
    <w:div w:id="1021122787">
      <w:bodyDiv w:val="1"/>
      <w:marLeft w:val="0"/>
      <w:marRight w:val="0"/>
      <w:marTop w:val="0"/>
      <w:marBottom w:val="0"/>
      <w:divBdr>
        <w:top w:val="none" w:sz="0" w:space="0" w:color="auto"/>
        <w:left w:val="none" w:sz="0" w:space="0" w:color="auto"/>
        <w:bottom w:val="none" w:sz="0" w:space="0" w:color="auto"/>
        <w:right w:val="none" w:sz="0" w:space="0" w:color="auto"/>
      </w:divBdr>
      <w:divsChild>
        <w:div w:id="1202548501">
          <w:marLeft w:val="1166"/>
          <w:marRight w:val="0"/>
          <w:marTop w:val="53"/>
          <w:marBottom w:val="0"/>
          <w:divBdr>
            <w:top w:val="none" w:sz="0" w:space="0" w:color="auto"/>
            <w:left w:val="none" w:sz="0" w:space="0" w:color="auto"/>
            <w:bottom w:val="none" w:sz="0" w:space="0" w:color="auto"/>
            <w:right w:val="none" w:sz="0" w:space="0" w:color="auto"/>
          </w:divBdr>
        </w:div>
        <w:div w:id="1268270400">
          <w:marLeft w:val="1166"/>
          <w:marRight w:val="0"/>
          <w:marTop w:val="53"/>
          <w:marBottom w:val="0"/>
          <w:divBdr>
            <w:top w:val="none" w:sz="0" w:space="0" w:color="auto"/>
            <w:left w:val="none" w:sz="0" w:space="0" w:color="auto"/>
            <w:bottom w:val="none" w:sz="0" w:space="0" w:color="auto"/>
            <w:right w:val="none" w:sz="0" w:space="0" w:color="auto"/>
          </w:divBdr>
        </w:div>
      </w:divsChild>
    </w:div>
    <w:div w:id="1259143692">
      <w:bodyDiv w:val="1"/>
      <w:marLeft w:val="0"/>
      <w:marRight w:val="0"/>
      <w:marTop w:val="0"/>
      <w:marBottom w:val="0"/>
      <w:divBdr>
        <w:top w:val="none" w:sz="0" w:space="0" w:color="auto"/>
        <w:left w:val="none" w:sz="0" w:space="0" w:color="auto"/>
        <w:bottom w:val="none" w:sz="0" w:space="0" w:color="auto"/>
        <w:right w:val="none" w:sz="0" w:space="0" w:color="auto"/>
      </w:divBdr>
    </w:div>
    <w:div w:id="1271081873">
      <w:bodyDiv w:val="1"/>
      <w:marLeft w:val="0"/>
      <w:marRight w:val="0"/>
      <w:marTop w:val="0"/>
      <w:marBottom w:val="0"/>
      <w:divBdr>
        <w:top w:val="none" w:sz="0" w:space="0" w:color="auto"/>
        <w:left w:val="none" w:sz="0" w:space="0" w:color="auto"/>
        <w:bottom w:val="none" w:sz="0" w:space="0" w:color="auto"/>
        <w:right w:val="none" w:sz="0" w:space="0" w:color="auto"/>
      </w:divBdr>
    </w:div>
    <w:div w:id="1305694778">
      <w:bodyDiv w:val="1"/>
      <w:marLeft w:val="0"/>
      <w:marRight w:val="0"/>
      <w:marTop w:val="0"/>
      <w:marBottom w:val="0"/>
      <w:divBdr>
        <w:top w:val="none" w:sz="0" w:space="0" w:color="auto"/>
        <w:left w:val="none" w:sz="0" w:space="0" w:color="auto"/>
        <w:bottom w:val="none" w:sz="0" w:space="0" w:color="auto"/>
        <w:right w:val="none" w:sz="0" w:space="0" w:color="auto"/>
      </w:divBdr>
    </w:div>
    <w:div w:id="1327510396">
      <w:bodyDiv w:val="1"/>
      <w:marLeft w:val="0"/>
      <w:marRight w:val="0"/>
      <w:marTop w:val="0"/>
      <w:marBottom w:val="0"/>
      <w:divBdr>
        <w:top w:val="none" w:sz="0" w:space="0" w:color="auto"/>
        <w:left w:val="none" w:sz="0" w:space="0" w:color="auto"/>
        <w:bottom w:val="none" w:sz="0" w:space="0" w:color="auto"/>
        <w:right w:val="none" w:sz="0" w:space="0" w:color="auto"/>
      </w:divBdr>
    </w:div>
    <w:div w:id="1330595816">
      <w:bodyDiv w:val="1"/>
      <w:marLeft w:val="0"/>
      <w:marRight w:val="0"/>
      <w:marTop w:val="0"/>
      <w:marBottom w:val="0"/>
      <w:divBdr>
        <w:top w:val="none" w:sz="0" w:space="0" w:color="auto"/>
        <w:left w:val="none" w:sz="0" w:space="0" w:color="auto"/>
        <w:bottom w:val="none" w:sz="0" w:space="0" w:color="auto"/>
        <w:right w:val="none" w:sz="0" w:space="0" w:color="auto"/>
      </w:divBdr>
    </w:div>
    <w:div w:id="1340232910">
      <w:bodyDiv w:val="1"/>
      <w:marLeft w:val="0"/>
      <w:marRight w:val="0"/>
      <w:marTop w:val="0"/>
      <w:marBottom w:val="0"/>
      <w:divBdr>
        <w:top w:val="none" w:sz="0" w:space="0" w:color="auto"/>
        <w:left w:val="none" w:sz="0" w:space="0" w:color="auto"/>
        <w:bottom w:val="none" w:sz="0" w:space="0" w:color="auto"/>
        <w:right w:val="none" w:sz="0" w:space="0" w:color="auto"/>
      </w:divBdr>
    </w:div>
    <w:div w:id="1355692868">
      <w:bodyDiv w:val="1"/>
      <w:marLeft w:val="0"/>
      <w:marRight w:val="0"/>
      <w:marTop w:val="0"/>
      <w:marBottom w:val="0"/>
      <w:divBdr>
        <w:top w:val="none" w:sz="0" w:space="0" w:color="auto"/>
        <w:left w:val="none" w:sz="0" w:space="0" w:color="auto"/>
        <w:bottom w:val="none" w:sz="0" w:space="0" w:color="auto"/>
        <w:right w:val="none" w:sz="0" w:space="0" w:color="auto"/>
      </w:divBdr>
    </w:div>
    <w:div w:id="1489589660">
      <w:bodyDiv w:val="1"/>
      <w:marLeft w:val="0"/>
      <w:marRight w:val="0"/>
      <w:marTop w:val="0"/>
      <w:marBottom w:val="0"/>
      <w:divBdr>
        <w:top w:val="none" w:sz="0" w:space="0" w:color="auto"/>
        <w:left w:val="none" w:sz="0" w:space="0" w:color="auto"/>
        <w:bottom w:val="none" w:sz="0" w:space="0" w:color="auto"/>
        <w:right w:val="none" w:sz="0" w:space="0" w:color="auto"/>
      </w:divBdr>
    </w:div>
    <w:div w:id="1536653471">
      <w:bodyDiv w:val="1"/>
      <w:marLeft w:val="0"/>
      <w:marRight w:val="0"/>
      <w:marTop w:val="0"/>
      <w:marBottom w:val="0"/>
      <w:divBdr>
        <w:top w:val="none" w:sz="0" w:space="0" w:color="auto"/>
        <w:left w:val="none" w:sz="0" w:space="0" w:color="auto"/>
        <w:bottom w:val="none" w:sz="0" w:space="0" w:color="auto"/>
        <w:right w:val="none" w:sz="0" w:space="0" w:color="auto"/>
      </w:divBdr>
    </w:div>
    <w:div w:id="1547255335">
      <w:bodyDiv w:val="1"/>
      <w:marLeft w:val="0"/>
      <w:marRight w:val="0"/>
      <w:marTop w:val="0"/>
      <w:marBottom w:val="0"/>
      <w:divBdr>
        <w:top w:val="none" w:sz="0" w:space="0" w:color="auto"/>
        <w:left w:val="none" w:sz="0" w:space="0" w:color="auto"/>
        <w:bottom w:val="none" w:sz="0" w:space="0" w:color="auto"/>
        <w:right w:val="none" w:sz="0" w:space="0" w:color="auto"/>
      </w:divBdr>
    </w:div>
    <w:div w:id="1559241936">
      <w:bodyDiv w:val="1"/>
      <w:marLeft w:val="0"/>
      <w:marRight w:val="0"/>
      <w:marTop w:val="0"/>
      <w:marBottom w:val="0"/>
      <w:divBdr>
        <w:top w:val="none" w:sz="0" w:space="0" w:color="auto"/>
        <w:left w:val="none" w:sz="0" w:space="0" w:color="auto"/>
        <w:bottom w:val="none" w:sz="0" w:space="0" w:color="auto"/>
        <w:right w:val="none" w:sz="0" w:space="0" w:color="auto"/>
      </w:divBdr>
    </w:div>
    <w:div w:id="1682271822">
      <w:bodyDiv w:val="1"/>
      <w:marLeft w:val="0"/>
      <w:marRight w:val="0"/>
      <w:marTop w:val="0"/>
      <w:marBottom w:val="0"/>
      <w:divBdr>
        <w:top w:val="none" w:sz="0" w:space="0" w:color="auto"/>
        <w:left w:val="none" w:sz="0" w:space="0" w:color="auto"/>
        <w:bottom w:val="none" w:sz="0" w:space="0" w:color="auto"/>
        <w:right w:val="none" w:sz="0" w:space="0" w:color="auto"/>
      </w:divBdr>
    </w:div>
    <w:div w:id="1802453475">
      <w:bodyDiv w:val="1"/>
      <w:marLeft w:val="0"/>
      <w:marRight w:val="0"/>
      <w:marTop w:val="0"/>
      <w:marBottom w:val="0"/>
      <w:divBdr>
        <w:top w:val="none" w:sz="0" w:space="0" w:color="auto"/>
        <w:left w:val="none" w:sz="0" w:space="0" w:color="auto"/>
        <w:bottom w:val="none" w:sz="0" w:space="0" w:color="auto"/>
        <w:right w:val="none" w:sz="0" w:space="0" w:color="auto"/>
      </w:divBdr>
    </w:div>
    <w:div w:id="1818835764">
      <w:bodyDiv w:val="1"/>
      <w:marLeft w:val="0"/>
      <w:marRight w:val="0"/>
      <w:marTop w:val="0"/>
      <w:marBottom w:val="0"/>
      <w:divBdr>
        <w:top w:val="none" w:sz="0" w:space="0" w:color="auto"/>
        <w:left w:val="none" w:sz="0" w:space="0" w:color="auto"/>
        <w:bottom w:val="none" w:sz="0" w:space="0" w:color="auto"/>
        <w:right w:val="none" w:sz="0" w:space="0" w:color="auto"/>
      </w:divBdr>
    </w:div>
    <w:div w:id="1837529599">
      <w:bodyDiv w:val="1"/>
      <w:marLeft w:val="0"/>
      <w:marRight w:val="0"/>
      <w:marTop w:val="0"/>
      <w:marBottom w:val="0"/>
      <w:divBdr>
        <w:top w:val="none" w:sz="0" w:space="0" w:color="auto"/>
        <w:left w:val="none" w:sz="0" w:space="0" w:color="auto"/>
        <w:bottom w:val="none" w:sz="0" w:space="0" w:color="auto"/>
        <w:right w:val="none" w:sz="0" w:space="0" w:color="auto"/>
      </w:divBdr>
    </w:div>
    <w:div w:id="2101293971">
      <w:bodyDiv w:val="1"/>
      <w:marLeft w:val="0"/>
      <w:marRight w:val="0"/>
      <w:marTop w:val="0"/>
      <w:marBottom w:val="0"/>
      <w:divBdr>
        <w:top w:val="none" w:sz="0" w:space="0" w:color="auto"/>
        <w:left w:val="none" w:sz="0" w:space="0" w:color="auto"/>
        <w:bottom w:val="none" w:sz="0" w:space="0" w:color="auto"/>
        <w:right w:val="none" w:sz="0" w:space="0" w:color="auto"/>
      </w:divBdr>
    </w:div>
    <w:div w:id="2114739817">
      <w:bodyDiv w:val="1"/>
      <w:marLeft w:val="0"/>
      <w:marRight w:val="0"/>
      <w:marTop w:val="0"/>
      <w:marBottom w:val="0"/>
      <w:divBdr>
        <w:top w:val="none" w:sz="0" w:space="0" w:color="auto"/>
        <w:left w:val="none" w:sz="0" w:space="0" w:color="auto"/>
        <w:bottom w:val="none" w:sz="0" w:space="0" w:color="auto"/>
        <w:right w:val="none" w:sz="0" w:space="0" w:color="auto"/>
      </w:divBdr>
      <w:divsChild>
        <w:div w:id="1311012622">
          <w:marLeft w:val="547"/>
          <w:marRight w:val="0"/>
          <w:marTop w:val="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CC9B00-C8B7-4D58-995F-E2890B604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8958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cp:lastModifiedBy>
  <cp:revision>2</cp:revision>
  <cp:lastPrinted>2007-12-29T21:50:00Z</cp:lastPrinted>
  <dcterms:created xsi:type="dcterms:W3CDTF">2022-05-30T06:07:00Z</dcterms:created>
  <dcterms:modified xsi:type="dcterms:W3CDTF">2022-05-30T06:07:00Z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