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3F997" w14:textId="3E2C56BD" w:rsidR="000A4ABF" w:rsidRPr="00ED6F7F" w:rsidRDefault="000A4ABF" w:rsidP="000A4ABF">
      <w:pPr>
        <w:tabs>
          <w:tab w:val="center" w:pos="3969"/>
          <w:tab w:val="right" w:pos="8280"/>
          <w:tab w:val="right" w:pos="9781"/>
        </w:tabs>
        <w:snapToGrid w:val="0"/>
        <w:ind w:left="-2" w:right="-2"/>
        <w:rPr>
          <w:rFonts w:ascii="Arial" w:eastAsiaTheme="minorEastAsia" w:hAnsi="Arial" w:cs="Times New Roman"/>
          <w:b/>
          <w:kern w:val="0"/>
          <w:sz w:val="22"/>
          <w:lang w:val="x-none"/>
        </w:rPr>
      </w:pPr>
      <w:r w:rsidRPr="00A578C0">
        <w:rPr>
          <w:rFonts w:ascii="Arial" w:eastAsia="MS Mincho" w:hAnsi="Arial" w:cs="Times New Roman"/>
          <w:b/>
          <w:kern w:val="0"/>
          <w:sz w:val="22"/>
          <w:lang w:val="x-none" w:eastAsia="en-US"/>
        </w:rPr>
        <w:t xml:space="preserve">3GPP TSG RAN </w:t>
      </w:r>
      <w:r w:rsidR="00ED6F7F">
        <w:rPr>
          <w:rFonts w:ascii="Arial" w:eastAsiaTheme="minorEastAsia" w:hAnsi="Arial" w:cs="Times New Roman" w:hint="eastAsia"/>
          <w:b/>
          <w:kern w:val="0"/>
          <w:sz w:val="22"/>
          <w:lang w:val="x-none"/>
        </w:rPr>
        <w:t>Meeting</w:t>
      </w:r>
      <w:r w:rsidRPr="00A578C0">
        <w:rPr>
          <w:rFonts w:ascii="Arial" w:eastAsia="MS Mincho" w:hAnsi="Arial" w:cs="Times New Roman"/>
          <w:b/>
          <w:kern w:val="0"/>
          <w:sz w:val="22"/>
          <w:lang w:val="x-none" w:eastAsia="en-US"/>
        </w:rPr>
        <w:t xml:space="preserve"> </w:t>
      </w:r>
      <w:r w:rsidRPr="00A578C0">
        <w:rPr>
          <w:rFonts w:ascii="Arial" w:eastAsia="宋体" w:hAnsi="Arial" w:cs="Arial"/>
          <w:b/>
          <w:bCs/>
          <w:kern w:val="0"/>
          <w:sz w:val="22"/>
          <w:lang w:val="en-GB"/>
        </w:rPr>
        <w:t>#</w:t>
      </w:r>
      <w:r w:rsidR="00ED6F7F">
        <w:rPr>
          <w:rFonts w:ascii="Arial" w:eastAsia="宋体" w:hAnsi="Arial" w:cs="Arial" w:hint="eastAsia"/>
          <w:b/>
          <w:bCs/>
          <w:kern w:val="0"/>
          <w:sz w:val="22"/>
          <w:lang w:val="en-GB"/>
        </w:rPr>
        <w:t>9</w:t>
      </w:r>
      <w:r w:rsidR="00DC22AE">
        <w:rPr>
          <w:rFonts w:ascii="Arial" w:eastAsia="宋体" w:hAnsi="Arial" w:cs="Arial" w:hint="eastAsia"/>
          <w:b/>
          <w:bCs/>
          <w:kern w:val="0"/>
          <w:sz w:val="22"/>
          <w:lang w:val="en-GB"/>
        </w:rPr>
        <w:t xml:space="preserve">6  </w:t>
      </w:r>
      <w:r>
        <w:rPr>
          <w:rFonts w:ascii="Arial" w:eastAsia="宋体" w:hAnsi="Arial" w:cs="Arial" w:hint="eastAsia"/>
          <w:b/>
          <w:bCs/>
          <w:kern w:val="0"/>
          <w:sz w:val="22"/>
          <w:lang w:val="en-GB"/>
        </w:rPr>
        <w:t xml:space="preserve">                                       </w:t>
      </w:r>
      <w:r w:rsidR="00ED6F7F">
        <w:rPr>
          <w:rFonts w:ascii="Arial" w:eastAsia="宋体" w:hAnsi="Arial" w:cs="Arial" w:hint="eastAsia"/>
          <w:b/>
          <w:bCs/>
          <w:kern w:val="0"/>
          <w:sz w:val="22"/>
          <w:lang w:val="en-GB"/>
        </w:rPr>
        <w:t xml:space="preserve"> </w:t>
      </w:r>
      <w:r>
        <w:rPr>
          <w:rFonts w:ascii="Arial" w:eastAsia="宋体" w:hAnsi="Arial" w:cs="Arial" w:hint="eastAsia"/>
          <w:b/>
          <w:bCs/>
          <w:kern w:val="0"/>
          <w:sz w:val="22"/>
          <w:lang w:val="en-GB"/>
        </w:rPr>
        <w:t xml:space="preserve">   </w:t>
      </w:r>
      <w:r w:rsidR="004D1C98" w:rsidRPr="004D1C98">
        <w:rPr>
          <w:rFonts w:ascii="Arial" w:eastAsia="MS Mincho" w:hAnsi="Arial" w:cs="Times New Roman"/>
          <w:b/>
          <w:kern w:val="0"/>
          <w:sz w:val="22"/>
          <w:lang w:val="x-none" w:eastAsia="en-US"/>
        </w:rPr>
        <w:t>R</w:t>
      </w:r>
      <w:r w:rsidR="00ED6F7F">
        <w:rPr>
          <w:rFonts w:ascii="Arial" w:eastAsiaTheme="minorEastAsia" w:hAnsi="Arial" w:cs="Times New Roman" w:hint="eastAsia"/>
          <w:b/>
          <w:kern w:val="0"/>
          <w:sz w:val="22"/>
          <w:lang w:val="x-none"/>
        </w:rPr>
        <w:t>P</w:t>
      </w:r>
      <w:r w:rsidR="004D1C98" w:rsidRPr="004D1C98">
        <w:rPr>
          <w:rFonts w:ascii="Arial" w:eastAsia="MS Mincho" w:hAnsi="Arial" w:cs="Times New Roman"/>
          <w:b/>
          <w:kern w:val="0"/>
          <w:sz w:val="22"/>
          <w:lang w:val="x-none" w:eastAsia="en-US"/>
        </w:rPr>
        <w:t>-2</w:t>
      </w:r>
      <w:r w:rsidR="00DC22AE">
        <w:rPr>
          <w:rFonts w:ascii="Arial" w:eastAsiaTheme="minorEastAsia" w:hAnsi="Arial" w:cs="Times New Roman" w:hint="eastAsia"/>
          <w:b/>
          <w:kern w:val="0"/>
          <w:sz w:val="22"/>
          <w:lang w:val="x-none"/>
        </w:rPr>
        <w:t>2</w:t>
      </w:r>
      <w:r w:rsidR="008C7F80">
        <w:rPr>
          <w:rFonts w:ascii="Arial" w:eastAsiaTheme="minorEastAsia" w:hAnsi="Arial" w:cs="Times New Roman" w:hint="eastAsia"/>
          <w:b/>
          <w:kern w:val="0"/>
          <w:sz w:val="22"/>
          <w:lang w:val="x-none"/>
        </w:rPr>
        <w:t>1453</w:t>
      </w:r>
    </w:p>
    <w:p w14:paraId="6BCAD11F" w14:textId="77777777" w:rsidR="000A4ABF" w:rsidRPr="00A578C0" w:rsidRDefault="00DC22AE" w:rsidP="000E5CEB">
      <w:pPr>
        <w:widowControl/>
        <w:tabs>
          <w:tab w:val="center" w:pos="4534"/>
        </w:tabs>
        <w:ind w:left="-2"/>
        <w:rPr>
          <w:rFonts w:ascii="Arial" w:eastAsia="宋体" w:hAnsi="Arial" w:cs="Arial"/>
          <w:b/>
          <w:bCs/>
          <w:kern w:val="0"/>
          <w:sz w:val="22"/>
          <w:lang w:val="x-none"/>
        </w:rPr>
      </w:pPr>
      <w:r w:rsidRPr="00DC22AE">
        <w:rPr>
          <w:rFonts w:ascii="Arial" w:eastAsia="宋体" w:hAnsi="Arial" w:cs="Arial"/>
          <w:b/>
          <w:bCs/>
          <w:kern w:val="0"/>
          <w:sz w:val="22"/>
          <w:lang w:val="x-none"/>
        </w:rPr>
        <w:t>Budapest, Hungary, June 6-9, 2022</w:t>
      </w:r>
      <w:r w:rsidR="000E5CEB">
        <w:rPr>
          <w:rFonts w:ascii="Arial" w:eastAsia="宋体" w:hAnsi="Arial" w:cs="Arial"/>
          <w:b/>
          <w:bCs/>
          <w:kern w:val="0"/>
          <w:sz w:val="22"/>
          <w:lang w:val="x-none"/>
        </w:rPr>
        <w:tab/>
      </w:r>
    </w:p>
    <w:p w14:paraId="5EC58619" w14:textId="77777777" w:rsidR="00A578C0" w:rsidRPr="000A4ABF" w:rsidRDefault="00A578C0" w:rsidP="00A578C0">
      <w:pPr>
        <w:widowControl/>
        <w:tabs>
          <w:tab w:val="center" w:pos="4536"/>
          <w:tab w:val="right" w:pos="9072"/>
        </w:tabs>
        <w:ind w:left="-2"/>
        <w:rPr>
          <w:rFonts w:ascii="Arial" w:eastAsia="宋体" w:hAnsi="Arial" w:cs="Times New Roman"/>
          <w:b/>
          <w:kern w:val="0"/>
          <w:sz w:val="22"/>
          <w:lang w:val="x-none"/>
        </w:rPr>
      </w:pPr>
    </w:p>
    <w:p w14:paraId="5AB66664" w14:textId="77777777"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2282E717" w14:textId="77777777"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DC22AE">
        <w:rPr>
          <w:rFonts w:ascii="Arial" w:eastAsia="宋体" w:hAnsi="Arial" w:cs="Times New Roman" w:hint="eastAsia"/>
          <w:b/>
          <w:kern w:val="0"/>
          <w:sz w:val="22"/>
          <w:lang w:val="x-none"/>
        </w:rPr>
        <w:t xml:space="preserve">Rel-18 NR duplex </w:t>
      </w:r>
      <w:r w:rsidR="00DC22AE">
        <w:rPr>
          <w:rFonts w:ascii="Arial" w:eastAsia="宋体" w:hAnsi="Arial" w:cs="Times New Roman"/>
          <w:b/>
          <w:kern w:val="0"/>
          <w:sz w:val="22"/>
          <w:lang w:val="x-none"/>
        </w:rPr>
        <w:t>evolution</w:t>
      </w:r>
      <w:r w:rsidR="00DC22AE">
        <w:rPr>
          <w:rFonts w:ascii="Arial" w:eastAsia="宋体" w:hAnsi="Arial" w:cs="Times New Roman" w:hint="eastAsia"/>
          <w:b/>
          <w:kern w:val="0"/>
          <w:sz w:val="22"/>
          <w:lang w:val="x-none"/>
        </w:rPr>
        <w:t xml:space="preserve"> scope</w:t>
      </w:r>
    </w:p>
    <w:p w14:paraId="12E83241" w14:textId="77777777"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ED6F7F">
        <w:rPr>
          <w:rFonts w:ascii="Arial" w:eastAsia="宋体" w:hAnsi="Arial" w:cs="Times New Roman" w:hint="eastAsia"/>
          <w:b/>
          <w:kern w:val="0"/>
          <w:sz w:val="22"/>
          <w:lang w:val="x-none"/>
        </w:rPr>
        <w:t>9</w:t>
      </w:r>
      <w:r w:rsidR="0075584C">
        <w:rPr>
          <w:rFonts w:ascii="Arial" w:eastAsia="宋体" w:hAnsi="Arial" w:cs="Times New Roman" w:hint="eastAsia"/>
          <w:b/>
          <w:kern w:val="0"/>
          <w:sz w:val="22"/>
          <w:lang w:val="x-none"/>
        </w:rPr>
        <w:t>.</w:t>
      </w:r>
      <w:r w:rsidR="00ED6F7F">
        <w:rPr>
          <w:rFonts w:ascii="Arial" w:eastAsia="宋体" w:hAnsi="Arial" w:cs="Times New Roman" w:hint="eastAsia"/>
          <w:b/>
          <w:kern w:val="0"/>
          <w:sz w:val="22"/>
          <w:lang w:val="x-none"/>
        </w:rPr>
        <w:t>2</w:t>
      </w:r>
      <w:r w:rsidR="007A272E">
        <w:rPr>
          <w:rFonts w:ascii="Arial" w:eastAsia="宋体" w:hAnsi="Arial" w:cs="Times New Roman" w:hint="eastAsia"/>
          <w:b/>
          <w:kern w:val="0"/>
          <w:sz w:val="22"/>
          <w:lang w:val="x-none"/>
        </w:rPr>
        <w:t>.</w:t>
      </w:r>
      <w:r w:rsidR="00DC22AE">
        <w:rPr>
          <w:rFonts w:ascii="Arial" w:eastAsia="宋体" w:hAnsi="Arial" w:cs="Times New Roman" w:hint="eastAsia"/>
          <w:b/>
          <w:kern w:val="0"/>
          <w:sz w:val="22"/>
          <w:lang w:val="x-none"/>
        </w:rPr>
        <w:t>6</w:t>
      </w:r>
    </w:p>
    <w:p w14:paraId="70DC935E" w14:textId="77777777"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14:paraId="590E8059" w14:textId="77777777"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14:paraId="1C5EB246" w14:textId="77777777" w:rsidR="00A578C0" w:rsidRPr="00CC300E" w:rsidRDefault="00A578C0" w:rsidP="0041435B">
      <w:pPr>
        <w:pStyle w:val="1"/>
        <w:ind w:left="562" w:hanging="562"/>
      </w:pPr>
      <w:bookmarkStart w:id="3" w:name="_Ref521334010"/>
      <w:r w:rsidRPr="00CC300E">
        <w:t>Introduction</w:t>
      </w:r>
      <w:bookmarkEnd w:id="3"/>
    </w:p>
    <w:p w14:paraId="60C4F05C" w14:textId="43F2DF19" w:rsidR="000D28C6" w:rsidRDefault="00782BE6" w:rsidP="001C7B45">
      <w:pPr>
        <w:spacing w:beforeLines="50" w:before="120"/>
        <w:rPr>
          <w:rFonts w:eastAsiaTheme="minorEastAsia" w:cs="Times New Roman"/>
          <w:szCs w:val="20"/>
        </w:rPr>
      </w:pPr>
      <w:r>
        <w:rPr>
          <w:rFonts w:eastAsiaTheme="minorEastAsia" w:cs="Times New Roman" w:hint="eastAsia"/>
          <w:szCs w:val="20"/>
        </w:rPr>
        <w:t xml:space="preserve">Rel-18 study item of </w:t>
      </w:r>
      <w:r w:rsidRPr="00782BE6">
        <w:rPr>
          <w:rFonts w:eastAsiaTheme="minorEastAsia" w:cs="Times New Roman"/>
          <w:szCs w:val="20"/>
        </w:rPr>
        <w:t>Study on evolution of NR duplex operation</w:t>
      </w:r>
      <w:r>
        <w:rPr>
          <w:rFonts w:eastAsiaTheme="minorEastAsia" w:cs="Times New Roman" w:hint="eastAsia"/>
          <w:szCs w:val="20"/>
        </w:rPr>
        <w:t xml:space="preserve"> was approved in </w:t>
      </w:r>
      <w:r>
        <w:rPr>
          <w:rFonts w:eastAsiaTheme="minorEastAsia" w:cs="Times New Roman"/>
          <w:szCs w:val="20"/>
        </w:rPr>
        <w:fldChar w:fldCharType="begin"/>
      </w:r>
      <w:r>
        <w:rPr>
          <w:rFonts w:eastAsiaTheme="minorEastAsia" w:cs="Times New Roman"/>
          <w:szCs w:val="20"/>
        </w:rPr>
        <w:instrText xml:space="preserve"> </w:instrText>
      </w:r>
      <w:r>
        <w:rPr>
          <w:rFonts w:eastAsiaTheme="minorEastAsia" w:cs="Times New Roman" w:hint="eastAsia"/>
          <w:szCs w:val="20"/>
        </w:rPr>
        <w:instrText>REF _Ref104213834 \r \h</w:instrText>
      </w:r>
      <w:r>
        <w:rPr>
          <w:rFonts w:eastAsiaTheme="minorEastAsia" w:cs="Times New Roman"/>
          <w:szCs w:val="20"/>
        </w:rPr>
        <w:instrText xml:space="preserve"> </w:instrText>
      </w:r>
      <w:r>
        <w:rPr>
          <w:rFonts w:eastAsiaTheme="minorEastAsia" w:cs="Times New Roman"/>
          <w:szCs w:val="20"/>
        </w:rPr>
      </w:r>
      <w:r>
        <w:rPr>
          <w:rFonts w:eastAsiaTheme="minorEastAsia" w:cs="Times New Roman"/>
          <w:szCs w:val="20"/>
        </w:rPr>
        <w:fldChar w:fldCharType="separate"/>
      </w:r>
      <w:r>
        <w:rPr>
          <w:rFonts w:eastAsiaTheme="minorEastAsia" w:cs="Times New Roman"/>
          <w:szCs w:val="20"/>
        </w:rPr>
        <w:t>[1]</w:t>
      </w:r>
      <w:r>
        <w:rPr>
          <w:rFonts w:eastAsiaTheme="minorEastAsia" w:cs="Times New Roman"/>
          <w:szCs w:val="20"/>
        </w:rPr>
        <w:fldChar w:fldCharType="end"/>
      </w:r>
      <w:r>
        <w:rPr>
          <w:rFonts w:eastAsiaTheme="minorEastAsia" w:cs="Times New Roman" w:hint="eastAsia"/>
          <w:szCs w:val="20"/>
        </w:rPr>
        <w:t xml:space="preserve"> and the SID was updated in </w:t>
      </w:r>
      <w:r>
        <w:rPr>
          <w:rFonts w:eastAsiaTheme="minorEastAsia" w:cs="Times New Roman"/>
          <w:szCs w:val="20"/>
        </w:rPr>
        <w:fldChar w:fldCharType="begin"/>
      </w:r>
      <w:r>
        <w:rPr>
          <w:rFonts w:eastAsiaTheme="minorEastAsia" w:cs="Times New Roman"/>
          <w:szCs w:val="20"/>
        </w:rPr>
        <w:instrText xml:space="preserve"> </w:instrText>
      </w:r>
      <w:r>
        <w:rPr>
          <w:rFonts w:eastAsiaTheme="minorEastAsia" w:cs="Times New Roman" w:hint="eastAsia"/>
          <w:szCs w:val="20"/>
        </w:rPr>
        <w:instrText>REF _Ref104213939 \r \h</w:instrText>
      </w:r>
      <w:r>
        <w:rPr>
          <w:rFonts w:eastAsiaTheme="minorEastAsia" w:cs="Times New Roman"/>
          <w:szCs w:val="20"/>
        </w:rPr>
        <w:instrText xml:space="preserve"> </w:instrText>
      </w:r>
      <w:r>
        <w:rPr>
          <w:rFonts w:eastAsiaTheme="minorEastAsia" w:cs="Times New Roman"/>
          <w:szCs w:val="20"/>
        </w:rPr>
      </w:r>
      <w:r>
        <w:rPr>
          <w:rFonts w:eastAsiaTheme="minorEastAsia" w:cs="Times New Roman"/>
          <w:szCs w:val="20"/>
        </w:rPr>
        <w:fldChar w:fldCharType="separate"/>
      </w:r>
      <w:r>
        <w:rPr>
          <w:rFonts w:eastAsiaTheme="minorEastAsia" w:cs="Times New Roman"/>
          <w:szCs w:val="20"/>
        </w:rPr>
        <w:t>[2]</w:t>
      </w:r>
      <w:r>
        <w:rPr>
          <w:rFonts w:eastAsiaTheme="minorEastAsia" w:cs="Times New Roman"/>
          <w:szCs w:val="20"/>
        </w:rPr>
        <w:fldChar w:fldCharType="end"/>
      </w:r>
      <w:r>
        <w:rPr>
          <w:rFonts w:eastAsiaTheme="minorEastAsia" w:cs="Times New Roman" w:hint="eastAsia"/>
          <w:szCs w:val="20"/>
        </w:rPr>
        <w:t xml:space="preserve">. </w:t>
      </w:r>
      <w:r w:rsidR="000D28C6">
        <w:rPr>
          <w:rFonts w:eastAsiaTheme="minorEastAsia" w:cs="Times New Roman"/>
          <w:szCs w:val="20"/>
        </w:rPr>
        <w:t xml:space="preserve">The following are the objectives for the </w:t>
      </w:r>
      <w:r w:rsidR="0040397C">
        <w:rPr>
          <w:rFonts w:eastAsiaTheme="minorEastAsia" w:cs="Times New Roman" w:hint="eastAsia"/>
          <w:szCs w:val="20"/>
        </w:rPr>
        <w:t>S</w:t>
      </w:r>
      <w:r w:rsidR="0040397C">
        <w:rPr>
          <w:rFonts w:eastAsiaTheme="minorEastAsia" w:cs="Times New Roman"/>
          <w:szCs w:val="20"/>
        </w:rPr>
        <w:t xml:space="preserve">ID </w:t>
      </w:r>
      <w:r w:rsidR="000D28C6">
        <w:rPr>
          <w:rFonts w:eastAsiaTheme="minorEastAsia" w:cs="Times New Roman"/>
          <w:szCs w:val="20"/>
        </w:rPr>
        <w:t>[2]:</w:t>
      </w:r>
    </w:p>
    <w:tbl>
      <w:tblPr>
        <w:tblW w:w="92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6"/>
      </w:tblGrid>
      <w:tr w:rsidR="000D28C6" w14:paraId="24B84C98" w14:textId="77777777" w:rsidTr="00FC7907">
        <w:trPr>
          <w:trHeight w:val="5486"/>
        </w:trPr>
        <w:tc>
          <w:tcPr>
            <w:tcW w:w="9266" w:type="dxa"/>
          </w:tcPr>
          <w:p w14:paraId="7E45D235" w14:textId="77777777" w:rsidR="000D28C6" w:rsidRPr="000D28C6" w:rsidRDefault="000D28C6" w:rsidP="000D28C6">
            <w:pPr>
              <w:widowControl/>
              <w:numPr>
                <w:ilvl w:val="0"/>
                <w:numId w:val="39"/>
              </w:numPr>
              <w:overflowPunct w:val="0"/>
              <w:autoSpaceDE w:val="0"/>
              <w:autoSpaceDN w:val="0"/>
              <w:adjustRightInd w:val="0"/>
              <w:spacing w:after="180"/>
              <w:ind w:left="796"/>
              <w:jc w:val="both"/>
              <w:textAlignment w:val="baseline"/>
              <w:rPr>
                <w:i/>
              </w:rPr>
            </w:pPr>
            <w:r w:rsidRPr="000D28C6">
              <w:rPr>
                <w:i/>
              </w:rPr>
              <w:t>Identify applicable and relevant deployment scenarios (RAN1).</w:t>
            </w:r>
          </w:p>
          <w:p w14:paraId="579E44D2" w14:textId="77777777" w:rsidR="000D28C6" w:rsidRPr="000D28C6" w:rsidRDefault="000D28C6" w:rsidP="000D28C6">
            <w:pPr>
              <w:widowControl/>
              <w:numPr>
                <w:ilvl w:val="0"/>
                <w:numId w:val="39"/>
              </w:numPr>
              <w:overflowPunct w:val="0"/>
              <w:autoSpaceDE w:val="0"/>
              <w:autoSpaceDN w:val="0"/>
              <w:adjustRightInd w:val="0"/>
              <w:spacing w:after="180"/>
              <w:ind w:left="796"/>
              <w:jc w:val="both"/>
              <w:textAlignment w:val="baseline"/>
              <w:rPr>
                <w:i/>
              </w:rPr>
            </w:pPr>
            <w:r w:rsidRPr="000D28C6">
              <w:rPr>
                <w:i/>
              </w:rPr>
              <w:t>Develop evaluation methodology for duplex enhancement (RAN1).</w:t>
            </w:r>
          </w:p>
          <w:p w14:paraId="6DC31902" w14:textId="77777777" w:rsidR="000D28C6" w:rsidRPr="000D28C6" w:rsidRDefault="000D28C6" w:rsidP="000D28C6">
            <w:pPr>
              <w:widowControl/>
              <w:numPr>
                <w:ilvl w:val="0"/>
                <w:numId w:val="39"/>
              </w:numPr>
              <w:overflowPunct w:val="0"/>
              <w:autoSpaceDE w:val="0"/>
              <w:autoSpaceDN w:val="0"/>
              <w:adjustRightInd w:val="0"/>
              <w:spacing w:after="180"/>
              <w:ind w:left="796"/>
              <w:jc w:val="both"/>
              <w:textAlignment w:val="baseline"/>
              <w:rPr>
                <w:i/>
              </w:rPr>
            </w:pPr>
            <w:r w:rsidRPr="000D28C6">
              <w:rPr>
                <w:rFonts w:eastAsia="Malgun Gothic" w:hint="eastAsia"/>
                <w:i/>
                <w:lang w:eastAsia="ko-KR"/>
              </w:rPr>
              <w:t xml:space="preserve">Study </w:t>
            </w:r>
            <w:r w:rsidRPr="000D28C6">
              <w:rPr>
                <w:rFonts w:eastAsia="Malgun Gothic"/>
                <w:i/>
                <w:lang w:eastAsia="ko-KR"/>
              </w:rPr>
              <w:t xml:space="preserve">the </w:t>
            </w:r>
            <w:proofErr w:type="spellStart"/>
            <w:r w:rsidRPr="000D28C6">
              <w:rPr>
                <w:rFonts w:eastAsia="Malgun Gothic"/>
                <w:i/>
                <w:lang w:eastAsia="ko-KR"/>
              </w:rPr>
              <w:t>subband</w:t>
            </w:r>
            <w:proofErr w:type="spellEnd"/>
            <w:r w:rsidRPr="000D28C6">
              <w:rPr>
                <w:rFonts w:eastAsia="Malgun Gothic"/>
                <w:i/>
                <w:lang w:eastAsia="ko-KR"/>
              </w:rPr>
              <w:t xml:space="preserve"> non-overlapping full duplex and </w:t>
            </w:r>
            <w:bookmarkStart w:id="4" w:name="_Hlk89796625"/>
            <w:r w:rsidRPr="000D28C6">
              <w:rPr>
                <w:rFonts w:eastAsia="Malgun Gothic"/>
                <w:i/>
                <w:lang w:eastAsia="ko-KR"/>
              </w:rPr>
              <w:t xml:space="preserve">potential enhancements on </w:t>
            </w:r>
            <w:r w:rsidRPr="000D28C6">
              <w:rPr>
                <w:rFonts w:eastAsia="Malgun Gothic"/>
                <w:bCs/>
                <w:i/>
                <w:lang w:eastAsia="ko-KR"/>
              </w:rPr>
              <w:t>dynamic/flexible TDD</w:t>
            </w:r>
            <w:bookmarkEnd w:id="4"/>
            <w:r w:rsidRPr="000D28C6">
              <w:rPr>
                <w:rFonts w:eastAsia="Malgun Gothic"/>
                <w:bCs/>
                <w:i/>
                <w:lang w:eastAsia="ko-KR"/>
              </w:rPr>
              <w:t xml:space="preserve"> (RAN1, RAN4).</w:t>
            </w:r>
          </w:p>
          <w:p w14:paraId="70A35111" w14:textId="77777777" w:rsidR="000D28C6" w:rsidRPr="000D28C6" w:rsidRDefault="000D28C6" w:rsidP="000D28C6">
            <w:pPr>
              <w:pStyle w:val="a6"/>
              <w:widowControl/>
              <w:numPr>
                <w:ilvl w:val="0"/>
                <w:numId w:val="38"/>
              </w:numPr>
              <w:overflowPunct w:val="0"/>
              <w:autoSpaceDE w:val="0"/>
              <w:autoSpaceDN w:val="0"/>
              <w:adjustRightInd w:val="0"/>
              <w:spacing w:after="180"/>
              <w:ind w:left="1076" w:firstLineChars="0"/>
              <w:contextualSpacing/>
              <w:jc w:val="both"/>
              <w:textAlignment w:val="baseline"/>
              <w:rPr>
                <w:rFonts w:eastAsia="Malgun Gothic"/>
                <w:bCs/>
                <w:i/>
                <w:lang w:eastAsia="ko-KR"/>
              </w:rPr>
            </w:pPr>
            <w:r w:rsidRPr="000D28C6">
              <w:rPr>
                <w:rFonts w:eastAsia="Malgun Gothic"/>
                <w:bCs/>
                <w:i/>
                <w:lang w:eastAsia="ko-KR"/>
              </w:rPr>
              <w:t>Identify possible schemes and evaluate their feasibility and performances (RAN1).</w:t>
            </w:r>
          </w:p>
          <w:p w14:paraId="4469F662" w14:textId="77777777" w:rsidR="000D28C6" w:rsidRPr="000D28C6" w:rsidRDefault="000D28C6" w:rsidP="000D28C6">
            <w:pPr>
              <w:pStyle w:val="a6"/>
              <w:widowControl/>
              <w:numPr>
                <w:ilvl w:val="0"/>
                <w:numId w:val="38"/>
              </w:numPr>
              <w:overflowPunct w:val="0"/>
              <w:autoSpaceDE w:val="0"/>
              <w:autoSpaceDN w:val="0"/>
              <w:adjustRightInd w:val="0"/>
              <w:spacing w:after="180"/>
              <w:ind w:left="1076" w:firstLineChars="0"/>
              <w:contextualSpacing/>
              <w:jc w:val="both"/>
              <w:textAlignment w:val="baseline"/>
              <w:rPr>
                <w:rFonts w:eastAsia="Malgun Gothic"/>
                <w:bCs/>
                <w:i/>
                <w:lang w:eastAsia="ko-KR"/>
              </w:rPr>
            </w:pPr>
            <w:r w:rsidRPr="000D28C6">
              <w:rPr>
                <w:rFonts w:eastAsia="Malgun Gothic"/>
                <w:bCs/>
                <w:i/>
                <w:lang w:eastAsia="ko-KR"/>
              </w:rPr>
              <w:t xml:space="preserve">Study inter-gNB and inter-UE CLI handling and identify solutions to manage them (RAN1). </w:t>
            </w:r>
          </w:p>
          <w:p w14:paraId="301DD529" w14:textId="77777777" w:rsidR="000D28C6" w:rsidRPr="000D28C6" w:rsidRDefault="000D28C6" w:rsidP="000D28C6">
            <w:pPr>
              <w:pStyle w:val="a6"/>
              <w:widowControl/>
              <w:numPr>
                <w:ilvl w:val="1"/>
                <w:numId w:val="38"/>
              </w:numPr>
              <w:overflowPunct w:val="0"/>
              <w:autoSpaceDE w:val="0"/>
              <w:autoSpaceDN w:val="0"/>
              <w:adjustRightInd w:val="0"/>
              <w:spacing w:after="180"/>
              <w:ind w:left="1516" w:firstLineChars="0"/>
              <w:contextualSpacing/>
              <w:jc w:val="both"/>
              <w:textAlignment w:val="baseline"/>
              <w:rPr>
                <w:rFonts w:eastAsia="Malgun Gothic"/>
                <w:bCs/>
                <w:i/>
                <w:lang w:eastAsia="ko-KR"/>
              </w:rPr>
            </w:pPr>
            <w:r w:rsidRPr="000D28C6">
              <w:rPr>
                <w:rFonts w:eastAsia="Malgun Gothic"/>
                <w:bCs/>
                <w:i/>
                <w:lang w:eastAsia="ko-KR"/>
              </w:rPr>
              <w:t>Consider intra-</w:t>
            </w:r>
            <w:proofErr w:type="spellStart"/>
            <w:r w:rsidRPr="000D28C6">
              <w:rPr>
                <w:rFonts w:eastAsia="Malgun Gothic"/>
                <w:bCs/>
                <w:i/>
                <w:lang w:eastAsia="ko-KR"/>
              </w:rPr>
              <w:t>subband</w:t>
            </w:r>
            <w:proofErr w:type="spellEnd"/>
            <w:r w:rsidRPr="000D28C6">
              <w:rPr>
                <w:rFonts w:eastAsia="Malgun Gothic"/>
                <w:bCs/>
                <w:i/>
                <w:lang w:eastAsia="ko-KR"/>
              </w:rPr>
              <w:t xml:space="preserve"> CLI and inter-</w:t>
            </w:r>
            <w:proofErr w:type="spellStart"/>
            <w:r w:rsidRPr="000D28C6">
              <w:rPr>
                <w:rFonts w:eastAsia="Malgun Gothic"/>
                <w:bCs/>
                <w:i/>
                <w:lang w:eastAsia="ko-KR"/>
              </w:rPr>
              <w:t>subband</w:t>
            </w:r>
            <w:proofErr w:type="spellEnd"/>
            <w:r w:rsidRPr="000D28C6">
              <w:rPr>
                <w:rFonts w:eastAsia="Malgun Gothic"/>
                <w:bCs/>
                <w:i/>
                <w:lang w:eastAsia="ko-KR"/>
              </w:rPr>
              <w:t xml:space="preserve"> CLI in case of the </w:t>
            </w:r>
            <w:proofErr w:type="spellStart"/>
            <w:r w:rsidRPr="000D28C6">
              <w:rPr>
                <w:rFonts w:eastAsia="Malgun Gothic"/>
                <w:i/>
                <w:lang w:eastAsia="ko-KR"/>
              </w:rPr>
              <w:t>subband</w:t>
            </w:r>
            <w:proofErr w:type="spellEnd"/>
            <w:r w:rsidRPr="000D28C6">
              <w:rPr>
                <w:rFonts w:eastAsia="Malgun Gothic"/>
                <w:i/>
                <w:lang w:eastAsia="ko-KR"/>
              </w:rPr>
              <w:t xml:space="preserve"> non-overlapping full duplex</w:t>
            </w:r>
            <w:r w:rsidRPr="000D28C6">
              <w:rPr>
                <w:rFonts w:eastAsia="Malgun Gothic"/>
                <w:bCs/>
                <w:i/>
                <w:lang w:eastAsia="ko-KR"/>
              </w:rPr>
              <w:t>.</w:t>
            </w:r>
          </w:p>
          <w:p w14:paraId="03874B48" w14:textId="77777777" w:rsidR="000D28C6" w:rsidRPr="000D28C6" w:rsidRDefault="000D28C6" w:rsidP="000D28C6">
            <w:pPr>
              <w:pStyle w:val="a6"/>
              <w:widowControl/>
              <w:numPr>
                <w:ilvl w:val="0"/>
                <w:numId w:val="38"/>
              </w:numPr>
              <w:overflowPunct w:val="0"/>
              <w:autoSpaceDE w:val="0"/>
              <w:autoSpaceDN w:val="0"/>
              <w:adjustRightInd w:val="0"/>
              <w:spacing w:after="180"/>
              <w:ind w:left="1076" w:firstLineChars="0"/>
              <w:contextualSpacing/>
              <w:jc w:val="both"/>
              <w:textAlignment w:val="baseline"/>
              <w:rPr>
                <w:rFonts w:eastAsia="Malgun Gothic"/>
                <w:bCs/>
                <w:i/>
                <w:lang w:eastAsia="ko-KR"/>
              </w:rPr>
            </w:pPr>
            <w:r w:rsidRPr="000D28C6">
              <w:rPr>
                <w:rFonts w:eastAsia="Malgun Gothic"/>
                <w:bCs/>
                <w:i/>
                <w:lang w:eastAsia="ko-KR"/>
              </w:rPr>
              <w:t>Study the performance of the identified schemes as well as the impact on legacy operation assuming their co-existence in co-channel and adjacent channels (RAN1).</w:t>
            </w:r>
          </w:p>
          <w:p w14:paraId="785FC446" w14:textId="77777777" w:rsidR="000D28C6" w:rsidRPr="000D28C6" w:rsidRDefault="000D28C6" w:rsidP="000D28C6">
            <w:pPr>
              <w:pStyle w:val="a6"/>
              <w:widowControl/>
              <w:numPr>
                <w:ilvl w:val="0"/>
                <w:numId w:val="38"/>
              </w:numPr>
              <w:overflowPunct w:val="0"/>
              <w:autoSpaceDE w:val="0"/>
              <w:autoSpaceDN w:val="0"/>
              <w:adjustRightInd w:val="0"/>
              <w:spacing w:after="180"/>
              <w:ind w:left="1076" w:firstLineChars="0"/>
              <w:contextualSpacing/>
              <w:textAlignment w:val="baseline"/>
              <w:rPr>
                <w:rFonts w:eastAsia="Malgun Gothic"/>
                <w:bCs/>
                <w:i/>
                <w:lang w:eastAsia="ko-KR"/>
              </w:rPr>
            </w:pPr>
            <w:r w:rsidRPr="000D28C6">
              <w:rPr>
                <w:rFonts w:eastAsia="Malgun Gothic"/>
                <w:bCs/>
                <w:i/>
                <w:lang w:eastAsia="ko-KR"/>
              </w:rPr>
              <w:t>Study the feasibility of and impact on RF requirements considering adjacent-channel co-existence with the legacy operation (RAN4).</w:t>
            </w:r>
          </w:p>
          <w:p w14:paraId="0CF99756" w14:textId="77777777" w:rsidR="000D28C6" w:rsidRPr="000D28C6" w:rsidRDefault="000D28C6" w:rsidP="000D28C6">
            <w:pPr>
              <w:pStyle w:val="a6"/>
              <w:widowControl/>
              <w:numPr>
                <w:ilvl w:val="0"/>
                <w:numId w:val="38"/>
              </w:numPr>
              <w:overflowPunct w:val="0"/>
              <w:autoSpaceDE w:val="0"/>
              <w:autoSpaceDN w:val="0"/>
              <w:adjustRightInd w:val="0"/>
              <w:spacing w:after="180"/>
              <w:ind w:left="1076" w:firstLineChars="0"/>
              <w:contextualSpacing/>
              <w:jc w:val="both"/>
              <w:textAlignment w:val="baseline"/>
              <w:rPr>
                <w:rFonts w:eastAsia="Malgun Gothic"/>
                <w:bCs/>
                <w:i/>
                <w:lang w:eastAsia="ko-KR"/>
              </w:rPr>
            </w:pPr>
            <w:r w:rsidRPr="000D28C6">
              <w:rPr>
                <w:rFonts w:eastAsia="Malgun Gothic"/>
                <w:bCs/>
                <w:i/>
                <w:lang w:eastAsia="ko-KR"/>
              </w:rPr>
              <w:t>Study the feasibility of and impact on RF requirements considering the self-interference, the inter-</w:t>
            </w:r>
            <w:proofErr w:type="spellStart"/>
            <w:r w:rsidRPr="000D28C6">
              <w:rPr>
                <w:rFonts w:eastAsia="Malgun Gothic"/>
                <w:bCs/>
                <w:i/>
                <w:lang w:eastAsia="ko-KR"/>
              </w:rPr>
              <w:t>subband</w:t>
            </w:r>
            <w:proofErr w:type="spellEnd"/>
            <w:r w:rsidRPr="000D28C6">
              <w:rPr>
                <w:rFonts w:eastAsia="Malgun Gothic"/>
                <w:bCs/>
                <w:i/>
                <w:lang w:eastAsia="ko-KR"/>
              </w:rPr>
              <w:t xml:space="preserve"> CLI, and the inter-operator CLI at gNB and the inter-</w:t>
            </w:r>
            <w:proofErr w:type="spellStart"/>
            <w:r w:rsidRPr="000D28C6">
              <w:rPr>
                <w:rFonts w:eastAsia="Malgun Gothic"/>
                <w:bCs/>
                <w:i/>
                <w:lang w:eastAsia="ko-KR"/>
              </w:rPr>
              <w:t>subband</w:t>
            </w:r>
            <w:proofErr w:type="spellEnd"/>
            <w:r w:rsidRPr="000D28C6">
              <w:rPr>
                <w:rFonts w:eastAsia="Malgun Gothic"/>
                <w:bCs/>
                <w:i/>
                <w:lang w:eastAsia="ko-KR"/>
              </w:rPr>
              <w:t xml:space="preserve"> CLI and inter-operator CLI at UE (RAN4).</w:t>
            </w:r>
          </w:p>
          <w:p w14:paraId="5E2F72EA" w14:textId="77777777" w:rsidR="000D28C6" w:rsidRPr="000D28C6" w:rsidRDefault="000D28C6" w:rsidP="000D28C6">
            <w:pPr>
              <w:pStyle w:val="a6"/>
              <w:widowControl/>
              <w:numPr>
                <w:ilvl w:val="0"/>
                <w:numId w:val="40"/>
              </w:numPr>
              <w:overflowPunct w:val="0"/>
              <w:autoSpaceDE w:val="0"/>
              <w:autoSpaceDN w:val="0"/>
              <w:adjustRightInd w:val="0"/>
              <w:spacing w:after="180"/>
              <w:ind w:left="1076" w:firstLineChars="0"/>
              <w:contextualSpacing/>
              <w:jc w:val="both"/>
              <w:textAlignment w:val="baseline"/>
              <w:rPr>
                <w:rFonts w:eastAsia="Malgun Gothic"/>
                <w:bCs/>
                <w:i/>
                <w:lang w:eastAsia="ko-KR"/>
              </w:rPr>
            </w:pPr>
            <w:r w:rsidRPr="000D28C6">
              <w:rPr>
                <w:rFonts w:eastAsia="Malgun Gothic"/>
                <w:bCs/>
                <w:i/>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D586F72" w14:textId="77777777" w:rsidR="000D28C6" w:rsidRDefault="000D28C6" w:rsidP="000D28C6">
            <w:pPr>
              <w:numPr>
                <w:ilvl w:val="0"/>
                <w:numId w:val="39"/>
              </w:numPr>
              <w:overflowPunct w:val="0"/>
              <w:autoSpaceDE w:val="0"/>
              <w:autoSpaceDN w:val="0"/>
              <w:adjustRightInd w:val="0"/>
              <w:spacing w:after="180"/>
              <w:ind w:left="796"/>
              <w:jc w:val="both"/>
              <w:textAlignment w:val="baseline"/>
              <w:rPr>
                <w:i/>
              </w:rPr>
            </w:pPr>
            <w:r w:rsidRPr="000D28C6">
              <w:rPr>
                <w:i/>
              </w:rPr>
              <w:t>Summarize the regulatory aspects that have to be considered for deploying the identified duplex enhancements in TDD unpaired spectrum (RAN4).</w:t>
            </w:r>
          </w:p>
        </w:tc>
      </w:tr>
    </w:tbl>
    <w:p w14:paraId="4D5F3770" w14:textId="77777777" w:rsidR="000D28C6" w:rsidRDefault="000D28C6" w:rsidP="001C7B45">
      <w:pPr>
        <w:spacing w:beforeLines="50" w:before="120"/>
        <w:rPr>
          <w:rFonts w:eastAsiaTheme="minorEastAsia" w:cs="Times New Roman"/>
          <w:szCs w:val="20"/>
        </w:rPr>
      </w:pPr>
      <w:r>
        <w:rPr>
          <w:rFonts w:eastAsiaTheme="minorEastAsia" w:cs="Times New Roman"/>
          <w:szCs w:val="20"/>
        </w:rPr>
        <w:t xml:space="preserve"> </w:t>
      </w:r>
    </w:p>
    <w:p w14:paraId="58DEA3D2" w14:textId="77777777" w:rsidR="00552989" w:rsidRPr="00782BE6" w:rsidRDefault="00782BE6" w:rsidP="001C7B45">
      <w:pPr>
        <w:spacing w:beforeLines="50" w:before="120"/>
        <w:rPr>
          <w:rFonts w:eastAsiaTheme="minorEastAsia" w:cs="Times New Roman"/>
          <w:szCs w:val="20"/>
        </w:rPr>
      </w:pPr>
      <w:r>
        <w:rPr>
          <w:rFonts w:eastAsiaTheme="minorEastAsia" w:cs="Times New Roman" w:hint="eastAsia"/>
          <w:szCs w:val="20"/>
        </w:rPr>
        <w:t>In RAN1#109-e, RAN1 started the discussion of NR duplex evolution and some clarifications on the SI scope seem to be needed to guide future RAN1 discussions.</w:t>
      </w:r>
    </w:p>
    <w:p w14:paraId="703F8AD9" w14:textId="77777777" w:rsidR="00753833" w:rsidRDefault="00DD4940" w:rsidP="00646529">
      <w:pPr>
        <w:pStyle w:val="1"/>
        <w:ind w:left="562" w:hanging="562"/>
        <w:rPr>
          <w:rFonts w:eastAsiaTheme="minorEastAsia"/>
        </w:rPr>
      </w:pPr>
      <w:r>
        <w:t>Discus</w:t>
      </w:r>
      <w:r>
        <w:rPr>
          <w:rFonts w:hint="eastAsia"/>
        </w:rPr>
        <w:t>sion</w:t>
      </w:r>
    </w:p>
    <w:p w14:paraId="50BEA5AF" w14:textId="77777777" w:rsidR="00556B44" w:rsidRPr="00C337CC" w:rsidRDefault="00C337CC" w:rsidP="0068788D">
      <w:pPr>
        <w:rPr>
          <w:rFonts w:eastAsiaTheme="minorEastAsia"/>
          <w:b/>
          <w:u w:val="single"/>
        </w:rPr>
      </w:pPr>
      <w:r w:rsidRPr="00C337CC">
        <w:rPr>
          <w:rFonts w:eastAsiaTheme="minorEastAsia" w:hint="eastAsia"/>
          <w:b/>
          <w:u w:val="single"/>
        </w:rPr>
        <w:t xml:space="preserve">DL </w:t>
      </w:r>
      <w:proofErr w:type="spellStart"/>
      <w:r w:rsidRPr="00C337CC">
        <w:rPr>
          <w:rFonts w:eastAsiaTheme="minorEastAsia" w:hint="eastAsia"/>
          <w:b/>
          <w:u w:val="single"/>
        </w:rPr>
        <w:t>subband</w:t>
      </w:r>
      <w:proofErr w:type="spellEnd"/>
      <w:r w:rsidRPr="00C337CC">
        <w:rPr>
          <w:rFonts w:eastAsiaTheme="minorEastAsia" w:hint="eastAsia"/>
          <w:b/>
          <w:u w:val="single"/>
        </w:rPr>
        <w:t xml:space="preserve"> in UL slot/symbol</w:t>
      </w:r>
    </w:p>
    <w:p w14:paraId="3CE71858" w14:textId="77777777" w:rsidR="008A6970" w:rsidRDefault="008A6970" w:rsidP="0068788D">
      <w:pPr>
        <w:rPr>
          <w:rFonts w:eastAsiaTheme="minorEastAsia"/>
        </w:rPr>
      </w:pPr>
      <w:r>
        <w:rPr>
          <w:rFonts w:eastAsiaTheme="minorEastAsia" w:hint="eastAsia"/>
        </w:rPr>
        <w:t xml:space="preserve">During the </w:t>
      </w:r>
      <w:r>
        <w:rPr>
          <w:rFonts w:eastAsiaTheme="minorEastAsia"/>
        </w:rPr>
        <w:t>discussion</w:t>
      </w:r>
      <w:r w:rsidR="002F12D4">
        <w:rPr>
          <w:rFonts w:eastAsiaTheme="minorEastAsia" w:hint="eastAsia"/>
        </w:rPr>
        <w:t>s</w:t>
      </w:r>
      <w:r>
        <w:rPr>
          <w:rFonts w:eastAsiaTheme="minorEastAsia" w:hint="eastAsia"/>
        </w:rPr>
        <w:t xml:space="preserve"> in RAN1#109-e, companies have different views on whether</w:t>
      </w:r>
      <w:r w:rsidRPr="008A6970">
        <w:rPr>
          <w:rFonts w:eastAsiaTheme="minorEastAsia" w:hint="eastAsia"/>
        </w:rPr>
        <w:t xml:space="preserve"> </w:t>
      </w:r>
      <w:r>
        <w:rPr>
          <w:rFonts w:eastAsiaTheme="minorEastAsia" w:hint="eastAsia"/>
        </w:rPr>
        <w:t>SBFD</w:t>
      </w:r>
      <w:r w:rsidR="0040397C">
        <w:rPr>
          <w:rFonts w:eastAsiaTheme="minorEastAsia" w:hint="eastAsia"/>
        </w:rPr>
        <w:t xml:space="preserve"> (</w:t>
      </w:r>
      <w:proofErr w:type="spellStart"/>
      <w:r w:rsidR="0040397C">
        <w:rPr>
          <w:rFonts w:eastAsiaTheme="minorEastAsia" w:hint="eastAsia"/>
        </w:rPr>
        <w:t>subband</w:t>
      </w:r>
      <w:proofErr w:type="spellEnd"/>
      <w:r w:rsidR="0040397C">
        <w:rPr>
          <w:rFonts w:eastAsiaTheme="minorEastAsia" w:hint="eastAsia"/>
        </w:rPr>
        <w:t xml:space="preserve"> non-overlapping full duplex)</w:t>
      </w:r>
      <w:r>
        <w:rPr>
          <w:rFonts w:eastAsiaTheme="minorEastAsia" w:hint="eastAsia"/>
        </w:rPr>
        <w:t xml:space="preserve"> operation (DL </w:t>
      </w:r>
      <w:proofErr w:type="spellStart"/>
      <w:r>
        <w:rPr>
          <w:rFonts w:eastAsiaTheme="minorEastAsia" w:hint="eastAsia"/>
        </w:rPr>
        <w:t>subband</w:t>
      </w:r>
      <w:proofErr w:type="spellEnd"/>
      <w:r>
        <w:rPr>
          <w:rFonts w:eastAsiaTheme="minorEastAsia" w:hint="eastAsia"/>
        </w:rPr>
        <w:t>) in legacy UL symbols is within the scope</w:t>
      </w:r>
      <w:r w:rsidR="002F12D4">
        <w:rPr>
          <w:rFonts w:eastAsiaTheme="minorEastAsia" w:hint="eastAsia"/>
        </w:rPr>
        <w:t xml:space="preserve"> of SI</w:t>
      </w:r>
      <w:r w:rsidR="0031768F">
        <w:rPr>
          <w:rFonts w:eastAsiaTheme="minorEastAsia" w:hint="eastAsia"/>
        </w:rPr>
        <w:t xml:space="preserve"> or not</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_Ref104298843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hint="eastAsia"/>
        </w:rPr>
        <w:t>.</w:t>
      </w:r>
    </w:p>
    <w:p w14:paraId="089DC5C8" w14:textId="77777777" w:rsidR="00C337CC" w:rsidRDefault="00C337CC" w:rsidP="0068788D">
      <w:pPr>
        <w:rPr>
          <w:rFonts w:eastAsiaTheme="minorEastAsia"/>
        </w:rPr>
      </w:pPr>
    </w:p>
    <w:tbl>
      <w:tblPr>
        <w:tblStyle w:val="ad"/>
        <w:tblW w:w="0" w:type="auto"/>
        <w:tblLook w:val="04A0" w:firstRow="1" w:lastRow="0" w:firstColumn="1" w:lastColumn="0" w:noHBand="0" w:noVBand="1"/>
      </w:tblPr>
      <w:tblGrid>
        <w:gridCol w:w="9286"/>
      </w:tblGrid>
      <w:tr w:rsidR="002308EC" w14:paraId="0AC66841" w14:textId="77777777" w:rsidTr="002308EC">
        <w:tc>
          <w:tcPr>
            <w:tcW w:w="9286" w:type="dxa"/>
          </w:tcPr>
          <w:p w14:paraId="27B94D05" w14:textId="77777777" w:rsidR="002308EC" w:rsidRDefault="002308EC" w:rsidP="002308EC">
            <w:pPr>
              <w:jc w:val="both"/>
            </w:pPr>
            <w:bookmarkStart w:id="5" w:name="_Hlk89819308"/>
            <w:r>
              <w:t xml:space="preserve">TDD is widely used in commercial NR deployments. In TDD, the time domain resource is split between downlink and uplink. </w:t>
            </w:r>
            <w:r w:rsidRPr="002308EC">
              <w:rPr>
                <w:highlight w:val="yellow"/>
              </w:rPr>
              <w:t>Allocation of a limited time duration for the uplink in TDD would result in reduced coverage, increased latency and reduced capaci</w:t>
            </w:r>
            <w:r w:rsidRPr="00A20BA4">
              <w:rPr>
                <w:highlight w:val="yellow"/>
              </w:rPr>
              <w:t xml:space="preserve">ty. As a possible enhancement on this limitation of the conventional TDD operation, it would be worth studying the feasibility of allowing the simultaneous existence of downlink and uplink, a.k.a. full duplex, or more specifically, </w:t>
            </w:r>
            <w:proofErr w:type="spellStart"/>
            <w:r w:rsidRPr="00A20BA4">
              <w:rPr>
                <w:highlight w:val="yellow"/>
              </w:rPr>
              <w:t>subband</w:t>
            </w:r>
            <w:proofErr w:type="spellEnd"/>
            <w:r w:rsidRPr="00A20BA4">
              <w:rPr>
                <w:highlight w:val="yellow"/>
              </w:rPr>
              <w:t xml:space="preserve"> non-overlapping full duplex at the gNB side within a conventional TDD band.</w:t>
            </w:r>
          </w:p>
          <w:p w14:paraId="0ACC779C" w14:textId="77777777" w:rsidR="002308EC" w:rsidRPr="0067356A" w:rsidRDefault="002308EC" w:rsidP="002308EC">
            <w:pPr>
              <w:jc w:val="both"/>
            </w:pPr>
            <w:r>
              <w:lastRenderedPageBreak/>
              <w:t xml:space="preserve">The NR TDD specifications allow the dynamic/flexible allocation of downlink and uplink in time and CLI handling and RIM for NR were introduced in Rel-16. Nevertheless, further study may be required for CLI handling between the </w:t>
            </w:r>
            <w:proofErr w:type="spellStart"/>
            <w:r>
              <w:t>gNBs</w:t>
            </w:r>
            <w:proofErr w:type="spellEnd"/>
            <w:r>
              <w:t xml:space="preserve"> of the same or different operators to enable the dynamic/flexible TDD in commercial networks. The inter-gNB CLI </w:t>
            </w:r>
            <w:r w:rsidRPr="00234C08">
              <w:t>may be due</w:t>
            </w:r>
            <w:r>
              <w:t xml:space="preserve"> to either adjacent-channel CLI</w:t>
            </w:r>
            <w:r w:rsidRPr="00234C08">
              <w:t xml:space="preserve"> or co-channel-CLI, or both, depending on the deployment scenario.</w:t>
            </w:r>
            <w:r>
              <w:t xml:space="preserve"> One of the</w:t>
            </w:r>
            <w:r w:rsidRPr="00234C08">
              <w:t xml:space="preserve"> problem</w:t>
            </w:r>
            <w:r>
              <w:t>s</w:t>
            </w:r>
            <w:r w:rsidRPr="00234C08">
              <w:t xml:space="preserve"> not addressed in the previous releases is gNB-to-gNB CLI.</w:t>
            </w:r>
          </w:p>
          <w:p w14:paraId="61155763" w14:textId="77777777" w:rsidR="002308EC" w:rsidRPr="002308EC" w:rsidRDefault="002308EC" w:rsidP="002308EC">
            <w:pPr>
              <w:jc w:val="both"/>
              <w:rPr>
                <w:rFonts w:eastAsiaTheme="minorEastAsia"/>
                <w:lang w:val="en-CA" w:eastAsia="zh-CN"/>
              </w:rPr>
            </w:pPr>
            <w:r>
              <w:t>This study aims to identify the feasibility and solutions of duplex evolution in the areas outlined above to provide enhanced UL coverage, reduced latency, improved system capacity, and improved configuration flexibility for NR TDD operations in unpaired spectrum.</w:t>
            </w:r>
            <w:r w:rsidRPr="00A6737C">
              <w:t xml:space="preserve"> In addition, the regulatory aspects need to be </w:t>
            </w:r>
            <w:r w:rsidRPr="00D10193">
              <w:t>examined</w:t>
            </w:r>
            <w:r>
              <w:t xml:space="preserve"> </w:t>
            </w:r>
            <w:r w:rsidRPr="00A6737C">
              <w:t xml:space="preserve">for deploying </w:t>
            </w:r>
            <w:r>
              <w:t>identified</w:t>
            </w:r>
            <w:r w:rsidRPr="00A6737C">
              <w:t xml:space="preserve"> duplex enhancements in TDD unpaired spectrum</w:t>
            </w:r>
            <w:r w:rsidRPr="00BE42E6">
              <w:t xml:space="preserve"> </w:t>
            </w:r>
            <w:r>
              <w:t>considering potential constraints.</w:t>
            </w:r>
            <w:bookmarkEnd w:id="5"/>
          </w:p>
        </w:tc>
      </w:tr>
    </w:tbl>
    <w:p w14:paraId="789A3FAE" w14:textId="77777777" w:rsidR="002308EC" w:rsidRDefault="002308EC" w:rsidP="0068788D">
      <w:pPr>
        <w:rPr>
          <w:rFonts w:eastAsiaTheme="minorEastAsia"/>
        </w:rPr>
      </w:pPr>
    </w:p>
    <w:p w14:paraId="5089EDA5" w14:textId="77777777" w:rsidR="0031768F" w:rsidRDefault="0031768F" w:rsidP="0068788D">
      <w:pPr>
        <w:rPr>
          <w:rFonts w:eastAsiaTheme="minorEastAsia"/>
        </w:rPr>
      </w:pPr>
      <w:r>
        <w:rPr>
          <w:rFonts w:eastAsiaTheme="minorEastAsia" w:hint="eastAsia"/>
        </w:rPr>
        <w:t>Some companies think that SBFD is studied as a possible enhancement to address the limited time duration for uplink in TDD as highlighted in yellow in</w:t>
      </w:r>
      <w:r w:rsidRPr="008A6970">
        <w:rPr>
          <w:rFonts w:eastAsiaTheme="minorEastAsia" w:hint="eastAsia"/>
        </w:rPr>
        <w:t xml:space="preserve"> </w:t>
      </w:r>
      <w:r>
        <w:rPr>
          <w:rFonts w:eastAsiaTheme="minorEastAsia" w:hint="eastAsia"/>
        </w:rPr>
        <w:t xml:space="preserve">the </w:t>
      </w:r>
      <w:r>
        <w:rPr>
          <w:rFonts w:eastAsiaTheme="minorEastAsia"/>
        </w:rPr>
        <w:t>justification</w:t>
      </w:r>
      <w:r>
        <w:rPr>
          <w:rFonts w:eastAsiaTheme="minorEastAsia" w:hint="eastAsia"/>
        </w:rPr>
        <w:t xml:space="preserve"> section of SID. Therefore, Rel-18 SBFD study only includes SBFD operation (UL </w:t>
      </w:r>
      <w:proofErr w:type="spellStart"/>
      <w:r>
        <w:rPr>
          <w:rFonts w:eastAsiaTheme="minorEastAsia" w:hint="eastAsia"/>
        </w:rPr>
        <w:t>subband</w:t>
      </w:r>
      <w:proofErr w:type="spellEnd"/>
      <w:r>
        <w:rPr>
          <w:rFonts w:eastAsiaTheme="minorEastAsia" w:hint="eastAsia"/>
        </w:rPr>
        <w:t xml:space="preserve">) in </w:t>
      </w:r>
      <w:r>
        <w:rPr>
          <w:rFonts w:eastAsiaTheme="minorEastAsia"/>
        </w:rPr>
        <w:t>legacy DL and flexible symbols</w:t>
      </w:r>
      <w:r>
        <w:rPr>
          <w:rFonts w:eastAsiaTheme="minorEastAsia" w:hint="eastAsia"/>
        </w:rPr>
        <w:t xml:space="preserve"> while</w:t>
      </w:r>
      <w:r>
        <w:rPr>
          <w:rFonts w:eastAsiaTheme="minorEastAsia"/>
        </w:rPr>
        <w:t xml:space="preserve"> </w:t>
      </w:r>
      <w:r>
        <w:rPr>
          <w:rFonts w:eastAsiaTheme="minorEastAsia" w:hint="eastAsia"/>
        </w:rPr>
        <w:t xml:space="preserve">SBFD operation (DL </w:t>
      </w:r>
      <w:proofErr w:type="spellStart"/>
      <w:r>
        <w:rPr>
          <w:rFonts w:eastAsiaTheme="minorEastAsia" w:hint="eastAsia"/>
        </w:rPr>
        <w:t>subband</w:t>
      </w:r>
      <w:proofErr w:type="spellEnd"/>
      <w:r>
        <w:rPr>
          <w:rFonts w:eastAsiaTheme="minorEastAsia" w:hint="eastAsia"/>
        </w:rPr>
        <w:t xml:space="preserve">) in legacy UL symbols is not motivated. However, some other companies think that SBFD operation (DL </w:t>
      </w:r>
      <w:proofErr w:type="spellStart"/>
      <w:r>
        <w:rPr>
          <w:rFonts w:eastAsiaTheme="minorEastAsia" w:hint="eastAsia"/>
        </w:rPr>
        <w:t>subband</w:t>
      </w:r>
      <w:proofErr w:type="spellEnd"/>
      <w:r>
        <w:rPr>
          <w:rFonts w:eastAsiaTheme="minorEastAsia" w:hint="eastAsia"/>
        </w:rPr>
        <w:t>) in legacy UL symbols is not precluded according to the SID objectives.</w:t>
      </w:r>
    </w:p>
    <w:p w14:paraId="566EC176" w14:textId="77777777" w:rsidR="001160CD" w:rsidRPr="00A6672E" w:rsidRDefault="001160CD" w:rsidP="0068788D">
      <w:pPr>
        <w:rPr>
          <w:rFonts w:eastAsiaTheme="minorEastAsia"/>
          <w:b/>
        </w:rPr>
      </w:pPr>
      <w:r w:rsidRPr="00A6672E">
        <w:rPr>
          <w:rFonts w:eastAsiaTheme="minorEastAsia" w:hint="eastAsia"/>
          <w:b/>
        </w:rPr>
        <w:t>Proposal</w:t>
      </w:r>
      <w:r w:rsidR="0031768F">
        <w:rPr>
          <w:rFonts w:eastAsiaTheme="minorEastAsia" w:hint="eastAsia"/>
          <w:b/>
        </w:rPr>
        <w:t xml:space="preserve"> 1</w:t>
      </w:r>
      <w:r w:rsidRPr="00A6672E">
        <w:rPr>
          <w:rFonts w:eastAsiaTheme="minorEastAsia" w:hint="eastAsia"/>
          <w:b/>
        </w:rPr>
        <w:t xml:space="preserve">: </w:t>
      </w:r>
      <w:r w:rsidR="0031768F">
        <w:rPr>
          <w:rFonts w:eastAsiaTheme="minorEastAsia" w:hint="eastAsia"/>
          <w:b/>
        </w:rPr>
        <w:t>Discuss and clarify</w:t>
      </w:r>
      <w:r w:rsidR="00A6672E" w:rsidRPr="00A6672E">
        <w:rPr>
          <w:rFonts w:eastAsiaTheme="minorEastAsia" w:hint="eastAsia"/>
          <w:b/>
        </w:rPr>
        <w:t xml:space="preserve"> whether SBFD operation</w:t>
      </w:r>
      <w:r w:rsidR="0031768F">
        <w:rPr>
          <w:rFonts w:eastAsiaTheme="minorEastAsia" w:hint="eastAsia"/>
          <w:b/>
        </w:rPr>
        <w:t xml:space="preserve"> </w:t>
      </w:r>
      <w:r w:rsidR="0031768F" w:rsidRPr="0031768F">
        <w:rPr>
          <w:rFonts w:eastAsiaTheme="minorEastAsia"/>
          <w:b/>
        </w:rPr>
        <w:t xml:space="preserve">(DL </w:t>
      </w:r>
      <w:proofErr w:type="spellStart"/>
      <w:r w:rsidR="0031768F" w:rsidRPr="0031768F">
        <w:rPr>
          <w:rFonts w:eastAsiaTheme="minorEastAsia"/>
          <w:b/>
        </w:rPr>
        <w:t>subband</w:t>
      </w:r>
      <w:proofErr w:type="spellEnd"/>
      <w:r w:rsidR="0031768F" w:rsidRPr="0031768F">
        <w:rPr>
          <w:rFonts w:eastAsiaTheme="minorEastAsia"/>
          <w:b/>
        </w:rPr>
        <w:t>)</w:t>
      </w:r>
      <w:r w:rsidR="00A6672E" w:rsidRPr="00A6672E">
        <w:rPr>
          <w:rFonts w:eastAsiaTheme="minorEastAsia" w:hint="eastAsia"/>
          <w:b/>
        </w:rPr>
        <w:t xml:space="preserve"> in legacy UL symbols is within the scope</w:t>
      </w:r>
      <w:r w:rsidR="0031768F">
        <w:rPr>
          <w:rFonts w:eastAsiaTheme="minorEastAsia" w:hint="eastAsia"/>
          <w:b/>
        </w:rPr>
        <w:t xml:space="preserve"> of Rel-18</w:t>
      </w:r>
      <w:r w:rsidR="0040397C">
        <w:rPr>
          <w:rFonts w:eastAsiaTheme="minorEastAsia" w:hint="eastAsia"/>
          <w:b/>
        </w:rPr>
        <w:t xml:space="preserve"> duplex evolution</w:t>
      </w:r>
      <w:r w:rsidR="0031768F">
        <w:rPr>
          <w:rFonts w:eastAsiaTheme="minorEastAsia" w:hint="eastAsia"/>
          <w:b/>
        </w:rPr>
        <w:t xml:space="preserve"> SI</w:t>
      </w:r>
      <w:r w:rsidR="007074C1">
        <w:rPr>
          <w:rFonts w:eastAsiaTheme="minorEastAsia" w:hint="eastAsia"/>
          <w:b/>
        </w:rPr>
        <w:t xml:space="preserve"> or not</w:t>
      </w:r>
      <w:r w:rsidR="00A6672E" w:rsidRPr="00A6672E">
        <w:rPr>
          <w:rFonts w:eastAsiaTheme="minorEastAsia" w:hint="eastAsia"/>
          <w:b/>
        </w:rPr>
        <w:t>.</w:t>
      </w:r>
    </w:p>
    <w:p w14:paraId="7200A2A2" w14:textId="77777777" w:rsidR="002308EC" w:rsidRDefault="002308EC" w:rsidP="0068788D">
      <w:pPr>
        <w:rPr>
          <w:rFonts w:eastAsiaTheme="minorEastAsia"/>
        </w:rPr>
      </w:pPr>
    </w:p>
    <w:p w14:paraId="0AA65E6C" w14:textId="77777777" w:rsidR="0040397C" w:rsidRPr="00C337CC" w:rsidRDefault="0040397C" w:rsidP="0040397C">
      <w:pPr>
        <w:rPr>
          <w:rFonts w:eastAsiaTheme="minorEastAsia"/>
          <w:b/>
          <w:u w:val="single"/>
        </w:rPr>
      </w:pPr>
      <w:r>
        <w:rPr>
          <w:rFonts w:eastAsiaTheme="minorEastAsia" w:hint="eastAsia"/>
          <w:b/>
          <w:u w:val="single"/>
        </w:rPr>
        <w:t>Adjacent-channel co-existence</w:t>
      </w:r>
    </w:p>
    <w:p w14:paraId="2B811560" w14:textId="77777777" w:rsidR="00AD4F6D" w:rsidRPr="00AD4F6D" w:rsidRDefault="0040397C" w:rsidP="007074C1">
      <w:pPr>
        <w:rPr>
          <w:rFonts w:eastAsiaTheme="minorEastAsia"/>
        </w:rPr>
      </w:pPr>
      <w:r>
        <w:rPr>
          <w:rFonts w:eastAsiaTheme="minorEastAsia" w:hint="eastAsia"/>
        </w:rPr>
        <w:t xml:space="preserve">According to the objectives of the SID, RAN1 </w:t>
      </w:r>
      <w:r w:rsidR="00C14395">
        <w:rPr>
          <w:rFonts w:eastAsiaTheme="minorEastAsia" w:hint="eastAsia"/>
        </w:rPr>
        <w:t>should study the performance and impact on legacy operation for both co-ch</w:t>
      </w:r>
      <w:r w:rsidR="00EB3FD4">
        <w:rPr>
          <w:rFonts w:eastAsiaTheme="minorEastAsia" w:hint="eastAsia"/>
        </w:rPr>
        <w:t>annel co-existence and adjacent-</w:t>
      </w:r>
      <w:r w:rsidR="00C14395">
        <w:rPr>
          <w:rFonts w:eastAsiaTheme="minorEastAsia" w:hint="eastAsia"/>
        </w:rPr>
        <w:t>channel</w:t>
      </w:r>
      <w:r w:rsidR="00EB3FD4">
        <w:rPr>
          <w:rFonts w:eastAsiaTheme="minorEastAsia" w:hint="eastAsia"/>
        </w:rPr>
        <w:t xml:space="preserve"> co-existence.</w:t>
      </w:r>
    </w:p>
    <w:tbl>
      <w:tblPr>
        <w:tblStyle w:val="ad"/>
        <w:tblW w:w="0" w:type="auto"/>
        <w:tblLook w:val="04A0" w:firstRow="1" w:lastRow="0" w:firstColumn="1" w:lastColumn="0" w:noHBand="0" w:noVBand="1"/>
      </w:tblPr>
      <w:tblGrid>
        <w:gridCol w:w="9286"/>
      </w:tblGrid>
      <w:tr w:rsidR="0040397C" w14:paraId="1BD8A94C" w14:textId="77777777" w:rsidTr="0040397C">
        <w:tc>
          <w:tcPr>
            <w:tcW w:w="9286" w:type="dxa"/>
          </w:tcPr>
          <w:p w14:paraId="121DC9F0" w14:textId="77777777" w:rsidR="0040397C" w:rsidRPr="00FC7907" w:rsidRDefault="0040397C" w:rsidP="00FC7907">
            <w:pPr>
              <w:pStyle w:val="a6"/>
              <w:widowControl/>
              <w:numPr>
                <w:ilvl w:val="0"/>
                <w:numId w:val="38"/>
              </w:numPr>
              <w:overflowPunct w:val="0"/>
              <w:autoSpaceDE w:val="0"/>
              <w:autoSpaceDN w:val="0"/>
              <w:adjustRightInd w:val="0"/>
              <w:spacing w:after="180"/>
              <w:ind w:left="1076" w:firstLineChars="0"/>
              <w:contextualSpacing/>
              <w:jc w:val="both"/>
              <w:textAlignment w:val="baseline"/>
              <w:rPr>
                <w:rFonts w:eastAsia="Malgun Gothic"/>
                <w:bCs/>
                <w:i/>
                <w:lang w:eastAsia="ko-KR"/>
              </w:rPr>
            </w:pPr>
            <w:r w:rsidRPr="000D28C6">
              <w:rPr>
                <w:rFonts w:eastAsia="Malgun Gothic"/>
                <w:bCs/>
                <w:i/>
                <w:lang w:eastAsia="ko-KR"/>
              </w:rPr>
              <w:t>Study the performance of the identified schemes as well as the impact on legacy operation assuming their co-existence in co-channel and adjacent channels (RAN1).</w:t>
            </w:r>
          </w:p>
        </w:tc>
      </w:tr>
    </w:tbl>
    <w:p w14:paraId="4BC9A5EE" w14:textId="416BE43C" w:rsidR="00742B11" w:rsidRDefault="00EB3FD4" w:rsidP="00742B11">
      <w:pPr>
        <w:spacing w:beforeLines="50" w:before="120"/>
        <w:rPr>
          <w:rFonts w:eastAsiaTheme="minorEastAsia" w:hint="eastAsia"/>
        </w:rPr>
      </w:pPr>
      <w:r>
        <w:rPr>
          <w:rFonts w:eastAsiaTheme="minorEastAsia" w:hint="eastAsia"/>
        </w:rPr>
        <w:t xml:space="preserve">However, </w:t>
      </w:r>
      <w:r>
        <w:rPr>
          <w:rFonts w:eastAsiaTheme="minorEastAsia"/>
        </w:rPr>
        <w:t>adjacent</w:t>
      </w:r>
      <w:r>
        <w:rPr>
          <w:rFonts w:eastAsiaTheme="minorEastAsia" w:hint="eastAsia"/>
        </w:rPr>
        <w:t xml:space="preserve">-channel co-existence is typically studied in RAN4 as in previous releases and the methodology and assumptions can be different from co-channel co-existence study. Coordination between RAN1 and RAN4 is needed to avoid repeated/conflict work in different WGs. It is desired that RAN can provide some guidance on </w:t>
      </w:r>
      <w:r w:rsidR="00742B11">
        <w:rPr>
          <w:rFonts w:eastAsiaTheme="minorEastAsia" w:hint="eastAsia"/>
        </w:rPr>
        <w:t xml:space="preserve">how to split the work on </w:t>
      </w:r>
      <w:r w:rsidR="00742B11" w:rsidRPr="00742B11">
        <w:rPr>
          <w:rFonts w:eastAsiaTheme="minorEastAsia"/>
        </w:rPr>
        <w:t>adjacent-channel co-existence study for duplex evolution between RAN1 and RAN4.</w:t>
      </w:r>
    </w:p>
    <w:p w14:paraId="711BD2A4" w14:textId="19CB482F" w:rsidR="00EB3FD4" w:rsidRDefault="00EB3FD4" w:rsidP="007074C1">
      <w:pPr>
        <w:rPr>
          <w:rFonts w:eastAsiaTheme="minorEastAsia" w:hint="eastAsia"/>
          <w:b/>
        </w:rPr>
      </w:pPr>
      <w:r w:rsidRPr="00FC7907">
        <w:rPr>
          <w:rFonts w:eastAsiaTheme="minorEastAsia"/>
          <w:b/>
        </w:rPr>
        <w:t xml:space="preserve">Proposal </w:t>
      </w:r>
      <w:r w:rsidR="00742B11">
        <w:rPr>
          <w:rFonts w:eastAsiaTheme="minorEastAsia" w:hint="eastAsia"/>
          <w:b/>
        </w:rPr>
        <w:t>2</w:t>
      </w:r>
      <w:r w:rsidRPr="00FC7907">
        <w:rPr>
          <w:rFonts w:eastAsiaTheme="minorEastAsia"/>
          <w:b/>
        </w:rPr>
        <w:t>:</w:t>
      </w:r>
      <w:r>
        <w:rPr>
          <w:rFonts w:eastAsiaTheme="minorEastAsia" w:hint="eastAsia"/>
          <w:b/>
        </w:rPr>
        <w:t xml:space="preserve"> RAN provides guidance on </w:t>
      </w:r>
      <w:r w:rsidR="00742B11" w:rsidRPr="00742B11">
        <w:rPr>
          <w:rFonts w:eastAsiaTheme="minorEastAsia"/>
          <w:b/>
        </w:rPr>
        <w:t>how to split the work on adjacent-channel co-existence study for duplex evolution between RAN1 and RAN4.</w:t>
      </w:r>
    </w:p>
    <w:p w14:paraId="536CD8AF" w14:textId="77777777" w:rsidR="00EB3FD4" w:rsidRPr="007074C1" w:rsidRDefault="00EB3FD4" w:rsidP="007074C1">
      <w:pPr>
        <w:rPr>
          <w:rFonts w:eastAsiaTheme="minorEastAsia"/>
        </w:rPr>
      </w:pPr>
    </w:p>
    <w:p w14:paraId="11C19C33" w14:textId="77777777" w:rsidR="00C337CC" w:rsidRDefault="00E60F13" w:rsidP="00C337CC">
      <w:pPr>
        <w:rPr>
          <w:rFonts w:eastAsiaTheme="minorEastAsia"/>
          <w:b/>
          <w:u w:val="single"/>
        </w:rPr>
      </w:pPr>
      <w:r>
        <w:rPr>
          <w:rFonts w:eastAsiaTheme="minorEastAsia"/>
          <w:b/>
          <w:u w:val="single"/>
        </w:rPr>
        <w:t xml:space="preserve">Information exchange over </w:t>
      </w:r>
      <w:proofErr w:type="spellStart"/>
      <w:r>
        <w:rPr>
          <w:rFonts w:eastAsiaTheme="minorEastAsia"/>
          <w:b/>
          <w:u w:val="single"/>
        </w:rPr>
        <w:t>Xn</w:t>
      </w:r>
      <w:proofErr w:type="spellEnd"/>
      <w:r>
        <w:rPr>
          <w:rFonts w:eastAsiaTheme="minorEastAsia"/>
          <w:b/>
          <w:u w:val="single"/>
        </w:rPr>
        <w:t>/F1 interface</w:t>
      </w:r>
    </w:p>
    <w:p w14:paraId="3E6AEC9C" w14:textId="77777777" w:rsidR="00C337CC" w:rsidRDefault="00E60F13" w:rsidP="00E60F13">
      <w:pPr>
        <w:rPr>
          <w:rFonts w:eastAsiaTheme="minorEastAsia"/>
        </w:rPr>
      </w:pPr>
      <w:r>
        <w:rPr>
          <w:rFonts w:eastAsiaTheme="minorEastAsia" w:hint="eastAsia"/>
        </w:rPr>
        <w:t>In Rel-16</w:t>
      </w:r>
      <w:r>
        <w:rPr>
          <w:rFonts w:eastAsiaTheme="minorEastAsia"/>
        </w:rPr>
        <w:t xml:space="preserve">, to enable information exchange of </w:t>
      </w:r>
      <w:r w:rsidRPr="00E60F13">
        <w:rPr>
          <w:rFonts w:eastAsiaTheme="minorEastAsia"/>
        </w:rPr>
        <w:t>TDD radio frame configuration</w:t>
      </w:r>
      <w:r>
        <w:rPr>
          <w:rFonts w:eastAsiaTheme="minorEastAsia"/>
        </w:rPr>
        <w:t xml:space="preserve"> between gNB, ‘i</w:t>
      </w:r>
      <w:r w:rsidRPr="00E60F13">
        <w:rPr>
          <w:rFonts w:eastAsiaTheme="minorEastAsia"/>
        </w:rPr>
        <w:t>ntended TDD DL-UL Configuration</w:t>
      </w:r>
      <w:r>
        <w:rPr>
          <w:rFonts w:eastAsiaTheme="minorEastAsia"/>
        </w:rPr>
        <w:t>’</w:t>
      </w:r>
      <w:r w:rsidRPr="00E60F13">
        <w:rPr>
          <w:rFonts w:eastAsiaTheme="minorEastAsia"/>
        </w:rPr>
        <w:t xml:space="preserve"> over the </w:t>
      </w:r>
      <w:proofErr w:type="spellStart"/>
      <w:r w:rsidRPr="00E60F13">
        <w:rPr>
          <w:rFonts w:eastAsiaTheme="minorEastAsia"/>
        </w:rPr>
        <w:t>Xn</w:t>
      </w:r>
      <w:proofErr w:type="spellEnd"/>
      <w:r w:rsidR="000939DB">
        <w:rPr>
          <w:rFonts w:eastAsiaTheme="minorEastAsia"/>
        </w:rPr>
        <w:t xml:space="preserve">/F1 interface </w:t>
      </w:r>
      <w:r w:rsidRPr="00E60F13">
        <w:rPr>
          <w:rFonts w:eastAsiaTheme="minorEastAsia"/>
        </w:rPr>
        <w:t>was standardized</w:t>
      </w:r>
      <w:r>
        <w:rPr>
          <w:rFonts w:eastAsiaTheme="minorEastAsia"/>
        </w:rPr>
        <w:t>.</w:t>
      </w:r>
      <w:r w:rsidR="006F24ED">
        <w:rPr>
          <w:rFonts w:eastAsiaTheme="minorEastAsia"/>
        </w:rPr>
        <w:t xml:space="preserve"> No further standardization work was done for CLI handling.</w:t>
      </w:r>
    </w:p>
    <w:p w14:paraId="2703F218" w14:textId="77777777" w:rsidR="006F24ED" w:rsidRDefault="006F24ED" w:rsidP="00E60F13">
      <w:pPr>
        <w:rPr>
          <w:rFonts w:eastAsiaTheme="minorEastAsia"/>
        </w:rPr>
      </w:pPr>
    </w:p>
    <w:p w14:paraId="5D6B38E4" w14:textId="77777777" w:rsidR="00020CCE" w:rsidRDefault="00020CCE" w:rsidP="00020CCE">
      <w:pPr>
        <w:rPr>
          <w:rFonts w:eastAsiaTheme="minorEastAsia"/>
        </w:rPr>
      </w:pPr>
      <w:r>
        <w:rPr>
          <w:rFonts w:eastAsiaTheme="minorEastAsia"/>
        </w:rPr>
        <w:t>In RAN1#109-e, f</w:t>
      </w:r>
      <w:r w:rsidRPr="00020CCE">
        <w:rPr>
          <w:rFonts w:eastAsiaTheme="minorEastAsia"/>
        </w:rPr>
        <w:t xml:space="preserve">or supporting </w:t>
      </w:r>
      <w:r w:rsidR="006F24ED">
        <w:rPr>
          <w:rFonts w:eastAsiaTheme="minorEastAsia"/>
        </w:rPr>
        <w:t xml:space="preserve">better </w:t>
      </w:r>
      <w:r w:rsidRPr="00020CCE">
        <w:rPr>
          <w:rFonts w:eastAsiaTheme="minorEastAsia"/>
        </w:rPr>
        <w:t>inter-UE/gNB-to-gNB CLI handling</w:t>
      </w:r>
      <w:r w:rsidR="006F24ED">
        <w:rPr>
          <w:rFonts w:eastAsiaTheme="minorEastAsia"/>
        </w:rPr>
        <w:t>, the following was proposed:</w:t>
      </w:r>
    </w:p>
    <w:p w14:paraId="7572692D" w14:textId="77777777" w:rsidR="00020CCE" w:rsidRDefault="00020CCE" w:rsidP="00020CCE">
      <w:pPr>
        <w:pStyle w:val="a6"/>
        <w:widowControl/>
        <w:numPr>
          <w:ilvl w:val="0"/>
          <w:numId w:val="41"/>
        </w:numPr>
        <w:suppressAutoHyphens/>
        <w:spacing w:after="180"/>
        <w:ind w:firstLineChars="0"/>
        <w:textAlignment w:val="baseline"/>
      </w:pPr>
      <w:r>
        <w:t>For intra-</w:t>
      </w:r>
      <w:proofErr w:type="spellStart"/>
      <w:r>
        <w:t>opeator</w:t>
      </w:r>
      <w:proofErr w:type="spellEnd"/>
      <w:r>
        <w:t xml:space="preserve"> gNB-to-gNB CLI mitigation, Beam indication using </w:t>
      </w:r>
      <w:proofErr w:type="spellStart"/>
      <w:r>
        <w:t>Xn</w:t>
      </w:r>
      <w:proofErr w:type="spellEnd"/>
      <w:r>
        <w:t xml:space="preserve">-AP </w:t>
      </w:r>
    </w:p>
    <w:p w14:paraId="4139E832" w14:textId="77777777" w:rsidR="00020CCE" w:rsidRDefault="00020CCE" w:rsidP="00020CCE">
      <w:pPr>
        <w:pStyle w:val="a6"/>
        <w:widowControl/>
        <w:numPr>
          <w:ilvl w:val="0"/>
          <w:numId w:val="41"/>
        </w:numPr>
        <w:suppressAutoHyphens/>
        <w:spacing w:after="180"/>
        <w:ind w:firstLineChars="0"/>
        <w:textAlignment w:val="baseline"/>
      </w:pPr>
      <w:r>
        <w:t xml:space="preserve">For inter-UE CLI handling, enhancement of backhaul signaling to exchange necessary information </w:t>
      </w:r>
    </w:p>
    <w:p w14:paraId="658DA1F3" w14:textId="77777777" w:rsidR="00020CCE" w:rsidRDefault="00020CCE" w:rsidP="00020CCE">
      <w:pPr>
        <w:pStyle w:val="a6"/>
        <w:widowControl/>
        <w:numPr>
          <w:ilvl w:val="0"/>
          <w:numId w:val="41"/>
        </w:numPr>
        <w:suppressAutoHyphens/>
        <w:spacing w:after="180"/>
        <w:ind w:firstLineChars="0"/>
        <w:textAlignment w:val="baseline"/>
      </w:pPr>
      <w:r>
        <w:t xml:space="preserve">For having a completely standardized solution of UE SRS-RSRP measurement, exchange of cells/UEs SRS configuration over the </w:t>
      </w:r>
      <w:proofErr w:type="spellStart"/>
      <w:r>
        <w:t>Xn</w:t>
      </w:r>
      <w:proofErr w:type="spellEnd"/>
      <w:r>
        <w:t xml:space="preserve">/F1 interface </w:t>
      </w:r>
    </w:p>
    <w:p w14:paraId="058AD4AD" w14:textId="77777777" w:rsidR="00020CCE" w:rsidRPr="00020CCE" w:rsidRDefault="00020CCE" w:rsidP="00020CCE">
      <w:pPr>
        <w:jc w:val="both"/>
        <w:rPr>
          <w:rFonts w:eastAsiaTheme="minorEastAsia"/>
        </w:rPr>
      </w:pPr>
      <w:r>
        <w:rPr>
          <w:rFonts w:eastAsiaTheme="minorEastAsia"/>
        </w:rPr>
        <w:t>The potential benefit of these scheme</w:t>
      </w:r>
      <w:r w:rsidR="006F24ED">
        <w:rPr>
          <w:rFonts w:eastAsiaTheme="minorEastAsia"/>
        </w:rPr>
        <w:t>s</w:t>
      </w:r>
      <w:r>
        <w:rPr>
          <w:rFonts w:eastAsiaTheme="minorEastAsia"/>
        </w:rPr>
        <w:t xml:space="preserve"> could be evaluated in RAN1. However, the feasibility of information exchange has to be verified by RAN3. Currently, RAN3 is not tasked in the SID. Instead of triggering RAN3 involvement of this SID from WG level by sending LS to RAN3 </w:t>
      </w:r>
      <w:r w:rsidR="006F24ED">
        <w:rPr>
          <w:rFonts w:eastAsiaTheme="minorEastAsia"/>
        </w:rPr>
        <w:t>from</w:t>
      </w:r>
      <w:r>
        <w:rPr>
          <w:rFonts w:eastAsiaTheme="minorEastAsia"/>
        </w:rPr>
        <w:t xml:space="preserve"> RAN1 afterwards, it is preferred to p</w:t>
      </w:r>
      <w:r w:rsidRPr="00020CCE">
        <w:rPr>
          <w:rFonts w:eastAsiaTheme="minorEastAsia"/>
        </w:rPr>
        <w:t>roactively</w:t>
      </w:r>
      <w:r>
        <w:rPr>
          <w:rFonts w:eastAsiaTheme="minorEastAsia"/>
        </w:rPr>
        <w:t xml:space="preserve"> discuss th</w:t>
      </w:r>
      <w:r w:rsidR="006F24ED">
        <w:rPr>
          <w:rFonts w:eastAsiaTheme="minorEastAsia"/>
        </w:rPr>
        <w:t>is aspect</w:t>
      </w:r>
      <w:r>
        <w:rPr>
          <w:rFonts w:eastAsiaTheme="minorEastAsia"/>
        </w:rPr>
        <w:t xml:space="preserve"> in the plenary level and </w:t>
      </w:r>
      <w:r w:rsidR="006F24ED">
        <w:rPr>
          <w:rFonts w:eastAsiaTheme="minorEastAsia"/>
        </w:rPr>
        <w:t xml:space="preserve">explicitly include RAN3 in the scope of SID if there is consensus to expand the standardization effort to </w:t>
      </w:r>
      <w:proofErr w:type="spellStart"/>
      <w:r w:rsidR="006F24ED">
        <w:rPr>
          <w:rFonts w:eastAsiaTheme="minorEastAsia"/>
        </w:rPr>
        <w:t>Xn</w:t>
      </w:r>
      <w:proofErr w:type="spellEnd"/>
      <w:r w:rsidR="006F24ED">
        <w:rPr>
          <w:rFonts w:eastAsiaTheme="minorEastAsia"/>
        </w:rPr>
        <w:t>/F1 interface.</w:t>
      </w:r>
    </w:p>
    <w:p w14:paraId="3A0DABD1" w14:textId="2673E978" w:rsidR="00C337CC" w:rsidRDefault="000939DB" w:rsidP="000939DB">
      <w:pPr>
        <w:rPr>
          <w:rFonts w:eastAsiaTheme="minorEastAsia"/>
          <w:b/>
        </w:rPr>
      </w:pPr>
      <w:r w:rsidRPr="00A6672E">
        <w:rPr>
          <w:rFonts w:eastAsiaTheme="minorEastAsia" w:hint="eastAsia"/>
          <w:b/>
        </w:rPr>
        <w:t>Proposal</w:t>
      </w:r>
      <w:r>
        <w:rPr>
          <w:rFonts w:eastAsiaTheme="minorEastAsia" w:hint="eastAsia"/>
          <w:b/>
        </w:rPr>
        <w:t xml:space="preserve"> </w:t>
      </w:r>
      <w:r w:rsidR="00742B11">
        <w:rPr>
          <w:rFonts w:eastAsiaTheme="minorEastAsia" w:hint="eastAsia"/>
          <w:b/>
        </w:rPr>
        <w:t>3</w:t>
      </w:r>
      <w:r w:rsidRPr="00A6672E">
        <w:rPr>
          <w:rFonts w:eastAsiaTheme="minorEastAsia" w:hint="eastAsia"/>
          <w:b/>
        </w:rPr>
        <w:t>:</w:t>
      </w:r>
      <w:r w:rsidR="006F24ED">
        <w:rPr>
          <w:rFonts w:eastAsiaTheme="minorEastAsia"/>
          <w:b/>
        </w:rPr>
        <w:t xml:space="preserve"> RAN </w:t>
      </w:r>
      <w:r w:rsidR="00EA3FDE">
        <w:rPr>
          <w:rFonts w:eastAsiaTheme="minorEastAsia"/>
          <w:b/>
        </w:rPr>
        <w:t>discusses</w:t>
      </w:r>
      <w:r w:rsidR="006F24ED">
        <w:rPr>
          <w:rFonts w:eastAsiaTheme="minorEastAsia"/>
          <w:b/>
        </w:rPr>
        <w:t xml:space="preserve"> and </w:t>
      </w:r>
      <w:r w:rsidR="00EA3FDE">
        <w:rPr>
          <w:rFonts w:eastAsiaTheme="minorEastAsia"/>
          <w:b/>
        </w:rPr>
        <w:t>decides</w:t>
      </w:r>
      <w:r w:rsidR="006F24ED">
        <w:rPr>
          <w:rFonts w:eastAsiaTheme="minorEastAsia"/>
          <w:b/>
        </w:rPr>
        <w:t xml:space="preserve"> if RAN3 should be involved in the SID to support potential standardization effort of </w:t>
      </w:r>
      <w:proofErr w:type="spellStart"/>
      <w:r w:rsidR="006F24ED">
        <w:rPr>
          <w:rFonts w:eastAsiaTheme="minorEastAsia"/>
          <w:b/>
        </w:rPr>
        <w:t>Xn</w:t>
      </w:r>
      <w:proofErr w:type="spellEnd"/>
      <w:r w:rsidR="006F24ED">
        <w:rPr>
          <w:rFonts w:eastAsiaTheme="minorEastAsia"/>
          <w:b/>
        </w:rPr>
        <w:t>/F1 interface.</w:t>
      </w:r>
    </w:p>
    <w:p w14:paraId="398548E4" w14:textId="77777777" w:rsidR="006F24ED" w:rsidRPr="00891307" w:rsidRDefault="006F24ED" w:rsidP="000939DB">
      <w:pPr>
        <w:rPr>
          <w:rFonts w:eastAsiaTheme="minorEastAsia"/>
        </w:rPr>
      </w:pPr>
    </w:p>
    <w:p w14:paraId="494A361C" w14:textId="77777777" w:rsidR="00A578C0" w:rsidRPr="00CC300E" w:rsidRDefault="00A578C0" w:rsidP="0041435B">
      <w:pPr>
        <w:pStyle w:val="1"/>
        <w:ind w:left="562" w:hanging="562"/>
      </w:pPr>
      <w:r w:rsidRPr="00CC300E">
        <w:rPr>
          <w:rFonts w:hint="eastAsia"/>
        </w:rPr>
        <w:t>Conclusion</w:t>
      </w:r>
    </w:p>
    <w:p w14:paraId="3F0A9D80" w14:textId="0A6297D2"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 xml:space="preserve">n this contribution, we </w:t>
      </w:r>
      <w:r w:rsidR="00CB3F9F">
        <w:rPr>
          <w:rFonts w:eastAsia="宋体" w:cs="Times New Roman" w:hint="eastAsia"/>
          <w:kern w:val="0"/>
          <w:szCs w:val="21"/>
          <w:lang w:val="en-GB"/>
        </w:rPr>
        <w:t xml:space="preserve">discussed </w:t>
      </w:r>
      <w:r w:rsidR="00C3559D">
        <w:rPr>
          <w:rFonts w:eastAsia="宋体" w:cs="Times New Roman" w:hint="eastAsia"/>
          <w:kern w:val="0"/>
          <w:szCs w:val="21"/>
          <w:lang w:val="en-GB"/>
        </w:rPr>
        <w:t xml:space="preserve">clarifications on the scope of NR duplex evolution SI </w:t>
      </w:r>
      <w:r w:rsidR="00CB3F9F">
        <w:rPr>
          <w:rFonts w:eastAsia="宋体" w:cs="Times New Roman" w:hint="eastAsia"/>
          <w:kern w:val="0"/>
          <w:szCs w:val="21"/>
          <w:lang w:val="en-GB"/>
        </w:rPr>
        <w:t xml:space="preserve">with the following </w:t>
      </w:r>
      <w:r w:rsidRPr="00E906F8">
        <w:rPr>
          <w:rFonts w:eastAsia="宋体" w:cs="Times New Roman" w:hint="eastAsia"/>
          <w:kern w:val="0"/>
          <w:szCs w:val="21"/>
          <w:lang w:val="en-GB"/>
        </w:rPr>
        <w:t>proposal</w:t>
      </w:r>
      <w:r w:rsidR="00691CBB" w:rsidRPr="00E906F8">
        <w:rPr>
          <w:rFonts w:eastAsia="宋体" w:cs="Times New Roman" w:hint="eastAsia"/>
          <w:kern w:val="0"/>
          <w:szCs w:val="21"/>
          <w:lang w:val="en-GB"/>
        </w:rPr>
        <w:t>s</w:t>
      </w:r>
      <w:r w:rsidR="00CB3F9F">
        <w:rPr>
          <w:rFonts w:eastAsia="宋体" w:cs="Times New Roman" w:hint="eastAsia"/>
          <w:kern w:val="0"/>
          <w:szCs w:val="21"/>
          <w:lang w:val="en-GB"/>
        </w:rPr>
        <w:t>.</w:t>
      </w:r>
    </w:p>
    <w:p w14:paraId="1548FC5D" w14:textId="77777777" w:rsidR="00C3559D" w:rsidRPr="00A6672E" w:rsidRDefault="00C3559D" w:rsidP="00C3559D">
      <w:pPr>
        <w:rPr>
          <w:rFonts w:eastAsiaTheme="minorEastAsia"/>
          <w:b/>
        </w:rPr>
      </w:pPr>
      <w:r w:rsidRPr="00A6672E">
        <w:rPr>
          <w:rFonts w:eastAsiaTheme="minorEastAsia" w:hint="eastAsia"/>
          <w:b/>
        </w:rPr>
        <w:t>Proposal</w:t>
      </w:r>
      <w:r>
        <w:rPr>
          <w:rFonts w:eastAsiaTheme="minorEastAsia" w:hint="eastAsia"/>
          <w:b/>
        </w:rPr>
        <w:t xml:space="preserve"> 1</w:t>
      </w:r>
      <w:r w:rsidRPr="00A6672E">
        <w:rPr>
          <w:rFonts w:eastAsiaTheme="minorEastAsia" w:hint="eastAsia"/>
          <w:b/>
        </w:rPr>
        <w:t xml:space="preserve">: </w:t>
      </w:r>
      <w:r>
        <w:rPr>
          <w:rFonts w:eastAsiaTheme="minorEastAsia" w:hint="eastAsia"/>
          <w:b/>
        </w:rPr>
        <w:t>Discuss and clarify</w:t>
      </w:r>
      <w:r w:rsidRPr="00A6672E">
        <w:rPr>
          <w:rFonts w:eastAsiaTheme="minorEastAsia" w:hint="eastAsia"/>
          <w:b/>
        </w:rPr>
        <w:t xml:space="preserve"> whether SBFD operation</w:t>
      </w:r>
      <w:r>
        <w:rPr>
          <w:rFonts w:eastAsiaTheme="minorEastAsia" w:hint="eastAsia"/>
          <w:b/>
        </w:rPr>
        <w:t xml:space="preserve"> </w:t>
      </w:r>
      <w:r w:rsidRPr="0031768F">
        <w:rPr>
          <w:rFonts w:eastAsiaTheme="minorEastAsia"/>
          <w:b/>
        </w:rPr>
        <w:t xml:space="preserve">(DL </w:t>
      </w:r>
      <w:proofErr w:type="spellStart"/>
      <w:r w:rsidRPr="0031768F">
        <w:rPr>
          <w:rFonts w:eastAsiaTheme="minorEastAsia"/>
          <w:b/>
        </w:rPr>
        <w:t>subband</w:t>
      </w:r>
      <w:proofErr w:type="spellEnd"/>
      <w:r w:rsidRPr="0031768F">
        <w:rPr>
          <w:rFonts w:eastAsiaTheme="minorEastAsia"/>
          <w:b/>
        </w:rPr>
        <w:t>)</w:t>
      </w:r>
      <w:r w:rsidRPr="00A6672E">
        <w:rPr>
          <w:rFonts w:eastAsiaTheme="minorEastAsia" w:hint="eastAsia"/>
          <w:b/>
        </w:rPr>
        <w:t xml:space="preserve"> in legacy UL symbols is within the scope</w:t>
      </w:r>
      <w:r>
        <w:rPr>
          <w:rFonts w:eastAsiaTheme="minorEastAsia" w:hint="eastAsia"/>
          <w:b/>
        </w:rPr>
        <w:t xml:space="preserve"> of Rel-18 duplex evolution SI or not</w:t>
      </w:r>
      <w:r w:rsidRPr="00A6672E">
        <w:rPr>
          <w:rFonts w:eastAsiaTheme="minorEastAsia" w:hint="eastAsia"/>
          <w:b/>
        </w:rPr>
        <w:t>.</w:t>
      </w:r>
    </w:p>
    <w:p w14:paraId="4953892F" w14:textId="77777777" w:rsidR="000D4109" w:rsidRDefault="000D4109" w:rsidP="000D4109">
      <w:pPr>
        <w:rPr>
          <w:rFonts w:eastAsiaTheme="minorEastAsia" w:hint="eastAsia"/>
          <w:b/>
        </w:rPr>
      </w:pPr>
      <w:r w:rsidRPr="00FC7907">
        <w:rPr>
          <w:rFonts w:eastAsiaTheme="minorEastAsia"/>
          <w:b/>
        </w:rPr>
        <w:t xml:space="preserve">Proposal </w:t>
      </w:r>
      <w:r>
        <w:rPr>
          <w:rFonts w:eastAsiaTheme="minorEastAsia" w:hint="eastAsia"/>
          <w:b/>
        </w:rPr>
        <w:t>2</w:t>
      </w:r>
      <w:r w:rsidRPr="00FC7907">
        <w:rPr>
          <w:rFonts w:eastAsiaTheme="minorEastAsia"/>
          <w:b/>
        </w:rPr>
        <w:t>:</w:t>
      </w:r>
      <w:r>
        <w:rPr>
          <w:rFonts w:eastAsiaTheme="minorEastAsia" w:hint="eastAsia"/>
          <w:b/>
        </w:rPr>
        <w:t xml:space="preserve"> RAN provides guidance on </w:t>
      </w:r>
      <w:r w:rsidRPr="00742B11">
        <w:rPr>
          <w:rFonts w:eastAsiaTheme="minorEastAsia"/>
          <w:b/>
        </w:rPr>
        <w:t>how to split the work on adjacent-channel co-existence study for duplex evolution between RAN1 and RAN4.</w:t>
      </w:r>
    </w:p>
    <w:p w14:paraId="6EAF2327" w14:textId="5A4DEF91" w:rsidR="00EA3FDE" w:rsidRDefault="00EA3FDE" w:rsidP="00EA3FDE">
      <w:pPr>
        <w:rPr>
          <w:rFonts w:eastAsiaTheme="minorEastAsia"/>
          <w:b/>
        </w:rPr>
      </w:pPr>
      <w:r w:rsidRPr="00A6672E">
        <w:rPr>
          <w:rFonts w:eastAsiaTheme="minorEastAsia" w:hint="eastAsia"/>
          <w:b/>
        </w:rPr>
        <w:t>Proposal</w:t>
      </w:r>
      <w:r>
        <w:rPr>
          <w:rFonts w:eastAsiaTheme="minorEastAsia" w:hint="eastAsia"/>
          <w:b/>
        </w:rPr>
        <w:t xml:space="preserve"> </w:t>
      </w:r>
      <w:r w:rsidR="000D4109">
        <w:rPr>
          <w:rFonts w:eastAsiaTheme="minorEastAsia" w:hint="eastAsia"/>
          <w:b/>
        </w:rPr>
        <w:t>3</w:t>
      </w:r>
      <w:bookmarkStart w:id="6" w:name="_GoBack"/>
      <w:bookmarkEnd w:id="6"/>
      <w:r w:rsidRPr="00A6672E">
        <w:rPr>
          <w:rFonts w:eastAsiaTheme="minorEastAsia" w:hint="eastAsia"/>
          <w:b/>
        </w:rPr>
        <w:t>:</w:t>
      </w:r>
      <w:r>
        <w:rPr>
          <w:rFonts w:eastAsiaTheme="minorEastAsia"/>
          <w:b/>
        </w:rPr>
        <w:t xml:space="preserve"> RAN discusses and decides if RAN3 should be involved in the SID to support potential standardization effort of </w:t>
      </w:r>
      <w:proofErr w:type="spellStart"/>
      <w:r>
        <w:rPr>
          <w:rFonts w:eastAsiaTheme="minorEastAsia"/>
          <w:b/>
        </w:rPr>
        <w:t>Xn</w:t>
      </w:r>
      <w:proofErr w:type="spellEnd"/>
      <w:r>
        <w:rPr>
          <w:rFonts w:eastAsiaTheme="minorEastAsia"/>
          <w:b/>
        </w:rPr>
        <w:t>/F1 interface.</w:t>
      </w:r>
    </w:p>
    <w:p w14:paraId="2569E869" w14:textId="77777777" w:rsidR="001A064D" w:rsidRPr="00EA3FDE" w:rsidRDefault="001A064D" w:rsidP="001A064D">
      <w:pPr>
        <w:rPr>
          <w:b/>
        </w:rPr>
      </w:pPr>
    </w:p>
    <w:p w14:paraId="6B05B8BE" w14:textId="77777777" w:rsidR="00A5188B" w:rsidRPr="00CC300E" w:rsidRDefault="00A5188B" w:rsidP="0041435B">
      <w:pPr>
        <w:pStyle w:val="1"/>
        <w:ind w:left="562" w:hanging="562"/>
        <w:rPr>
          <w:lang w:eastAsia="x-none"/>
        </w:rPr>
      </w:pPr>
      <w:r>
        <w:rPr>
          <w:rFonts w:hint="eastAsia"/>
        </w:rPr>
        <w:t>Reference</w:t>
      </w:r>
    </w:p>
    <w:p w14:paraId="558D3E7E" w14:textId="77777777" w:rsidR="00A5188B" w:rsidRDefault="00A5188B" w:rsidP="00782BE6">
      <w:pPr>
        <w:pStyle w:val="a6"/>
        <w:widowControl/>
        <w:numPr>
          <w:ilvl w:val="0"/>
          <w:numId w:val="1"/>
        </w:numPr>
        <w:spacing w:beforeLines="50" w:before="120"/>
        <w:ind w:firstLineChars="0"/>
        <w:rPr>
          <w:rFonts w:eastAsia="宋体" w:cs="Times New Roman"/>
          <w:kern w:val="0"/>
          <w:szCs w:val="21"/>
          <w:lang w:val="en-GB"/>
        </w:rPr>
      </w:pPr>
      <w:bookmarkStart w:id="7" w:name="_Ref39749538"/>
      <w:bookmarkStart w:id="8" w:name="_Ref73687767"/>
      <w:bookmarkStart w:id="9" w:name="_Ref104213834"/>
      <w:r w:rsidRPr="00E906F8">
        <w:rPr>
          <w:rFonts w:eastAsia="宋体" w:cs="Times New Roman" w:hint="eastAsia"/>
          <w:kern w:val="0"/>
          <w:szCs w:val="21"/>
          <w:lang w:val="en-GB"/>
        </w:rPr>
        <w:t>RP-</w:t>
      </w:r>
      <w:r w:rsidR="00782BE6">
        <w:rPr>
          <w:rFonts w:eastAsia="宋体" w:cs="Times New Roman" w:hint="eastAsia"/>
          <w:kern w:val="0"/>
          <w:szCs w:val="21"/>
          <w:lang w:val="en-GB"/>
        </w:rPr>
        <w:t>213591</w:t>
      </w:r>
      <w:r w:rsidRPr="00E906F8">
        <w:rPr>
          <w:rFonts w:eastAsia="宋体" w:cs="Times New Roman" w:hint="eastAsia"/>
          <w:kern w:val="0"/>
          <w:szCs w:val="21"/>
          <w:lang w:val="en-GB"/>
        </w:rPr>
        <w:t xml:space="preserve">, </w:t>
      </w:r>
      <w:r w:rsidR="00782BE6" w:rsidRPr="00782BE6">
        <w:rPr>
          <w:rFonts w:eastAsia="宋体" w:cs="Times New Roman"/>
          <w:kern w:val="0"/>
          <w:szCs w:val="21"/>
          <w:lang w:val="en-GB"/>
        </w:rPr>
        <w:t>New SI: Study on evolution of NR duplex operation</w:t>
      </w:r>
      <w:r w:rsidRPr="00E906F8">
        <w:rPr>
          <w:rFonts w:eastAsia="宋体" w:cs="Times New Roman" w:hint="eastAsia"/>
          <w:kern w:val="0"/>
          <w:szCs w:val="21"/>
          <w:lang w:val="en-GB"/>
        </w:rPr>
        <w:t xml:space="preserve">, </w:t>
      </w:r>
      <w:r w:rsidR="00782BE6" w:rsidRPr="00782BE6">
        <w:rPr>
          <w:rFonts w:eastAsia="宋体" w:cs="Times New Roman"/>
          <w:kern w:val="0"/>
          <w:szCs w:val="21"/>
          <w:lang w:val="en-GB"/>
        </w:rPr>
        <w:t>CMCC (Moderator)</w:t>
      </w:r>
      <w:r w:rsidR="00DD2C4C">
        <w:rPr>
          <w:rFonts w:eastAsia="宋体" w:cs="Times New Roman" w:hint="eastAsia"/>
          <w:kern w:val="0"/>
          <w:szCs w:val="21"/>
          <w:lang w:val="en-GB"/>
        </w:rPr>
        <w:t>,</w:t>
      </w:r>
      <w:r w:rsidR="00DD2C4C" w:rsidRPr="00DD2C4C">
        <w:rPr>
          <w:rFonts w:eastAsia="宋体" w:cs="Times New Roman" w:hint="eastAsia"/>
          <w:kern w:val="0"/>
          <w:szCs w:val="21"/>
          <w:lang w:val="en-GB"/>
        </w:rPr>
        <w:t xml:space="preserve"> </w:t>
      </w:r>
      <w:r w:rsidRPr="00E906F8">
        <w:rPr>
          <w:rFonts w:eastAsia="宋体" w:cs="Times New Roman" w:hint="eastAsia"/>
          <w:kern w:val="0"/>
          <w:szCs w:val="21"/>
          <w:lang w:val="en-GB"/>
        </w:rPr>
        <w:t>RAN#</w:t>
      </w:r>
      <w:bookmarkEnd w:id="7"/>
      <w:bookmarkEnd w:id="8"/>
      <w:r w:rsidR="00782BE6">
        <w:rPr>
          <w:rFonts w:eastAsia="宋体" w:cs="Times New Roman" w:hint="eastAsia"/>
          <w:kern w:val="0"/>
          <w:szCs w:val="21"/>
          <w:lang w:val="en-GB"/>
        </w:rPr>
        <w:t>94-e</w:t>
      </w:r>
      <w:bookmarkEnd w:id="9"/>
    </w:p>
    <w:p w14:paraId="26A35027" w14:textId="77777777" w:rsidR="00DD2C4C" w:rsidRDefault="00782BE6" w:rsidP="00782BE6">
      <w:pPr>
        <w:pStyle w:val="a6"/>
        <w:widowControl/>
        <w:numPr>
          <w:ilvl w:val="0"/>
          <w:numId w:val="1"/>
        </w:numPr>
        <w:spacing w:beforeLines="50" w:before="120"/>
        <w:ind w:firstLineChars="0"/>
        <w:rPr>
          <w:rFonts w:eastAsia="宋体" w:cs="Times New Roman"/>
          <w:kern w:val="0"/>
          <w:szCs w:val="21"/>
          <w:lang w:val="en-GB"/>
        </w:rPr>
      </w:pPr>
      <w:bookmarkStart w:id="10" w:name="_Ref104213939"/>
      <w:r>
        <w:rPr>
          <w:rFonts w:eastAsia="宋体" w:cs="Times New Roman" w:hint="eastAsia"/>
          <w:kern w:val="0"/>
          <w:szCs w:val="21"/>
          <w:lang w:val="en-GB"/>
        </w:rPr>
        <w:t xml:space="preserve">RP-220633, </w:t>
      </w:r>
      <w:r w:rsidRPr="00782BE6">
        <w:rPr>
          <w:rFonts w:eastAsia="宋体" w:cs="Times New Roman"/>
          <w:kern w:val="0"/>
          <w:szCs w:val="21"/>
          <w:lang w:val="en-GB"/>
        </w:rPr>
        <w:t>Revised SID: Study on evolution of NR duplex operation</w:t>
      </w:r>
      <w:r>
        <w:rPr>
          <w:rFonts w:eastAsia="宋体" w:cs="Times New Roman" w:hint="eastAsia"/>
          <w:kern w:val="0"/>
          <w:szCs w:val="21"/>
          <w:lang w:val="en-GB"/>
        </w:rPr>
        <w:t>, CMCC, RAN#95-e</w:t>
      </w:r>
      <w:bookmarkEnd w:id="10"/>
    </w:p>
    <w:p w14:paraId="62469C9E" w14:textId="77777777" w:rsidR="001160CD" w:rsidRPr="00E906F8" w:rsidRDefault="001160CD" w:rsidP="001160CD">
      <w:pPr>
        <w:pStyle w:val="a6"/>
        <w:widowControl/>
        <w:numPr>
          <w:ilvl w:val="0"/>
          <w:numId w:val="1"/>
        </w:numPr>
        <w:spacing w:beforeLines="50" w:before="120"/>
        <w:ind w:firstLineChars="0"/>
        <w:rPr>
          <w:rFonts w:eastAsia="宋体" w:cs="Times New Roman"/>
          <w:kern w:val="0"/>
          <w:szCs w:val="21"/>
          <w:lang w:val="en-GB"/>
        </w:rPr>
      </w:pPr>
      <w:bookmarkStart w:id="11" w:name="_Ref104298843"/>
      <w:r w:rsidRPr="001160CD">
        <w:rPr>
          <w:rFonts w:eastAsia="宋体" w:cs="Times New Roman"/>
          <w:kern w:val="0"/>
          <w:szCs w:val="21"/>
          <w:lang w:val="en-GB"/>
        </w:rPr>
        <w:t>R1-2205520</w:t>
      </w:r>
      <w:r>
        <w:rPr>
          <w:rFonts w:eastAsia="宋体" w:cs="Times New Roman" w:hint="eastAsia"/>
          <w:kern w:val="0"/>
          <w:szCs w:val="21"/>
          <w:lang w:val="en-GB"/>
        </w:rPr>
        <w:t xml:space="preserve">, </w:t>
      </w:r>
      <w:r w:rsidRPr="001160CD">
        <w:rPr>
          <w:rFonts w:eastAsia="宋体" w:cs="Times New Roman"/>
          <w:kern w:val="0"/>
          <w:szCs w:val="21"/>
          <w:lang w:val="en-GB"/>
        </w:rPr>
        <w:t xml:space="preserve">Summary #2 of [109-e-R18-Duplex-03] Email discussion on </w:t>
      </w:r>
      <w:proofErr w:type="spellStart"/>
      <w:r w:rsidRPr="001160CD">
        <w:rPr>
          <w:rFonts w:eastAsia="宋体" w:cs="Times New Roman"/>
          <w:kern w:val="0"/>
          <w:szCs w:val="21"/>
          <w:lang w:val="en-GB"/>
        </w:rPr>
        <w:t>subband</w:t>
      </w:r>
      <w:proofErr w:type="spellEnd"/>
      <w:r w:rsidRPr="001160CD">
        <w:rPr>
          <w:rFonts w:eastAsia="宋体" w:cs="Times New Roman"/>
          <w:kern w:val="0"/>
          <w:szCs w:val="21"/>
          <w:lang w:val="en-GB"/>
        </w:rPr>
        <w:t xml:space="preserve"> non-overlapping full duplex</w:t>
      </w:r>
      <w:r>
        <w:rPr>
          <w:rFonts w:eastAsia="宋体" w:cs="Times New Roman" w:hint="eastAsia"/>
          <w:kern w:val="0"/>
          <w:szCs w:val="21"/>
          <w:lang w:val="en-GB"/>
        </w:rPr>
        <w:t xml:space="preserve">, </w:t>
      </w:r>
      <w:r w:rsidRPr="001160CD">
        <w:rPr>
          <w:rFonts w:eastAsia="宋体" w:cs="Times New Roman"/>
          <w:kern w:val="0"/>
          <w:szCs w:val="21"/>
          <w:lang w:val="en-GB"/>
        </w:rPr>
        <w:t>Moderator (CATT)</w:t>
      </w:r>
      <w:r>
        <w:rPr>
          <w:rFonts w:eastAsia="宋体" w:cs="Times New Roman" w:hint="eastAsia"/>
          <w:kern w:val="0"/>
          <w:szCs w:val="21"/>
          <w:lang w:val="en-GB"/>
        </w:rPr>
        <w:t>, RAN1#109-e</w:t>
      </w:r>
      <w:bookmarkEnd w:id="11"/>
    </w:p>
    <w:sectPr w:rsidR="001160CD" w:rsidRPr="00E906F8" w:rsidSect="004A5E3D">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48A7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8B2AB" w16cex:dateUtc="2022-05-25T1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8A77C" w16cid:durableId="2638B2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8F61D2" w14:textId="77777777" w:rsidR="00C97FE6" w:rsidRDefault="00C97FE6" w:rsidP="00A578C0">
      <w:r>
        <w:separator/>
      </w:r>
    </w:p>
  </w:endnote>
  <w:endnote w:type="continuationSeparator" w:id="0">
    <w:p w14:paraId="1BCEE564" w14:textId="77777777" w:rsidR="00C97FE6" w:rsidRDefault="00C97FE6"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AD31C0" w14:textId="77777777" w:rsidR="00C97FE6" w:rsidRDefault="00C97FE6" w:rsidP="00A578C0">
      <w:r>
        <w:separator/>
      </w:r>
    </w:p>
  </w:footnote>
  <w:footnote w:type="continuationSeparator" w:id="0">
    <w:p w14:paraId="6CA1EDF0" w14:textId="77777777" w:rsidR="00C97FE6" w:rsidRDefault="00C97FE6"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DE5775"/>
    <w:multiLevelType w:val="hybridMultilevel"/>
    <w:tmpl w:val="D1985C5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DA4159"/>
    <w:multiLevelType w:val="hybridMultilevel"/>
    <w:tmpl w:val="24D6A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6A3A53"/>
    <w:multiLevelType w:val="hybridMultilevel"/>
    <w:tmpl w:val="7084D6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6D704C"/>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15BE52F1"/>
    <w:multiLevelType w:val="hybridMultilevel"/>
    <w:tmpl w:val="605C17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B1713E"/>
    <w:multiLevelType w:val="hybridMultilevel"/>
    <w:tmpl w:val="75CC99F2"/>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23CD207B"/>
    <w:multiLevelType w:val="multilevel"/>
    <w:tmpl w:val="67FEDDFA"/>
    <w:lvl w:ilvl="0">
      <w:numFmt w:val="bullet"/>
      <w:lvlText w:val="•"/>
      <w:lvlJc w:val="left"/>
      <w:pPr>
        <w:tabs>
          <w:tab w:val="num" w:pos="0"/>
        </w:tabs>
        <w:ind w:left="840" w:hanging="420"/>
      </w:pPr>
      <w:rPr>
        <w:rFonts w:ascii="Times New Roman" w:hAnsi="Times New Roman" w:cs="Times New Roman"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0">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D002D5"/>
    <w:multiLevelType w:val="hybridMultilevel"/>
    <w:tmpl w:val="1DFA701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196ED7"/>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nsid w:val="53A6452B"/>
    <w:multiLevelType w:val="hybridMultilevel"/>
    <w:tmpl w:val="A8264A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66055F9"/>
    <w:multiLevelType w:val="hybridMultilevel"/>
    <w:tmpl w:val="D1E618F6"/>
    <w:lvl w:ilvl="0" w:tplc="69C082F0">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A57C27"/>
    <w:multiLevelType w:val="hybridMultilevel"/>
    <w:tmpl w:val="59B613D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nsid w:val="5D5E2B42"/>
    <w:multiLevelType w:val="hybridMultilevel"/>
    <w:tmpl w:val="2534A01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8D0A75"/>
    <w:multiLevelType w:val="hybridMultilevel"/>
    <w:tmpl w:val="D38A14E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03111EF"/>
    <w:multiLevelType w:val="hybridMultilevel"/>
    <w:tmpl w:val="7E4A6C90"/>
    <w:lvl w:ilvl="0" w:tplc="E28A6546">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15"/>
  </w:num>
  <w:num w:numId="4">
    <w:abstractNumId w:val="32"/>
  </w:num>
  <w:num w:numId="5">
    <w:abstractNumId w:val="15"/>
  </w:num>
  <w:num w:numId="6">
    <w:abstractNumId w:val="34"/>
  </w:num>
  <w:num w:numId="7">
    <w:abstractNumId w:val="13"/>
  </w:num>
  <w:num w:numId="8">
    <w:abstractNumId w:val="20"/>
  </w:num>
  <w:num w:numId="9">
    <w:abstractNumId w:val="33"/>
  </w:num>
  <w:num w:numId="10">
    <w:abstractNumId w:val="16"/>
  </w:num>
  <w:num w:numId="11">
    <w:abstractNumId w:val="14"/>
  </w:num>
  <w:num w:numId="12">
    <w:abstractNumId w:val="5"/>
  </w:num>
  <w:num w:numId="13">
    <w:abstractNumId w:val="15"/>
  </w:num>
  <w:num w:numId="14">
    <w:abstractNumId w:val="8"/>
  </w:num>
  <w:num w:numId="15">
    <w:abstractNumId w:val="19"/>
  </w:num>
  <w:num w:numId="16">
    <w:abstractNumId w:val="19"/>
  </w:num>
  <w:num w:numId="17">
    <w:abstractNumId w:val="19"/>
  </w:num>
  <w:num w:numId="18">
    <w:abstractNumId w:val="2"/>
  </w:num>
  <w:num w:numId="19">
    <w:abstractNumId w:val="21"/>
  </w:num>
  <w:num w:numId="20">
    <w:abstractNumId w:val="29"/>
  </w:num>
  <w:num w:numId="21">
    <w:abstractNumId w:val="1"/>
  </w:num>
  <w:num w:numId="22">
    <w:abstractNumId w:val="7"/>
  </w:num>
  <w:num w:numId="23">
    <w:abstractNumId w:val="28"/>
  </w:num>
  <w:num w:numId="24">
    <w:abstractNumId w:val="3"/>
  </w:num>
  <w:num w:numId="25">
    <w:abstractNumId w:val="23"/>
  </w:num>
  <w:num w:numId="26">
    <w:abstractNumId w:val="17"/>
  </w:num>
  <w:num w:numId="27">
    <w:abstractNumId w:val="18"/>
  </w:num>
  <w:num w:numId="28">
    <w:abstractNumId w:val="26"/>
  </w:num>
  <w:num w:numId="29">
    <w:abstractNumId w:val="19"/>
  </w:num>
  <w:num w:numId="30">
    <w:abstractNumId w:val="31"/>
  </w:num>
  <w:num w:numId="31">
    <w:abstractNumId w:val="25"/>
  </w:num>
  <w:num w:numId="32">
    <w:abstractNumId w:val="0"/>
  </w:num>
  <w:num w:numId="33">
    <w:abstractNumId w:val="11"/>
  </w:num>
  <w:num w:numId="34">
    <w:abstractNumId w:val="24"/>
  </w:num>
  <w:num w:numId="35">
    <w:abstractNumId w:val="4"/>
  </w:num>
  <w:num w:numId="36">
    <w:abstractNumId w:val="30"/>
  </w:num>
  <w:num w:numId="37">
    <w:abstractNumId w:val="22"/>
  </w:num>
  <w:num w:numId="38">
    <w:abstractNumId w:val="9"/>
  </w:num>
  <w:num w:numId="39">
    <w:abstractNumId w:val="12"/>
  </w:num>
  <w:num w:numId="40">
    <w:abstractNumId w:val="27"/>
  </w:num>
  <w:num w:numId="41">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5940"/>
    <w:rsid w:val="00017BD9"/>
    <w:rsid w:val="00020CCE"/>
    <w:rsid w:val="0003682B"/>
    <w:rsid w:val="000431F9"/>
    <w:rsid w:val="000438A6"/>
    <w:rsid w:val="000474D9"/>
    <w:rsid w:val="00047BB6"/>
    <w:rsid w:val="00051636"/>
    <w:rsid w:val="000605E6"/>
    <w:rsid w:val="000608E3"/>
    <w:rsid w:val="00061BE4"/>
    <w:rsid w:val="00063CCE"/>
    <w:rsid w:val="0006588E"/>
    <w:rsid w:val="00071E3B"/>
    <w:rsid w:val="00076DA1"/>
    <w:rsid w:val="00076F6B"/>
    <w:rsid w:val="00077040"/>
    <w:rsid w:val="00081201"/>
    <w:rsid w:val="000823C0"/>
    <w:rsid w:val="00082BF8"/>
    <w:rsid w:val="00083C44"/>
    <w:rsid w:val="000842F7"/>
    <w:rsid w:val="000939DB"/>
    <w:rsid w:val="0009469E"/>
    <w:rsid w:val="00094F59"/>
    <w:rsid w:val="00096530"/>
    <w:rsid w:val="000A184B"/>
    <w:rsid w:val="000A2F8C"/>
    <w:rsid w:val="000A4ABF"/>
    <w:rsid w:val="000B1352"/>
    <w:rsid w:val="000B3BC7"/>
    <w:rsid w:val="000C3BA8"/>
    <w:rsid w:val="000C68ED"/>
    <w:rsid w:val="000C6C7D"/>
    <w:rsid w:val="000D28C6"/>
    <w:rsid w:val="000D2E7F"/>
    <w:rsid w:val="000D4109"/>
    <w:rsid w:val="000D4230"/>
    <w:rsid w:val="000D4A87"/>
    <w:rsid w:val="000E0D27"/>
    <w:rsid w:val="000E5CEB"/>
    <w:rsid w:val="000F681F"/>
    <w:rsid w:val="000F7827"/>
    <w:rsid w:val="000F7E55"/>
    <w:rsid w:val="00103F11"/>
    <w:rsid w:val="0010576F"/>
    <w:rsid w:val="00105878"/>
    <w:rsid w:val="001114BA"/>
    <w:rsid w:val="00111D9C"/>
    <w:rsid w:val="00115399"/>
    <w:rsid w:val="001160CD"/>
    <w:rsid w:val="001213FA"/>
    <w:rsid w:val="00123917"/>
    <w:rsid w:val="001249DB"/>
    <w:rsid w:val="00124E7E"/>
    <w:rsid w:val="00126748"/>
    <w:rsid w:val="001274DD"/>
    <w:rsid w:val="00137EDF"/>
    <w:rsid w:val="00142825"/>
    <w:rsid w:val="00143223"/>
    <w:rsid w:val="0014588D"/>
    <w:rsid w:val="00155960"/>
    <w:rsid w:val="0015752B"/>
    <w:rsid w:val="001628A9"/>
    <w:rsid w:val="001644A7"/>
    <w:rsid w:val="00173760"/>
    <w:rsid w:val="00175345"/>
    <w:rsid w:val="00182C37"/>
    <w:rsid w:val="00184B38"/>
    <w:rsid w:val="00193172"/>
    <w:rsid w:val="00194C0B"/>
    <w:rsid w:val="001977AF"/>
    <w:rsid w:val="001A064D"/>
    <w:rsid w:val="001B1CD7"/>
    <w:rsid w:val="001B20CA"/>
    <w:rsid w:val="001B3C24"/>
    <w:rsid w:val="001C0F37"/>
    <w:rsid w:val="001C57A7"/>
    <w:rsid w:val="001C7B45"/>
    <w:rsid w:val="001D0D86"/>
    <w:rsid w:val="001D7985"/>
    <w:rsid w:val="001E0750"/>
    <w:rsid w:val="001E2AC0"/>
    <w:rsid w:val="001E5433"/>
    <w:rsid w:val="001F42A7"/>
    <w:rsid w:val="001F42AA"/>
    <w:rsid w:val="001F7CC7"/>
    <w:rsid w:val="0020411F"/>
    <w:rsid w:val="00205018"/>
    <w:rsid w:val="00205A75"/>
    <w:rsid w:val="00215C94"/>
    <w:rsid w:val="0022010E"/>
    <w:rsid w:val="00224DBF"/>
    <w:rsid w:val="002254FB"/>
    <w:rsid w:val="002259BB"/>
    <w:rsid w:val="002308EC"/>
    <w:rsid w:val="00231DF2"/>
    <w:rsid w:val="0024169A"/>
    <w:rsid w:val="00245AD4"/>
    <w:rsid w:val="00252C8E"/>
    <w:rsid w:val="00260C52"/>
    <w:rsid w:val="00263A47"/>
    <w:rsid w:val="00265A5E"/>
    <w:rsid w:val="00271982"/>
    <w:rsid w:val="00272849"/>
    <w:rsid w:val="002745A5"/>
    <w:rsid w:val="00282273"/>
    <w:rsid w:val="00286A83"/>
    <w:rsid w:val="002908E8"/>
    <w:rsid w:val="00290D8E"/>
    <w:rsid w:val="002A1831"/>
    <w:rsid w:val="002A367C"/>
    <w:rsid w:val="002A3997"/>
    <w:rsid w:val="002B404F"/>
    <w:rsid w:val="002D135A"/>
    <w:rsid w:val="002D7888"/>
    <w:rsid w:val="002F0BBD"/>
    <w:rsid w:val="002F12D4"/>
    <w:rsid w:val="002F47D3"/>
    <w:rsid w:val="0031625E"/>
    <w:rsid w:val="0031768F"/>
    <w:rsid w:val="003214F4"/>
    <w:rsid w:val="00331BEB"/>
    <w:rsid w:val="00340FD3"/>
    <w:rsid w:val="00343302"/>
    <w:rsid w:val="003445E6"/>
    <w:rsid w:val="003635EF"/>
    <w:rsid w:val="003663DA"/>
    <w:rsid w:val="00366B60"/>
    <w:rsid w:val="0036751F"/>
    <w:rsid w:val="003768A1"/>
    <w:rsid w:val="00381B43"/>
    <w:rsid w:val="0038706C"/>
    <w:rsid w:val="0038764A"/>
    <w:rsid w:val="00392FA6"/>
    <w:rsid w:val="0039481F"/>
    <w:rsid w:val="00396526"/>
    <w:rsid w:val="003A37FA"/>
    <w:rsid w:val="003A4224"/>
    <w:rsid w:val="003A55D1"/>
    <w:rsid w:val="003A7A5A"/>
    <w:rsid w:val="003B076C"/>
    <w:rsid w:val="003B1192"/>
    <w:rsid w:val="003B52F8"/>
    <w:rsid w:val="003B5747"/>
    <w:rsid w:val="003C0EA7"/>
    <w:rsid w:val="003C64C5"/>
    <w:rsid w:val="003C68BE"/>
    <w:rsid w:val="003C78FC"/>
    <w:rsid w:val="003D4B88"/>
    <w:rsid w:val="003E1788"/>
    <w:rsid w:val="003E70C7"/>
    <w:rsid w:val="003F296A"/>
    <w:rsid w:val="003F3BD9"/>
    <w:rsid w:val="003F43A1"/>
    <w:rsid w:val="00401025"/>
    <w:rsid w:val="00402D66"/>
    <w:rsid w:val="0040382A"/>
    <w:rsid w:val="0040397C"/>
    <w:rsid w:val="00403F56"/>
    <w:rsid w:val="0040445C"/>
    <w:rsid w:val="00404C81"/>
    <w:rsid w:val="00404F3F"/>
    <w:rsid w:val="00413292"/>
    <w:rsid w:val="0041435B"/>
    <w:rsid w:val="00417EC0"/>
    <w:rsid w:val="00426A5F"/>
    <w:rsid w:val="00426F29"/>
    <w:rsid w:val="00431320"/>
    <w:rsid w:val="00431B25"/>
    <w:rsid w:val="0043327A"/>
    <w:rsid w:val="00443F5F"/>
    <w:rsid w:val="004565FC"/>
    <w:rsid w:val="00457018"/>
    <w:rsid w:val="00461EFA"/>
    <w:rsid w:val="00470FC9"/>
    <w:rsid w:val="00473E9E"/>
    <w:rsid w:val="00477B69"/>
    <w:rsid w:val="004805AC"/>
    <w:rsid w:val="00480867"/>
    <w:rsid w:val="00481E71"/>
    <w:rsid w:val="00484513"/>
    <w:rsid w:val="00486938"/>
    <w:rsid w:val="00492030"/>
    <w:rsid w:val="00493377"/>
    <w:rsid w:val="00493560"/>
    <w:rsid w:val="0049407A"/>
    <w:rsid w:val="004949D5"/>
    <w:rsid w:val="00494BD6"/>
    <w:rsid w:val="00497D68"/>
    <w:rsid w:val="004A1E87"/>
    <w:rsid w:val="004A4A4E"/>
    <w:rsid w:val="004A4B0F"/>
    <w:rsid w:val="004A588F"/>
    <w:rsid w:val="004A5E3D"/>
    <w:rsid w:val="004B25D8"/>
    <w:rsid w:val="004B3322"/>
    <w:rsid w:val="004C1D12"/>
    <w:rsid w:val="004C3D1E"/>
    <w:rsid w:val="004C3D6D"/>
    <w:rsid w:val="004C5B2F"/>
    <w:rsid w:val="004D1C98"/>
    <w:rsid w:val="004D2443"/>
    <w:rsid w:val="004D30B8"/>
    <w:rsid w:val="004D78CC"/>
    <w:rsid w:val="004E45EB"/>
    <w:rsid w:val="004E5EF7"/>
    <w:rsid w:val="004F2251"/>
    <w:rsid w:val="004F4FD4"/>
    <w:rsid w:val="004F712D"/>
    <w:rsid w:val="00501027"/>
    <w:rsid w:val="00501BA9"/>
    <w:rsid w:val="00502DEE"/>
    <w:rsid w:val="00502EBC"/>
    <w:rsid w:val="00507C98"/>
    <w:rsid w:val="00513B76"/>
    <w:rsid w:val="005148AD"/>
    <w:rsid w:val="00525812"/>
    <w:rsid w:val="005330CD"/>
    <w:rsid w:val="00533FE1"/>
    <w:rsid w:val="00534E95"/>
    <w:rsid w:val="005370B4"/>
    <w:rsid w:val="00544465"/>
    <w:rsid w:val="00551991"/>
    <w:rsid w:val="00552989"/>
    <w:rsid w:val="005530A7"/>
    <w:rsid w:val="00556B44"/>
    <w:rsid w:val="0056480E"/>
    <w:rsid w:val="00566CE8"/>
    <w:rsid w:val="00575DE2"/>
    <w:rsid w:val="005769C1"/>
    <w:rsid w:val="00576FDA"/>
    <w:rsid w:val="005801B4"/>
    <w:rsid w:val="00580B8C"/>
    <w:rsid w:val="005815A7"/>
    <w:rsid w:val="00581A94"/>
    <w:rsid w:val="00593673"/>
    <w:rsid w:val="00594BFB"/>
    <w:rsid w:val="00594DE7"/>
    <w:rsid w:val="00595344"/>
    <w:rsid w:val="00595B89"/>
    <w:rsid w:val="00597908"/>
    <w:rsid w:val="005A1AE8"/>
    <w:rsid w:val="005A357E"/>
    <w:rsid w:val="005A643E"/>
    <w:rsid w:val="005A691D"/>
    <w:rsid w:val="005A79F4"/>
    <w:rsid w:val="005B3F23"/>
    <w:rsid w:val="005B436D"/>
    <w:rsid w:val="005B6273"/>
    <w:rsid w:val="005B7D10"/>
    <w:rsid w:val="005C2737"/>
    <w:rsid w:val="005C4763"/>
    <w:rsid w:val="005D014D"/>
    <w:rsid w:val="005D134E"/>
    <w:rsid w:val="005D57CD"/>
    <w:rsid w:val="005E6F4A"/>
    <w:rsid w:val="005E7D62"/>
    <w:rsid w:val="005F0E8E"/>
    <w:rsid w:val="005F753C"/>
    <w:rsid w:val="005F779B"/>
    <w:rsid w:val="00601310"/>
    <w:rsid w:val="00603C5F"/>
    <w:rsid w:val="006053E4"/>
    <w:rsid w:val="00611A9E"/>
    <w:rsid w:val="00614F92"/>
    <w:rsid w:val="00632A42"/>
    <w:rsid w:val="006344F4"/>
    <w:rsid w:val="0063609E"/>
    <w:rsid w:val="006400D0"/>
    <w:rsid w:val="00642B58"/>
    <w:rsid w:val="00645D0B"/>
    <w:rsid w:val="00646352"/>
    <w:rsid w:val="00646529"/>
    <w:rsid w:val="0065746D"/>
    <w:rsid w:val="006578F6"/>
    <w:rsid w:val="00677CAD"/>
    <w:rsid w:val="00680FE1"/>
    <w:rsid w:val="0068224E"/>
    <w:rsid w:val="00683E23"/>
    <w:rsid w:val="0068484C"/>
    <w:rsid w:val="00685118"/>
    <w:rsid w:val="006867CA"/>
    <w:rsid w:val="0068788D"/>
    <w:rsid w:val="006907BA"/>
    <w:rsid w:val="00691CBB"/>
    <w:rsid w:val="00692C8E"/>
    <w:rsid w:val="00692FD0"/>
    <w:rsid w:val="0069304D"/>
    <w:rsid w:val="00695899"/>
    <w:rsid w:val="006A4D56"/>
    <w:rsid w:val="006B6535"/>
    <w:rsid w:val="006B6A62"/>
    <w:rsid w:val="006B746A"/>
    <w:rsid w:val="006C2766"/>
    <w:rsid w:val="006C3478"/>
    <w:rsid w:val="006C7878"/>
    <w:rsid w:val="006C7C5C"/>
    <w:rsid w:val="006D02DF"/>
    <w:rsid w:val="006D4BB5"/>
    <w:rsid w:val="006D69A9"/>
    <w:rsid w:val="006D7355"/>
    <w:rsid w:val="006D7857"/>
    <w:rsid w:val="006E04CB"/>
    <w:rsid w:val="006E66FE"/>
    <w:rsid w:val="006E6BB1"/>
    <w:rsid w:val="006F138F"/>
    <w:rsid w:val="006F24ED"/>
    <w:rsid w:val="006F29BE"/>
    <w:rsid w:val="006F4B31"/>
    <w:rsid w:val="00703B1A"/>
    <w:rsid w:val="0070488B"/>
    <w:rsid w:val="007074C1"/>
    <w:rsid w:val="0070780D"/>
    <w:rsid w:val="007117C3"/>
    <w:rsid w:val="00720483"/>
    <w:rsid w:val="0072213F"/>
    <w:rsid w:val="007265A4"/>
    <w:rsid w:val="00730DAC"/>
    <w:rsid w:val="007356DE"/>
    <w:rsid w:val="0074256C"/>
    <w:rsid w:val="00742B11"/>
    <w:rsid w:val="0074631B"/>
    <w:rsid w:val="00750473"/>
    <w:rsid w:val="007517A6"/>
    <w:rsid w:val="00753833"/>
    <w:rsid w:val="0075584C"/>
    <w:rsid w:val="00755CC9"/>
    <w:rsid w:val="00755F6F"/>
    <w:rsid w:val="00781CD4"/>
    <w:rsid w:val="00782BE6"/>
    <w:rsid w:val="00782C29"/>
    <w:rsid w:val="00792E64"/>
    <w:rsid w:val="007944DE"/>
    <w:rsid w:val="007A0E28"/>
    <w:rsid w:val="007A231D"/>
    <w:rsid w:val="007A272E"/>
    <w:rsid w:val="007A48EC"/>
    <w:rsid w:val="007A5C6D"/>
    <w:rsid w:val="007B2018"/>
    <w:rsid w:val="007B7982"/>
    <w:rsid w:val="007C4BBB"/>
    <w:rsid w:val="007C66A6"/>
    <w:rsid w:val="007D3242"/>
    <w:rsid w:val="007E0E48"/>
    <w:rsid w:val="007E21EB"/>
    <w:rsid w:val="007E745A"/>
    <w:rsid w:val="007F1722"/>
    <w:rsid w:val="007F3436"/>
    <w:rsid w:val="007F51DE"/>
    <w:rsid w:val="007F64AB"/>
    <w:rsid w:val="00802826"/>
    <w:rsid w:val="00810F80"/>
    <w:rsid w:val="0082431D"/>
    <w:rsid w:val="00827C12"/>
    <w:rsid w:val="00833197"/>
    <w:rsid w:val="00843D5F"/>
    <w:rsid w:val="008444F9"/>
    <w:rsid w:val="0084493C"/>
    <w:rsid w:val="00846789"/>
    <w:rsid w:val="008468F4"/>
    <w:rsid w:val="00846D35"/>
    <w:rsid w:val="00850D43"/>
    <w:rsid w:val="00851459"/>
    <w:rsid w:val="008554DE"/>
    <w:rsid w:val="00855F2C"/>
    <w:rsid w:val="008605C4"/>
    <w:rsid w:val="008608C7"/>
    <w:rsid w:val="008639A9"/>
    <w:rsid w:val="00872F24"/>
    <w:rsid w:val="0087658E"/>
    <w:rsid w:val="00877D6E"/>
    <w:rsid w:val="00883DCA"/>
    <w:rsid w:val="00884961"/>
    <w:rsid w:val="00886235"/>
    <w:rsid w:val="0088630B"/>
    <w:rsid w:val="00891307"/>
    <w:rsid w:val="008924EA"/>
    <w:rsid w:val="008A0387"/>
    <w:rsid w:val="008A354C"/>
    <w:rsid w:val="008A390B"/>
    <w:rsid w:val="008A6970"/>
    <w:rsid w:val="008B111D"/>
    <w:rsid w:val="008B12C0"/>
    <w:rsid w:val="008B4EE6"/>
    <w:rsid w:val="008B5CAF"/>
    <w:rsid w:val="008B6D50"/>
    <w:rsid w:val="008C251B"/>
    <w:rsid w:val="008C57CB"/>
    <w:rsid w:val="008C7F80"/>
    <w:rsid w:val="008D3D73"/>
    <w:rsid w:val="008D53E6"/>
    <w:rsid w:val="008E3CF5"/>
    <w:rsid w:val="008E62F8"/>
    <w:rsid w:val="008F258F"/>
    <w:rsid w:val="008F3C23"/>
    <w:rsid w:val="008F56F1"/>
    <w:rsid w:val="008F67D9"/>
    <w:rsid w:val="008F7623"/>
    <w:rsid w:val="00906E8A"/>
    <w:rsid w:val="00915B1A"/>
    <w:rsid w:val="0092007F"/>
    <w:rsid w:val="00921DCC"/>
    <w:rsid w:val="00922345"/>
    <w:rsid w:val="00925B86"/>
    <w:rsid w:val="00931560"/>
    <w:rsid w:val="00934AB5"/>
    <w:rsid w:val="0094780A"/>
    <w:rsid w:val="00952CE2"/>
    <w:rsid w:val="009616CA"/>
    <w:rsid w:val="00961BFC"/>
    <w:rsid w:val="00967708"/>
    <w:rsid w:val="00970CC9"/>
    <w:rsid w:val="00973A16"/>
    <w:rsid w:val="009772B4"/>
    <w:rsid w:val="00984295"/>
    <w:rsid w:val="00985A3B"/>
    <w:rsid w:val="009871AC"/>
    <w:rsid w:val="00990ED9"/>
    <w:rsid w:val="00993FD8"/>
    <w:rsid w:val="009942A3"/>
    <w:rsid w:val="00996BDE"/>
    <w:rsid w:val="009A015B"/>
    <w:rsid w:val="009A1175"/>
    <w:rsid w:val="009A1AAA"/>
    <w:rsid w:val="009B10EB"/>
    <w:rsid w:val="009B665D"/>
    <w:rsid w:val="009C38AB"/>
    <w:rsid w:val="009C3FE5"/>
    <w:rsid w:val="009D1802"/>
    <w:rsid w:val="009E15D5"/>
    <w:rsid w:val="009E2E9D"/>
    <w:rsid w:val="009E4DD0"/>
    <w:rsid w:val="009E5695"/>
    <w:rsid w:val="009E5A93"/>
    <w:rsid w:val="009E7FE3"/>
    <w:rsid w:val="009F0099"/>
    <w:rsid w:val="009F0912"/>
    <w:rsid w:val="009F31BB"/>
    <w:rsid w:val="009F47F5"/>
    <w:rsid w:val="00A02BB4"/>
    <w:rsid w:val="00A0341C"/>
    <w:rsid w:val="00A04080"/>
    <w:rsid w:val="00A1511E"/>
    <w:rsid w:val="00A16A4A"/>
    <w:rsid w:val="00A17B18"/>
    <w:rsid w:val="00A20BA4"/>
    <w:rsid w:val="00A20FA0"/>
    <w:rsid w:val="00A22296"/>
    <w:rsid w:val="00A26073"/>
    <w:rsid w:val="00A26593"/>
    <w:rsid w:val="00A26625"/>
    <w:rsid w:val="00A34617"/>
    <w:rsid w:val="00A35F19"/>
    <w:rsid w:val="00A408CF"/>
    <w:rsid w:val="00A40E93"/>
    <w:rsid w:val="00A41FBC"/>
    <w:rsid w:val="00A42180"/>
    <w:rsid w:val="00A4589C"/>
    <w:rsid w:val="00A5188B"/>
    <w:rsid w:val="00A534BA"/>
    <w:rsid w:val="00A56A42"/>
    <w:rsid w:val="00A578C0"/>
    <w:rsid w:val="00A6320A"/>
    <w:rsid w:val="00A65D4E"/>
    <w:rsid w:val="00A65FE9"/>
    <w:rsid w:val="00A664F7"/>
    <w:rsid w:val="00A6672E"/>
    <w:rsid w:val="00A74DF9"/>
    <w:rsid w:val="00AA1B16"/>
    <w:rsid w:val="00AA50C0"/>
    <w:rsid w:val="00AB231A"/>
    <w:rsid w:val="00AB4D45"/>
    <w:rsid w:val="00AC1D58"/>
    <w:rsid w:val="00AC1FBA"/>
    <w:rsid w:val="00AC31ED"/>
    <w:rsid w:val="00AC4283"/>
    <w:rsid w:val="00AC6045"/>
    <w:rsid w:val="00AC79D2"/>
    <w:rsid w:val="00AC7F63"/>
    <w:rsid w:val="00AD06C3"/>
    <w:rsid w:val="00AD3D40"/>
    <w:rsid w:val="00AD4F6D"/>
    <w:rsid w:val="00AD7D8E"/>
    <w:rsid w:val="00AE4543"/>
    <w:rsid w:val="00AF15F7"/>
    <w:rsid w:val="00AF651C"/>
    <w:rsid w:val="00B054BD"/>
    <w:rsid w:val="00B152E2"/>
    <w:rsid w:val="00B20514"/>
    <w:rsid w:val="00B21A6B"/>
    <w:rsid w:val="00B23308"/>
    <w:rsid w:val="00B327F0"/>
    <w:rsid w:val="00B33BE8"/>
    <w:rsid w:val="00B36956"/>
    <w:rsid w:val="00B373D2"/>
    <w:rsid w:val="00B4049B"/>
    <w:rsid w:val="00B44F5E"/>
    <w:rsid w:val="00B7490D"/>
    <w:rsid w:val="00B77088"/>
    <w:rsid w:val="00B81820"/>
    <w:rsid w:val="00B82233"/>
    <w:rsid w:val="00B8388E"/>
    <w:rsid w:val="00B8602F"/>
    <w:rsid w:val="00B913CB"/>
    <w:rsid w:val="00BB0CDE"/>
    <w:rsid w:val="00BC0F8F"/>
    <w:rsid w:val="00BC1B55"/>
    <w:rsid w:val="00BC25F4"/>
    <w:rsid w:val="00BC336F"/>
    <w:rsid w:val="00BC3578"/>
    <w:rsid w:val="00BC5DCB"/>
    <w:rsid w:val="00BD03C7"/>
    <w:rsid w:val="00BD1386"/>
    <w:rsid w:val="00BE3AAF"/>
    <w:rsid w:val="00BE76D6"/>
    <w:rsid w:val="00BF2E52"/>
    <w:rsid w:val="00C038AE"/>
    <w:rsid w:val="00C04AD8"/>
    <w:rsid w:val="00C06F46"/>
    <w:rsid w:val="00C116AD"/>
    <w:rsid w:val="00C13C7B"/>
    <w:rsid w:val="00C14395"/>
    <w:rsid w:val="00C17161"/>
    <w:rsid w:val="00C20F76"/>
    <w:rsid w:val="00C3002E"/>
    <w:rsid w:val="00C337CC"/>
    <w:rsid w:val="00C3559D"/>
    <w:rsid w:val="00C37036"/>
    <w:rsid w:val="00C379EF"/>
    <w:rsid w:val="00C42295"/>
    <w:rsid w:val="00C436A1"/>
    <w:rsid w:val="00C436FE"/>
    <w:rsid w:val="00C44BDA"/>
    <w:rsid w:val="00C5061B"/>
    <w:rsid w:val="00C5507B"/>
    <w:rsid w:val="00C60DEC"/>
    <w:rsid w:val="00C63A04"/>
    <w:rsid w:val="00C74CA3"/>
    <w:rsid w:val="00C82A88"/>
    <w:rsid w:val="00C930A7"/>
    <w:rsid w:val="00C94150"/>
    <w:rsid w:val="00C94AD1"/>
    <w:rsid w:val="00C97F99"/>
    <w:rsid w:val="00C97FE6"/>
    <w:rsid w:val="00CA3B7C"/>
    <w:rsid w:val="00CB18BA"/>
    <w:rsid w:val="00CB1EDC"/>
    <w:rsid w:val="00CB3F9F"/>
    <w:rsid w:val="00CB5066"/>
    <w:rsid w:val="00CC03DC"/>
    <w:rsid w:val="00CC300E"/>
    <w:rsid w:val="00CD226D"/>
    <w:rsid w:val="00CE1004"/>
    <w:rsid w:val="00CE1194"/>
    <w:rsid w:val="00CF5482"/>
    <w:rsid w:val="00D04E9C"/>
    <w:rsid w:val="00D111D2"/>
    <w:rsid w:val="00D11F3C"/>
    <w:rsid w:val="00D14987"/>
    <w:rsid w:val="00D16C48"/>
    <w:rsid w:val="00D226FF"/>
    <w:rsid w:val="00D24BAC"/>
    <w:rsid w:val="00D25B6F"/>
    <w:rsid w:val="00D33270"/>
    <w:rsid w:val="00D369BF"/>
    <w:rsid w:val="00D40532"/>
    <w:rsid w:val="00D4318E"/>
    <w:rsid w:val="00D43B15"/>
    <w:rsid w:val="00D43FB3"/>
    <w:rsid w:val="00D44999"/>
    <w:rsid w:val="00D4677B"/>
    <w:rsid w:val="00D5127D"/>
    <w:rsid w:val="00D5277D"/>
    <w:rsid w:val="00D52CAD"/>
    <w:rsid w:val="00D56570"/>
    <w:rsid w:val="00D760E5"/>
    <w:rsid w:val="00D80AAB"/>
    <w:rsid w:val="00D91A46"/>
    <w:rsid w:val="00D9266A"/>
    <w:rsid w:val="00D94A2F"/>
    <w:rsid w:val="00DA2349"/>
    <w:rsid w:val="00DA495D"/>
    <w:rsid w:val="00DA6D26"/>
    <w:rsid w:val="00DA7D50"/>
    <w:rsid w:val="00DC0054"/>
    <w:rsid w:val="00DC0126"/>
    <w:rsid w:val="00DC22AE"/>
    <w:rsid w:val="00DC3075"/>
    <w:rsid w:val="00DC516B"/>
    <w:rsid w:val="00DD171D"/>
    <w:rsid w:val="00DD2C4C"/>
    <w:rsid w:val="00DD4940"/>
    <w:rsid w:val="00DD5F07"/>
    <w:rsid w:val="00DD67DE"/>
    <w:rsid w:val="00DD7334"/>
    <w:rsid w:val="00DE0071"/>
    <w:rsid w:val="00DE0FE4"/>
    <w:rsid w:val="00DE26EA"/>
    <w:rsid w:val="00DE2F2A"/>
    <w:rsid w:val="00DE6323"/>
    <w:rsid w:val="00DE6E8B"/>
    <w:rsid w:val="00DE7551"/>
    <w:rsid w:val="00DF215D"/>
    <w:rsid w:val="00DF3FC1"/>
    <w:rsid w:val="00DF7569"/>
    <w:rsid w:val="00E00DE7"/>
    <w:rsid w:val="00E033B7"/>
    <w:rsid w:val="00E03A66"/>
    <w:rsid w:val="00E05CD9"/>
    <w:rsid w:val="00E0672B"/>
    <w:rsid w:val="00E07684"/>
    <w:rsid w:val="00E126A5"/>
    <w:rsid w:val="00E21416"/>
    <w:rsid w:val="00E21823"/>
    <w:rsid w:val="00E26600"/>
    <w:rsid w:val="00E27B0C"/>
    <w:rsid w:val="00E32468"/>
    <w:rsid w:val="00E52F30"/>
    <w:rsid w:val="00E53EF6"/>
    <w:rsid w:val="00E55063"/>
    <w:rsid w:val="00E60F13"/>
    <w:rsid w:val="00E63692"/>
    <w:rsid w:val="00E669BB"/>
    <w:rsid w:val="00E708CA"/>
    <w:rsid w:val="00E71031"/>
    <w:rsid w:val="00E72B0E"/>
    <w:rsid w:val="00E73C2E"/>
    <w:rsid w:val="00E828B1"/>
    <w:rsid w:val="00E856D6"/>
    <w:rsid w:val="00E906F8"/>
    <w:rsid w:val="00E92364"/>
    <w:rsid w:val="00E92BD6"/>
    <w:rsid w:val="00E93534"/>
    <w:rsid w:val="00E94740"/>
    <w:rsid w:val="00E95AD0"/>
    <w:rsid w:val="00EA0515"/>
    <w:rsid w:val="00EA2716"/>
    <w:rsid w:val="00EA3FDE"/>
    <w:rsid w:val="00EA5A2A"/>
    <w:rsid w:val="00EA6267"/>
    <w:rsid w:val="00EB3A28"/>
    <w:rsid w:val="00EB3FD4"/>
    <w:rsid w:val="00EB436A"/>
    <w:rsid w:val="00EB5BD9"/>
    <w:rsid w:val="00EB5E54"/>
    <w:rsid w:val="00ED6F7F"/>
    <w:rsid w:val="00EE0EB5"/>
    <w:rsid w:val="00EE4DE0"/>
    <w:rsid w:val="00EE5B4D"/>
    <w:rsid w:val="00EE762E"/>
    <w:rsid w:val="00EE777A"/>
    <w:rsid w:val="00EE7E96"/>
    <w:rsid w:val="00EF1547"/>
    <w:rsid w:val="00EF2EFC"/>
    <w:rsid w:val="00EF6564"/>
    <w:rsid w:val="00F01BC7"/>
    <w:rsid w:val="00F02A44"/>
    <w:rsid w:val="00F06AA9"/>
    <w:rsid w:val="00F06F24"/>
    <w:rsid w:val="00F1428D"/>
    <w:rsid w:val="00F2250B"/>
    <w:rsid w:val="00F2324F"/>
    <w:rsid w:val="00F23E61"/>
    <w:rsid w:val="00F30221"/>
    <w:rsid w:val="00F31F3C"/>
    <w:rsid w:val="00F32701"/>
    <w:rsid w:val="00F33585"/>
    <w:rsid w:val="00F37BC3"/>
    <w:rsid w:val="00F4119D"/>
    <w:rsid w:val="00F41851"/>
    <w:rsid w:val="00F43807"/>
    <w:rsid w:val="00F61CB0"/>
    <w:rsid w:val="00F633F6"/>
    <w:rsid w:val="00F63C64"/>
    <w:rsid w:val="00F71EAD"/>
    <w:rsid w:val="00F742F1"/>
    <w:rsid w:val="00F74DCC"/>
    <w:rsid w:val="00F85275"/>
    <w:rsid w:val="00F91635"/>
    <w:rsid w:val="00F971BA"/>
    <w:rsid w:val="00FA2100"/>
    <w:rsid w:val="00FA3238"/>
    <w:rsid w:val="00FA4769"/>
    <w:rsid w:val="00FA6EA6"/>
    <w:rsid w:val="00FB064D"/>
    <w:rsid w:val="00FB43CE"/>
    <w:rsid w:val="00FB6107"/>
    <w:rsid w:val="00FB6FB3"/>
    <w:rsid w:val="00FC7907"/>
    <w:rsid w:val="00FD1CC8"/>
    <w:rsid w:val="00FE0C9A"/>
    <w:rsid w:val="00FE2657"/>
    <w:rsid w:val="00FE66A7"/>
    <w:rsid w:val="00FE7D3E"/>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C1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39747">
      <w:bodyDiv w:val="1"/>
      <w:marLeft w:val="0"/>
      <w:marRight w:val="0"/>
      <w:marTop w:val="0"/>
      <w:marBottom w:val="0"/>
      <w:divBdr>
        <w:top w:val="none" w:sz="0" w:space="0" w:color="auto"/>
        <w:left w:val="none" w:sz="0" w:space="0" w:color="auto"/>
        <w:bottom w:val="none" w:sz="0" w:space="0" w:color="auto"/>
        <w:right w:val="none" w:sz="0" w:space="0" w:color="auto"/>
      </w:divBdr>
    </w:div>
    <w:div w:id="97065509">
      <w:bodyDiv w:val="1"/>
      <w:marLeft w:val="0"/>
      <w:marRight w:val="0"/>
      <w:marTop w:val="0"/>
      <w:marBottom w:val="0"/>
      <w:divBdr>
        <w:top w:val="none" w:sz="0" w:space="0" w:color="auto"/>
        <w:left w:val="none" w:sz="0" w:space="0" w:color="auto"/>
        <w:bottom w:val="none" w:sz="0" w:space="0" w:color="auto"/>
        <w:right w:val="none" w:sz="0" w:space="0" w:color="auto"/>
      </w:divBdr>
      <w:divsChild>
        <w:div w:id="1689478915">
          <w:marLeft w:val="1800"/>
          <w:marRight w:val="0"/>
          <w:marTop w:val="40"/>
          <w:marBottom w:val="0"/>
          <w:divBdr>
            <w:top w:val="none" w:sz="0" w:space="0" w:color="auto"/>
            <w:left w:val="none" w:sz="0" w:space="0" w:color="auto"/>
            <w:bottom w:val="none" w:sz="0" w:space="0" w:color="auto"/>
            <w:right w:val="none" w:sz="0" w:space="0" w:color="auto"/>
          </w:divBdr>
        </w:div>
        <w:div w:id="1276132778">
          <w:marLeft w:val="2520"/>
          <w:marRight w:val="0"/>
          <w:marTop w:val="40"/>
          <w:marBottom w:val="0"/>
          <w:divBdr>
            <w:top w:val="none" w:sz="0" w:space="0" w:color="auto"/>
            <w:left w:val="none" w:sz="0" w:space="0" w:color="auto"/>
            <w:bottom w:val="none" w:sz="0" w:space="0" w:color="auto"/>
            <w:right w:val="none" w:sz="0" w:space="0" w:color="auto"/>
          </w:divBdr>
        </w:div>
        <w:div w:id="1962494252">
          <w:marLeft w:val="1800"/>
          <w:marRight w:val="0"/>
          <w:marTop w:val="40"/>
          <w:marBottom w:val="0"/>
          <w:divBdr>
            <w:top w:val="none" w:sz="0" w:space="0" w:color="auto"/>
            <w:left w:val="none" w:sz="0" w:space="0" w:color="auto"/>
            <w:bottom w:val="none" w:sz="0" w:space="0" w:color="auto"/>
            <w:right w:val="none" w:sz="0" w:space="0" w:color="auto"/>
          </w:divBdr>
        </w:div>
        <w:div w:id="69933350">
          <w:marLeft w:val="2520"/>
          <w:marRight w:val="0"/>
          <w:marTop w:val="40"/>
          <w:marBottom w:val="0"/>
          <w:divBdr>
            <w:top w:val="none" w:sz="0" w:space="0" w:color="auto"/>
            <w:left w:val="none" w:sz="0" w:space="0" w:color="auto"/>
            <w:bottom w:val="none" w:sz="0" w:space="0" w:color="auto"/>
            <w:right w:val="none" w:sz="0" w:space="0" w:color="auto"/>
          </w:divBdr>
        </w:div>
        <w:div w:id="1182891948">
          <w:marLeft w:val="1800"/>
          <w:marRight w:val="0"/>
          <w:marTop w:val="40"/>
          <w:marBottom w:val="0"/>
          <w:divBdr>
            <w:top w:val="none" w:sz="0" w:space="0" w:color="auto"/>
            <w:left w:val="none" w:sz="0" w:space="0" w:color="auto"/>
            <w:bottom w:val="none" w:sz="0" w:space="0" w:color="auto"/>
            <w:right w:val="none" w:sz="0" w:space="0" w:color="auto"/>
          </w:divBdr>
        </w:div>
        <w:div w:id="522406021">
          <w:marLeft w:val="2520"/>
          <w:marRight w:val="0"/>
          <w:marTop w:val="40"/>
          <w:marBottom w:val="0"/>
          <w:divBdr>
            <w:top w:val="none" w:sz="0" w:space="0" w:color="auto"/>
            <w:left w:val="none" w:sz="0" w:space="0" w:color="auto"/>
            <w:bottom w:val="none" w:sz="0" w:space="0" w:color="auto"/>
            <w:right w:val="none" w:sz="0" w:space="0" w:color="auto"/>
          </w:divBdr>
        </w:div>
        <w:div w:id="885677856">
          <w:marLeft w:val="1800"/>
          <w:marRight w:val="0"/>
          <w:marTop w:val="40"/>
          <w:marBottom w:val="0"/>
          <w:divBdr>
            <w:top w:val="none" w:sz="0" w:space="0" w:color="auto"/>
            <w:left w:val="none" w:sz="0" w:space="0" w:color="auto"/>
            <w:bottom w:val="none" w:sz="0" w:space="0" w:color="auto"/>
            <w:right w:val="none" w:sz="0" w:space="0" w:color="auto"/>
          </w:divBdr>
        </w:div>
        <w:div w:id="1390182208">
          <w:marLeft w:val="2520"/>
          <w:marRight w:val="0"/>
          <w:marTop w:val="40"/>
          <w:marBottom w:val="0"/>
          <w:divBdr>
            <w:top w:val="none" w:sz="0" w:space="0" w:color="auto"/>
            <w:left w:val="none" w:sz="0" w:space="0" w:color="auto"/>
            <w:bottom w:val="none" w:sz="0" w:space="0" w:color="auto"/>
            <w:right w:val="none" w:sz="0" w:space="0" w:color="auto"/>
          </w:divBdr>
        </w:div>
        <w:div w:id="929200848">
          <w:marLeft w:val="1800"/>
          <w:marRight w:val="0"/>
          <w:marTop w:val="40"/>
          <w:marBottom w:val="0"/>
          <w:divBdr>
            <w:top w:val="none" w:sz="0" w:space="0" w:color="auto"/>
            <w:left w:val="none" w:sz="0" w:space="0" w:color="auto"/>
            <w:bottom w:val="none" w:sz="0" w:space="0" w:color="auto"/>
            <w:right w:val="none" w:sz="0" w:space="0" w:color="auto"/>
          </w:divBdr>
        </w:div>
        <w:div w:id="1081179414">
          <w:marLeft w:val="2520"/>
          <w:marRight w:val="0"/>
          <w:marTop w:val="40"/>
          <w:marBottom w:val="0"/>
          <w:divBdr>
            <w:top w:val="none" w:sz="0" w:space="0" w:color="auto"/>
            <w:left w:val="none" w:sz="0" w:space="0" w:color="auto"/>
            <w:bottom w:val="none" w:sz="0" w:space="0" w:color="auto"/>
            <w:right w:val="none" w:sz="0" w:space="0" w:color="auto"/>
          </w:divBdr>
        </w:div>
        <w:div w:id="579870709">
          <w:marLeft w:val="1800"/>
          <w:marRight w:val="0"/>
          <w:marTop w:val="40"/>
          <w:marBottom w:val="0"/>
          <w:divBdr>
            <w:top w:val="none" w:sz="0" w:space="0" w:color="auto"/>
            <w:left w:val="none" w:sz="0" w:space="0" w:color="auto"/>
            <w:bottom w:val="none" w:sz="0" w:space="0" w:color="auto"/>
            <w:right w:val="none" w:sz="0" w:space="0" w:color="auto"/>
          </w:divBdr>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72723608">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90676537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32601090">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1062940">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39653109">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0080768">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3B5C0-E117-44A0-AB5E-F6C7F7738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1141</Words>
  <Characters>6507</Characters>
  <Application>Microsoft Office Word</Application>
  <DocSecurity>0</DocSecurity>
  <Lines>54</Lines>
  <Paragraphs>15</Paragraphs>
  <ScaleCrop>false</ScaleCrop>
  <Company>CATT</Company>
  <LinksUpToDate>false</LinksUpToDate>
  <CharactersWithSpaces>7633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2022-05-30T06:51:00Z</dcterms:created>
  <dcterms:modified xsi:type="dcterms:W3CDTF">2022-05-30T06:51:00Z</dcterms:modified>
</cp:coreProperties>
</file>