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FP"/>
        <w:tabs>
          <w:tab w:val="left" w:pos="567"/>
        </w:tabs>
        <w:rPr>
          <w:rFonts w:ascii="Arial" w:hAnsi="Arial" w:cs="Arial"/>
          <w:b/>
          <w:sz w:val="24"/>
          <w:szCs w:val="24"/>
        </w:rPr>
      </w:pPr>
      <w:bookmarkStart w:id="0" w:name="_GoBack"/>
      <w:bookmarkEnd w:id="0"/>
      <w:r>
        <w:rPr>
          <w:rFonts w:ascii="Arial" w:hAnsi="Arial" w:cs="Arial"/>
          <w:b/>
          <w:sz w:val="24"/>
          <w:szCs w:val="24"/>
        </w:rPr>
        <w:t>3GPP TSG RAN meeting #9</w:t>
      </w:r>
      <w:r>
        <w:rPr>
          <w:rFonts w:ascii="Arial" w:hAnsi="Arial" w:cs="Arial" w:hint="eastAsia"/>
          <w:b/>
          <w:sz w:val="24"/>
          <w:szCs w:val="24"/>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RP-220734</w:t>
      </w:r>
    </w:p>
    <w:p>
      <w:pPr>
        <w:tabs>
          <w:tab w:val="left" w:pos="567"/>
        </w:tabs>
        <w:rPr>
          <w:rFonts w:ascii="Arial" w:hAnsi="Arial" w:cs="Arial"/>
          <w:b/>
          <w:sz w:val="24"/>
        </w:rPr>
      </w:pPr>
      <w:r>
        <w:rPr>
          <w:rFonts w:ascii="Arial" w:hAnsi="Arial" w:cs="Arial"/>
          <w:b/>
          <w:sz w:val="24"/>
        </w:rPr>
        <w:t xml:space="preserve">Electronic Meeting, </w:t>
      </w:r>
      <w:r>
        <w:rPr>
          <w:rFonts w:ascii="Arial" w:hAnsi="Arial" w:cs="Arial" w:hint="eastAsia"/>
          <w:b/>
          <w:sz w:val="24"/>
        </w:rPr>
        <w:t>March</w:t>
      </w:r>
      <w:r>
        <w:rPr>
          <w:rFonts w:ascii="Arial" w:hAnsi="Arial" w:cs="Arial"/>
          <w:b/>
          <w:sz w:val="24"/>
        </w:rPr>
        <w:t xml:space="preserve"> </w:t>
      </w:r>
      <w:r>
        <w:rPr>
          <w:rFonts w:ascii="Arial" w:hAnsi="Arial" w:cs="Arial" w:hint="eastAsia"/>
          <w:b/>
          <w:sz w:val="24"/>
        </w:rPr>
        <w:t>17</w:t>
      </w:r>
      <w:r>
        <w:rPr>
          <w:rFonts w:ascii="Arial" w:hAnsi="Arial" w:cs="Arial" w:hint="eastAsia"/>
          <w:b/>
          <w:sz w:val="24"/>
          <w:vertAlign w:val="superscript"/>
        </w:rPr>
        <w:t>th</w:t>
      </w:r>
      <w:r>
        <w:rPr>
          <w:rFonts w:ascii="Arial" w:hAnsi="Arial" w:cs="Arial" w:hint="eastAsia"/>
          <w:b/>
          <w:sz w:val="24"/>
        </w:rPr>
        <w:t xml:space="preserve"> </w:t>
      </w:r>
      <w:r>
        <w:rPr>
          <w:rFonts w:ascii="Arial" w:hAnsi="Arial" w:cs="Arial"/>
          <w:b/>
          <w:sz w:val="24"/>
        </w:rPr>
        <w:t>-</w:t>
      </w:r>
      <w:r>
        <w:rPr>
          <w:rFonts w:ascii="Arial" w:hAnsi="Arial" w:cs="Arial" w:hint="eastAsia"/>
          <w:b/>
          <w:sz w:val="24"/>
        </w:rPr>
        <w:t xml:space="preserve"> 23</w:t>
      </w:r>
      <w:r>
        <w:rPr>
          <w:rFonts w:ascii="Arial" w:hAnsi="Arial" w:cs="Arial" w:hint="eastAsia"/>
          <w:b/>
          <w:sz w:val="24"/>
          <w:vertAlign w:val="superscript"/>
        </w:rPr>
        <w:t>rd</w:t>
      </w:r>
      <w:r>
        <w:rPr>
          <w:rFonts w:ascii="Arial" w:hAnsi="Arial" w:cs="Arial"/>
          <w:b/>
          <w:sz w:val="24"/>
        </w:rPr>
        <w:t>, 202</w:t>
      </w:r>
      <w:r>
        <w:rPr>
          <w:rFonts w:ascii="Arial" w:hAnsi="Arial" w:cs="Arial" w:hint="eastAsia"/>
          <w:b/>
          <w:sz w:val="24"/>
        </w:rPr>
        <w:t>2</w:t>
      </w:r>
    </w:p>
    <w:p>
      <w:pPr>
        <w:pStyle w:val="2"/>
        <w:jc w:val="center"/>
        <w:rPr>
          <w:u w:val="single"/>
        </w:rPr>
      </w:pPr>
      <w:r>
        <w:rPr>
          <w:u w:val="single"/>
        </w:rPr>
        <w:t>Status Report to TSG</w:t>
      </w:r>
    </w:p>
    <w:p>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color w:val="FF0000"/>
        </w:rPr>
        <w:t>9</w:t>
      </w:r>
      <w:r>
        <w:rPr>
          <w:rFonts w:ascii="Arial" w:hAnsi="Arial" w:cs="Arial" w:hint="eastAsia"/>
          <w:color w:val="FF0000"/>
          <w:lang w:eastAsia="ja-JP"/>
        </w:rPr>
        <w:t>.</w:t>
      </w:r>
      <w:r>
        <w:rPr>
          <w:rFonts w:ascii="Arial" w:hAnsi="Arial" w:cs="Arial" w:hint="eastAsia"/>
          <w:color w:val="FF0000"/>
        </w:rPr>
        <w:t>3</w:t>
      </w:r>
      <w:r>
        <w:rPr>
          <w:rFonts w:ascii="Arial" w:hAnsi="Arial" w:cs="Arial" w:hint="eastAsia"/>
          <w:color w:val="FF0000"/>
          <w:lang w:eastAsia="ja-JP"/>
        </w:rPr>
        <w:t>.</w:t>
      </w:r>
      <w:r>
        <w:rPr>
          <w:rFonts w:ascii="Arial" w:hAnsi="Arial" w:cs="Arial" w:hint="eastAsia"/>
          <w:color w:val="FF0000"/>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rPr>
            </w:pPr>
            <w:r>
              <w:rPr>
                <w:rFonts w:ascii="Arial" w:hAnsi="Arial" w:cs="Arial" w:hint="eastAsia"/>
              </w:rPr>
              <w:t>Enhancements of NR Multicast and Broadcast Services</w:t>
            </w:r>
          </w:p>
        </w:tc>
      </w:tr>
      <w:tr>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pPr>
              <w:tabs>
                <w:tab w:val="left" w:pos="567"/>
              </w:tabs>
              <w:rPr>
                <w:rFonts w:ascii="Arial" w:hAnsi="Arial" w:cs="Arial"/>
              </w:rPr>
            </w:pPr>
            <w:r>
              <w:rPr>
                <w:rFonts w:ascii="Arial" w:hAnsi="Arial" w:cs="Arial"/>
                <w:color w:val="FF0000"/>
                <w:lang w:eastAsia="ja-JP"/>
              </w:rPr>
              <w:t>No</w:t>
            </w:r>
          </w:p>
        </w:tc>
        <w:tc>
          <w:tcPr>
            <w:tcW w:w="1842" w:type="dxa"/>
          </w:tcPr>
          <w:p>
            <w:pPr>
              <w:tabs>
                <w:tab w:val="left" w:pos="567"/>
              </w:tabs>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rPr>
                <w:rFonts w:ascii="Arial" w:hAnsi="Arial" w:cs="Arial"/>
                <w:color w:val="FF0000"/>
                <w:lang w:eastAsia="ja-JP"/>
              </w:rPr>
            </w:pPr>
            <w:r>
              <w:rPr>
                <w:rFonts w:ascii="Arial" w:hAnsi="Arial" w:cs="Arial" w:hint="eastAsia"/>
                <w:color w:val="FF0000"/>
                <w:lang w:eastAsia="ja-JP"/>
              </w:rPr>
              <w:t>Yes</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color w:val="FF0000"/>
                <w:lang w:eastAsia="ja-JP"/>
              </w:rPr>
            </w:pPr>
            <w:r>
              <w:rPr>
                <w:rFonts w:ascii="Arial" w:hAnsi="Arial" w:cs="Arial"/>
                <w:color w:val="FF0000"/>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color w:val="FF0000"/>
                <w:lang w:eastAsia="ja-JP"/>
              </w:rPr>
            </w:pPr>
            <w:r>
              <w:rPr>
                <w:rFonts w:ascii="Arial" w:hAnsi="Arial" w:cs="Arial" w:hint="eastAsia"/>
                <w:color w:val="FF0000"/>
                <w:lang w:eastAsia="ja-JP"/>
              </w:rPr>
              <w:t>No</w:t>
            </w:r>
          </w:p>
        </w:tc>
      </w:tr>
      <w:tr>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ascii="Arial" w:hAnsi="Arial" w:cs="Arial" w:hint="eastAsia"/>
              </w:rPr>
              <w:t>NR_MBS_enh-Core</w:t>
            </w:r>
          </w:p>
        </w:tc>
      </w:tr>
      <w:tr>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ascii="Arial" w:hAnsi="Arial" w:cs="Arial" w:hint="eastAsia"/>
                <w:lang w:eastAsia="ja-JP"/>
              </w:rPr>
              <w:t>940099</w:t>
            </w:r>
          </w:p>
        </w:tc>
      </w:tr>
      <w:tr>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tcPr>
          <w:p>
            <w:pPr>
              <w:tabs>
                <w:tab w:val="left" w:pos="567"/>
              </w:tabs>
              <w:rPr>
                <w:rFonts w:ascii="Arial" w:hAnsi="Arial" w:cs="Arial"/>
              </w:rPr>
            </w:pPr>
            <w:r>
              <w:rPr>
                <w:rFonts w:ascii="Arial" w:hAnsi="Arial" w:cs="Arial" w:hint="eastAsia"/>
                <w:lang w:eastAsia="ja-JP"/>
              </w:rPr>
              <w:t>RP-213568</w:t>
            </w:r>
          </w:p>
        </w:tc>
      </w:tr>
      <w:tr>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p>
        </w:tc>
        <w:tc>
          <w:tcPr>
            <w:tcW w:w="1842" w:type="dxa"/>
          </w:tcPr>
          <w:p>
            <w:pPr>
              <w:tabs>
                <w:tab w:val="left" w:pos="567"/>
              </w:tabs>
              <w:rPr>
                <w:rFonts w:ascii="Arial" w:hAnsi="Arial" w:cs="Arial"/>
              </w:rPr>
            </w:pPr>
            <w:r>
              <w:rPr>
                <w:rFonts w:ascii="Arial" w:hAnsi="Arial" w:cs="Arial"/>
                <w:lang w:eastAsia="ja-JP"/>
              </w:rPr>
              <w:t xml:space="preserve">Core part: </w:t>
            </w:r>
            <w:r>
              <w:rPr>
                <w:rFonts w:ascii="Arial" w:hAnsi="Arial" w:cs="Arial" w:hint="eastAsia"/>
                <w:color w:val="FF0000"/>
              </w:rPr>
              <w:t>12</w:t>
            </w:r>
            <w:r>
              <w:rPr>
                <w:rFonts w:ascii="Arial" w:hAnsi="Arial" w:cs="Arial"/>
                <w:color w:val="FF0000"/>
                <w:lang w:eastAsia="ja-JP"/>
              </w:rPr>
              <w:t>/</w:t>
            </w:r>
            <w:r>
              <w:rPr>
                <w:rFonts w:ascii="Arial" w:hAnsi="Arial" w:cs="Arial" w:hint="eastAsia"/>
                <w:color w:val="FF0000"/>
              </w:rPr>
              <w:t>2023</w:t>
            </w:r>
          </w:p>
        </w:tc>
        <w:tc>
          <w:tcPr>
            <w:tcW w:w="2268" w:type="dxa"/>
          </w:tcPr>
          <w:p>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rPr>
                <w:rFonts w:ascii="Arial" w:hAnsi="Arial" w:cs="Arial"/>
                <w:highlight w:val="yellow"/>
                <w:lang w:eastAsia="ja-JP"/>
              </w:rPr>
            </w:pPr>
            <w:r>
              <w:rPr>
                <w:rFonts w:ascii="Arial" w:hAnsi="Arial" w:cs="Arial"/>
                <w:lang w:eastAsia="ja-JP"/>
              </w:rPr>
              <w:t xml:space="preserve">Testing part: </w:t>
            </w:r>
          </w:p>
        </w:tc>
      </w:tr>
      <w:tr>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pPr>
              <w:tabs>
                <w:tab w:val="left" w:pos="567"/>
              </w:tabs>
              <w:rPr>
                <w:rFonts w:ascii="Arial" w:hAnsi="Arial" w:cs="Arial"/>
                <w:lang w:eastAsia="ja-JP"/>
              </w:rPr>
            </w:pP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hint="eastAsia"/>
                <w:color w:val="00B050"/>
              </w:rPr>
              <w:t>0</w:t>
            </w:r>
            <w:r>
              <w:rPr>
                <w:rFonts w:ascii="Arial" w:hAnsi="Arial" w:cs="Arial"/>
                <w:color w:val="00B050"/>
                <w:lang w:eastAsia="ja-JP"/>
              </w:rPr>
              <w:t>%</w:t>
            </w:r>
          </w:p>
        </w:tc>
        <w:tc>
          <w:tcPr>
            <w:tcW w:w="2268" w:type="dxa"/>
          </w:tcPr>
          <w:p>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rPr>
                <w:rFonts w:ascii="Arial" w:hAnsi="Arial" w:cs="Arial"/>
                <w:highlight w:val="yellow"/>
                <w:lang w:eastAsia="ja-JP"/>
              </w:rPr>
            </w:pPr>
            <w:r>
              <w:rPr>
                <w:rFonts w:ascii="Arial" w:hAnsi="Arial" w:cs="Arial"/>
                <w:lang w:eastAsia="ja-JP"/>
              </w:rPr>
              <w:t xml:space="preserve">Testing part: </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afd"/>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afd"/>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afd"/>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afd"/>
        <w:tabs>
          <w:tab w:val="left" w:pos="567"/>
        </w:tabs>
        <w:ind w:leftChars="0" w:left="924"/>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color w:val="FF0000"/>
              </w:rPr>
            </w:pPr>
            <w:r>
              <w:rPr>
                <w:rFonts w:ascii="Arial" w:hAnsi="Arial" w:cs="Arial" w:hint="eastAsia"/>
                <w:color w:val="FF0000"/>
              </w:rPr>
              <w:t>RAN2</w:t>
            </w:r>
          </w:p>
        </w:tc>
      </w:tr>
      <w:tr>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ascii="Arial" w:hAnsi="Arial" w:cs="Arial"/>
                <w:lang w:eastAsia="ja-JP"/>
              </w:rPr>
              <w:t>Erlin</w:t>
            </w:r>
            <w:r>
              <w:rPr>
                <w:rFonts w:ascii="Arial" w:hAnsi="Arial" w:cs="Arial" w:hint="eastAsia"/>
              </w:rPr>
              <w:t xml:space="preserve"> Zeng</w:t>
            </w:r>
          </w:p>
        </w:tc>
      </w:tr>
      <w:tr>
        <w:tc>
          <w:tcPr>
            <w:tcW w:w="1418" w:type="dxa"/>
            <w:vMerg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rPr>
            </w:pPr>
            <w:r>
              <w:rPr>
                <w:rFonts w:ascii="Arial" w:hAnsi="Arial" w:cs="Arial" w:hint="eastAsia"/>
              </w:rPr>
              <w:t>CATT</w:t>
            </w:r>
          </w:p>
        </w:tc>
      </w:tr>
      <w:tr>
        <w:tc>
          <w:tcPr>
            <w:tcW w:w="1418" w:type="dxa"/>
            <w:vMerg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hint="eastAsia"/>
              </w:rPr>
              <w:t>e</w:t>
            </w:r>
            <w:r>
              <w:rPr>
                <w:rFonts w:ascii="Arial" w:hAnsi="Arial" w:cs="Arial"/>
              </w:rPr>
              <w:t>rlin</w:t>
            </w:r>
            <w:r>
              <w:rPr>
                <w:rFonts w:ascii="Arial" w:hAnsi="Arial" w:cs="Arial" w:hint="eastAsia"/>
              </w:rPr>
              <w:t>.zeng@catt.cn</w:t>
            </w:r>
          </w:p>
        </w:tc>
      </w:tr>
    </w:tbl>
    <w:p>
      <w:pPr>
        <w:pBdr>
          <w:bottom w:val="single" w:sz="4" w:space="1" w:color="auto"/>
        </w:pBdr>
        <w:rPr>
          <w:rFonts w:ascii="Arial" w:hAnsi="Arial" w:cs="Arial"/>
        </w:rPr>
      </w:pPr>
    </w:p>
    <w:p>
      <w:pPr>
        <w:pBdr>
          <w:bottom w:val="single" w:sz="4" w:space="1" w:color="auto"/>
        </w:pBdr>
        <w:rPr>
          <w:rFonts w:ascii="Arial" w:hAnsi="Arial" w:cs="Arial"/>
        </w:rPr>
      </w:pPr>
    </w:p>
    <w:p>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trPr>
          <w:jc w:val="center"/>
        </w:trPr>
        <w:tc>
          <w:tcPr>
            <w:tcW w:w="6185" w:type="dxa"/>
            <w:shd w:val="clear" w:color="auto" w:fill="E0E0E0"/>
          </w:tcPr>
          <w:p>
            <w:pPr>
              <w:pStyle w:val="TAL"/>
              <w:jc w:val="center"/>
              <w:rPr>
                <w:b/>
                <w:bCs/>
              </w:rPr>
            </w:pPr>
            <w:r>
              <w:rPr>
                <w:b/>
                <w:bCs/>
              </w:rPr>
              <w:t>Do you want to modify the time budget for this WI/SI compared to what was endorsed at the last RAN meeting?</w:t>
            </w:r>
          </w:p>
        </w:tc>
        <w:tc>
          <w:tcPr>
            <w:tcW w:w="1037" w:type="dxa"/>
            <w:vAlign w:val="center"/>
          </w:tcPr>
          <w:p>
            <w:pPr>
              <w:pStyle w:val="TAL"/>
              <w:jc w:val="center"/>
              <w:rPr>
                <w:color w:val="FF0000"/>
                <w:lang w:eastAsia="ja-JP"/>
              </w:rPr>
            </w:pPr>
            <w:r>
              <w:rPr>
                <w:color w:val="FF0000"/>
                <w:lang w:eastAsia="ja-JP"/>
              </w:rPr>
              <w:t>No</w:t>
            </w:r>
          </w:p>
        </w:tc>
      </w:tr>
    </w:tbl>
    <w:p>
      <w:pPr>
        <w:rPr>
          <w:rFonts w:ascii="Arial" w:hAnsi="Arial" w:cs="Arial"/>
        </w:rPr>
      </w:pPr>
    </w:p>
    <w:p>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pPr>
        <w:rPr>
          <w:rFonts w:ascii="Arial" w:hAnsi="Arial" w:cs="Arial"/>
          <w:b/>
        </w:rPr>
      </w:pPr>
      <w:r>
        <w:rPr>
          <w:rFonts w:ascii="Arial" w:hAnsi="Arial" w:cs="Arial"/>
          <w:b/>
        </w:rPr>
        <w:t>Additional explanations/motivations for the time budget changes in the attached Excel table:</w:t>
      </w:r>
    </w:p>
    <w:p>
      <w:pPr>
        <w:rPr>
          <w:rFonts w:ascii="Arial" w:hAnsi="Arial" w:cs="Arial"/>
        </w:rPr>
      </w:pPr>
    </w:p>
    <w:p>
      <w:pPr>
        <w:rPr>
          <w:rFonts w:ascii="Arial" w:hAnsi="Arial" w:cs="Arial"/>
        </w:rPr>
      </w:pPr>
    </w:p>
    <w:p>
      <w:pPr>
        <w:pStyle w:val="2"/>
      </w:pPr>
      <w:r>
        <w:t>2.</w:t>
      </w:r>
      <w:r>
        <w:tab/>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2"/>
        <w:rPr>
          <w:lang w:eastAsia="ja-JP"/>
        </w:rPr>
      </w:pPr>
      <w:r>
        <w:rPr>
          <w:lang w:eastAsia="ja-JP"/>
        </w:rPr>
        <w:lastRenderedPageBreak/>
        <w:t>2.1</w:t>
      </w:r>
      <w:r>
        <w:rPr>
          <w:lang w:eastAsia="ja-JP"/>
        </w:rPr>
        <w:tab/>
      </w:r>
      <w:r>
        <w:rPr>
          <w:rFonts w:hint="eastAsia"/>
          <w:lang w:eastAsia="ja-JP"/>
        </w:rPr>
        <w:t>RAN1</w:t>
      </w:r>
    </w:p>
    <w:p>
      <w:pPr>
        <w:pStyle w:val="4"/>
        <w:rPr>
          <w:lang w:eastAsia="ja-JP"/>
        </w:rPr>
      </w:pPr>
      <w:r>
        <w:rPr>
          <w:lang w:eastAsia="ja-JP"/>
        </w:rPr>
        <w:t>2.1.1</w:t>
      </w:r>
      <w:r>
        <w:rPr>
          <w:lang w:eastAsia="ja-JP"/>
        </w:rPr>
        <w:tab/>
        <w:t>Agreements</w:t>
      </w:r>
    </w:p>
    <w:p>
      <w:pPr>
        <w:pStyle w:val="4"/>
        <w:rPr>
          <w:lang w:eastAsia="ja-JP"/>
        </w:rPr>
      </w:pPr>
      <w:r>
        <w:rPr>
          <w:lang w:eastAsia="ja-JP"/>
        </w:rPr>
        <w:t>2.1.2</w:t>
      </w:r>
      <w:r>
        <w:rPr>
          <w:lang w:eastAsia="ja-JP"/>
        </w:rPr>
        <w:tab/>
        <w:t>Remaining Open issues</w:t>
      </w:r>
    </w:p>
    <w:p>
      <w:pPr>
        <w:pStyle w:val="2"/>
        <w:rPr>
          <w:rFonts w:eastAsiaTheme="minorEastAsia"/>
          <w:lang w:eastAsia="zh-CN"/>
        </w:rPr>
      </w:pPr>
      <w:r>
        <w:rPr>
          <w:lang w:eastAsia="ja-JP"/>
        </w:rPr>
        <w:t>2.2</w:t>
      </w:r>
      <w:r>
        <w:rPr>
          <w:lang w:eastAsia="ja-JP"/>
        </w:rPr>
        <w:tab/>
      </w:r>
      <w:r>
        <w:rPr>
          <w:rFonts w:hint="eastAsia"/>
          <w:lang w:eastAsia="ja-JP"/>
        </w:rPr>
        <w:t>RAN2</w:t>
      </w:r>
    </w:p>
    <w:p>
      <w:pPr>
        <w:pStyle w:val="4"/>
        <w:rPr>
          <w:rFonts w:eastAsiaTheme="minorEastAsia"/>
          <w:lang w:eastAsia="zh-CN"/>
        </w:rPr>
      </w:pPr>
      <w:r>
        <w:rPr>
          <w:lang w:eastAsia="ja-JP"/>
        </w:rPr>
        <w:t>2.2.1</w:t>
      </w:r>
      <w:r>
        <w:rPr>
          <w:lang w:eastAsia="ja-JP"/>
        </w:rPr>
        <w:tab/>
        <w:t>Agreements</w:t>
      </w:r>
    </w:p>
    <w:p>
      <w:pPr>
        <w:pStyle w:val="4"/>
        <w:rPr>
          <w:rFonts w:eastAsiaTheme="minorEastAsia"/>
          <w:lang w:eastAsia="zh-CN"/>
        </w:rPr>
      </w:pPr>
      <w:r>
        <w:rPr>
          <w:lang w:eastAsia="ja-JP"/>
        </w:rPr>
        <w:t>2.2.2</w:t>
      </w:r>
      <w:r>
        <w:rPr>
          <w:lang w:eastAsia="ja-JP"/>
        </w:rPr>
        <w:tab/>
        <w:t>Remaining Open issues</w:t>
      </w:r>
    </w:p>
    <w:p>
      <w:pPr>
        <w:widowControl/>
        <w:numPr>
          <w:ilvl w:val="0"/>
          <w:numId w:val="23"/>
        </w:numPr>
        <w:overflowPunct w:val="0"/>
        <w:autoSpaceDE w:val="0"/>
        <w:autoSpaceDN w:val="0"/>
        <w:adjustRightInd w:val="0"/>
        <w:spacing w:after="180"/>
        <w:ind w:right="-99"/>
        <w:rPr>
          <w:rFonts w:hint="eastAsia"/>
        </w:rPr>
      </w:pPr>
      <w:r>
        <w:t>Specify support of multicast reception by UEs in RRC_INACTIVE state</w:t>
      </w:r>
    </w:p>
    <w:p>
      <w:pPr>
        <w:widowControl/>
        <w:numPr>
          <w:ilvl w:val="1"/>
          <w:numId w:val="23"/>
        </w:numPr>
        <w:overflowPunct w:val="0"/>
        <w:autoSpaceDE w:val="0"/>
        <w:autoSpaceDN w:val="0"/>
        <w:adjustRightInd w:val="0"/>
        <w:spacing w:after="180"/>
        <w:ind w:right="-99"/>
        <w:rPr>
          <w:rFonts w:hint="eastAsia"/>
        </w:rPr>
      </w:pPr>
      <w:r>
        <w:t>PTM configuration for UEs receiving multicast in RRC_INACTIVE state</w:t>
      </w:r>
    </w:p>
    <w:p>
      <w:pPr>
        <w:widowControl/>
        <w:numPr>
          <w:ilvl w:val="1"/>
          <w:numId w:val="23"/>
        </w:numPr>
        <w:overflowPunct w:val="0"/>
        <w:autoSpaceDE w:val="0"/>
        <w:autoSpaceDN w:val="0"/>
        <w:adjustRightInd w:val="0"/>
        <w:spacing w:after="180"/>
        <w:ind w:right="-99"/>
        <w:rPr>
          <w:rFonts w:hint="eastAsia"/>
        </w:rPr>
      </w:pPr>
      <w:r>
        <w:t xml:space="preserve">Study the impact of mobility and state transition for UEs receiving multicast in RRC_INACTIVE.  (Seamless/lossless mobility is not required) </w:t>
      </w:r>
    </w:p>
    <w:p>
      <w:pPr>
        <w:widowControl/>
        <w:numPr>
          <w:ilvl w:val="0"/>
          <w:numId w:val="23"/>
        </w:numPr>
        <w:overflowPunct w:val="0"/>
        <w:autoSpaceDE w:val="0"/>
        <w:autoSpaceDN w:val="0"/>
        <w:adjustRightInd w:val="0"/>
        <w:spacing w:after="180"/>
        <w:ind w:right="-99"/>
        <w:rPr>
          <w:rFonts w:hint="eastAsia"/>
        </w:rPr>
      </w:pPr>
      <w:r>
        <w:t xml:space="preserve">Specify Uu signalling enhancements to allow a UE to use shared processing for MBS broadcast and unicast reception, i.e., </w:t>
      </w:r>
      <w:r>
        <w:rPr>
          <w:rFonts w:ascii="MS Gothic" w:eastAsia="MS Gothic" w:hAnsi="MS Gothic" w:cs="MS Gothic" w:hint="eastAsia"/>
        </w:rPr>
        <w:t>‎</w:t>
      </w:r>
      <w:r>
        <w:t>including UE capability and related assistance information reporting regarding simultaneous unicast reception in RRC_CONNECTED and MBS broadcast reception from the same or different operators</w:t>
      </w:r>
    </w:p>
    <w:p>
      <w:pPr>
        <w:pStyle w:val="2"/>
        <w:rPr>
          <w:lang w:eastAsia="ja-JP"/>
        </w:rPr>
      </w:pPr>
      <w:r>
        <w:rPr>
          <w:lang w:eastAsia="ja-JP"/>
        </w:rPr>
        <w:t>2.3</w:t>
      </w:r>
      <w:r>
        <w:rPr>
          <w:lang w:eastAsia="ja-JP"/>
        </w:rPr>
        <w:tab/>
      </w:r>
      <w:r>
        <w:rPr>
          <w:rFonts w:hint="eastAsia"/>
          <w:lang w:eastAsia="ja-JP"/>
        </w:rPr>
        <w:t>RAN3</w:t>
      </w:r>
    </w:p>
    <w:p>
      <w:pPr>
        <w:pStyle w:val="4"/>
        <w:rPr>
          <w:rFonts w:eastAsiaTheme="minorEastAsia"/>
          <w:lang w:eastAsia="zh-CN"/>
        </w:rPr>
      </w:pPr>
      <w:r>
        <w:rPr>
          <w:lang w:eastAsia="ja-JP"/>
        </w:rPr>
        <w:t>2.3.1</w:t>
      </w:r>
      <w:r>
        <w:rPr>
          <w:lang w:eastAsia="ja-JP"/>
        </w:rPr>
        <w:tab/>
        <w:t>Agreements</w:t>
      </w:r>
    </w:p>
    <w:p>
      <w:pPr>
        <w:pStyle w:val="4"/>
        <w:rPr>
          <w:rFonts w:eastAsiaTheme="minorEastAsia"/>
          <w:lang w:eastAsia="zh-CN"/>
        </w:rPr>
      </w:pPr>
      <w:r>
        <w:rPr>
          <w:lang w:eastAsia="ja-JP"/>
        </w:rPr>
        <w:t>2.3.2</w:t>
      </w:r>
      <w:r>
        <w:rPr>
          <w:lang w:eastAsia="ja-JP"/>
        </w:rPr>
        <w:tab/>
        <w:t>Remaining Open issues</w:t>
      </w:r>
      <w:r>
        <w:rPr>
          <w:rFonts w:eastAsiaTheme="minorEastAsia" w:hint="eastAsia"/>
          <w:lang w:eastAsia="zh-CN"/>
        </w:rPr>
        <w:t xml:space="preserve"> </w:t>
      </w:r>
    </w:p>
    <w:p>
      <w:pPr>
        <w:widowControl/>
        <w:numPr>
          <w:ilvl w:val="0"/>
          <w:numId w:val="23"/>
        </w:numPr>
        <w:overflowPunct w:val="0"/>
        <w:autoSpaceDE w:val="0"/>
        <w:autoSpaceDN w:val="0"/>
        <w:adjustRightInd w:val="0"/>
        <w:spacing w:after="180"/>
        <w:ind w:right="-99"/>
        <w:rPr>
          <w:rFonts w:hint="eastAsia"/>
        </w:rPr>
      </w:pPr>
      <w:r>
        <w:t xml:space="preserve">Specify support of multicast reception by UEs in RRC_INACTIVE state </w:t>
      </w:r>
    </w:p>
    <w:p>
      <w:pPr>
        <w:widowControl/>
        <w:numPr>
          <w:ilvl w:val="1"/>
          <w:numId w:val="23"/>
        </w:numPr>
        <w:overflowPunct w:val="0"/>
        <w:autoSpaceDE w:val="0"/>
        <w:autoSpaceDN w:val="0"/>
        <w:adjustRightInd w:val="0"/>
        <w:spacing w:after="180"/>
        <w:ind w:right="-99"/>
        <w:rPr>
          <w:rFonts w:hint="eastAsia"/>
        </w:rPr>
      </w:pPr>
      <w:r>
        <w:t xml:space="preserve">Study the impact of mobility and state transition for UEs receiving multicast in RRC_INACTIVE.  (Seamless/lossless mobility is not required) </w:t>
      </w:r>
    </w:p>
    <w:p>
      <w:pPr>
        <w:widowControl/>
        <w:numPr>
          <w:ilvl w:val="0"/>
          <w:numId w:val="23"/>
        </w:numPr>
        <w:overflowPunct w:val="0"/>
        <w:autoSpaceDE w:val="0"/>
        <w:autoSpaceDN w:val="0"/>
        <w:adjustRightInd w:val="0"/>
        <w:spacing w:after="180"/>
        <w:ind w:right="-99"/>
        <w:rPr>
          <w:rFonts w:hint="eastAsia"/>
        </w:rPr>
      </w:pPr>
      <w:r>
        <w:t xml:space="preserve">Study and if necessary, specify enhancements to improve the resource efficiency for MBS reception in RAN sharing scenarios </w:t>
      </w:r>
    </w:p>
    <w:p>
      <w:pPr>
        <w:pStyle w:val="2"/>
        <w:ind w:left="0" w:firstLine="0"/>
        <w:rPr>
          <w:lang w:eastAsia="ja-JP"/>
        </w:rPr>
      </w:pPr>
      <w:r>
        <w:rPr>
          <w:lang w:eastAsia="ja-JP"/>
        </w:rPr>
        <w:lastRenderedPageBreak/>
        <w:t>2.4</w:t>
      </w:r>
      <w:r>
        <w:rPr>
          <w:lang w:eastAsia="ja-JP"/>
        </w:rPr>
        <w:tab/>
      </w:r>
      <w:r>
        <w:rPr>
          <w:rFonts w:hint="eastAsia"/>
          <w:lang w:eastAsia="ja-JP"/>
        </w:rPr>
        <w:t>RAN4</w:t>
      </w:r>
    </w:p>
    <w:p>
      <w:pPr>
        <w:pStyle w:val="4"/>
        <w:rPr>
          <w:lang w:eastAsia="ja-JP"/>
        </w:rPr>
      </w:pPr>
      <w:r>
        <w:rPr>
          <w:lang w:eastAsia="ja-JP"/>
        </w:rPr>
        <w:t>2.4.1</w:t>
      </w:r>
      <w:r>
        <w:rPr>
          <w:lang w:eastAsia="ja-JP"/>
        </w:rPr>
        <w:tab/>
        <w:t>Agreements</w:t>
      </w:r>
    </w:p>
    <w:p>
      <w:pPr>
        <w:pStyle w:val="4"/>
        <w:rPr>
          <w:rFonts w:cs="Arial"/>
          <w:lang w:eastAsia="ja-JP"/>
        </w:rPr>
      </w:pPr>
      <w:r>
        <w:rPr>
          <w:lang w:eastAsia="ja-JP"/>
        </w:rPr>
        <w:t>2.4.2</w:t>
      </w:r>
      <w:r>
        <w:rPr>
          <w:lang w:eastAsia="ja-JP"/>
        </w:rPr>
        <w:tab/>
        <w:t>Remaining Open issues</w:t>
      </w:r>
    </w:p>
    <w:p>
      <w:pPr>
        <w:pStyle w:val="2"/>
        <w:rPr>
          <w:lang w:eastAsia="ja-JP"/>
        </w:rPr>
      </w:pPr>
      <w:r>
        <w:rPr>
          <w:lang w:eastAsia="ja-JP"/>
        </w:rPr>
        <w:t>2.5</w:t>
      </w:r>
      <w:r>
        <w:rPr>
          <w:lang w:eastAsia="ja-JP"/>
        </w:rPr>
        <w:tab/>
      </w:r>
      <w:r>
        <w:rPr>
          <w:rFonts w:hint="eastAsia"/>
          <w:lang w:eastAsia="ja-JP"/>
        </w:rPr>
        <w:t>RAN</w:t>
      </w:r>
      <w:r>
        <w:rPr>
          <w:lang w:eastAsia="ja-JP"/>
        </w:rPr>
        <w:t>5</w:t>
      </w:r>
    </w:p>
    <w:p>
      <w:pPr>
        <w:pStyle w:val="4"/>
        <w:rPr>
          <w:rFonts w:eastAsiaTheme="minorEastAsia"/>
          <w:lang w:eastAsia="zh-CN"/>
        </w:rPr>
      </w:pPr>
      <w:r>
        <w:rPr>
          <w:lang w:eastAsia="ja-JP"/>
        </w:rPr>
        <w:t>2.5.1</w:t>
      </w:r>
      <w:r>
        <w:rPr>
          <w:lang w:eastAsia="ja-JP"/>
        </w:rPr>
        <w:tab/>
        <w:t>Agreements</w:t>
      </w:r>
    </w:p>
    <w:p>
      <w:pPr>
        <w:pStyle w:val="4"/>
        <w:rPr>
          <w:lang w:eastAsia="ja-JP"/>
        </w:rPr>
      </w:pPr>
      <w:r>
        <w:rPr>
          <w:lang w:eastAsia="ja-JP"/>
        </w:rPr>
        <w:t>2.5.2</w:t>
      </w:r>
      <w:r>
        <w:rPr>
          <w:lang w:eastAsia="ja-JP"/>
        </w:rPr>
        <w:tab/>
        <w:t>Remaining Open issues</w:t>
      </w:r>
    </w:p>
    <w:p>
      <w:pPr>
        <w:pStyle w:val="4"/>
        <w:rPr>
          <w:lang w:eastAsia="ja-JP"/>
        </w:rPr>
      </w:pPr>
      <w:r>
        <w:rPr>
          <w:lang w:eastAsia="ja-JP"/>
        </w:rPr>
        <w:t>2.5.3</w:t>
      </w:r>
      <w:r>
        <w:rPr>
          <w:lang w:eastAsia="ja-JP"/>
        </w:rPr>
        <w:tab/>
        <w:t>Remaining Open issues with cross-WG dependencies</w:t>
      </w:r>
    </w:p>
    <w:p>
      <w:pPr>
        <w:pStyle w:val="2"/>
        <w:rPr>
          <w:lang w:eastAsia="ja-JP"/>
        </w:rPr>
      </w:pPr>
      <w:r>
        <w:rPr>
          <w:lang w:eastAsia="ja-JP"/>
        </w:rPr>
        <w:t>2.6</w:t>
      </w:r>
      <w:r>
        <w:rPr>
          <w:lang w:eastAsia="ja-JP"/>
        </w:rPr>
        <w:tab/>
      </w:r>
      <w:r>
        <w:rPr>
          <w:rFonts w:hint="eastAsia"/>
          <w:lang w:eastAsia="ja-JP"/>
        </w:rPr>
        <w:t>RAN6</w:t>
      </w:r>
    </w:p>
    <w:p>
      <w:pPr>
        <w:pStyle w:val="4"/>
        <w:rPr>
          <w:lang w:eastAsia="ja-JP"/>
        </w:rPr>
      </w:pPr>
      <w:r>
        <w:rPr>
          <w:lang w:eastAsia="ja-JP"/>
        </w:rPr>
        <w:t>2.6.1</w:t>
      </w:r>
      <w:r>
        <w:rPr>
          <w:lang w:eastAsia="ja-JP"/>
        </w:rPr>
        <w:tab/>
        <w:t>Agreements</w:t>
      </w:r>
    </w:p>
    <w:p>
      <w:pPr>
        <w:pStyle w:val="4"/>
        <w:rPr>
          <w:rFonts w:cs="Arial"/>
          <w:lang w:eastAsia="ja-JP"/>
        </w:rPr>
      </w:pPr>
      <w:r>
        <w:rPr>
          <w:lang w:eastAsia="ja-JP"/>
        </w:rPr>
        <w:t>2.6.2</w:t>
      </w:r>
      <w:r>
        <w:rPr>
          <w:lang w:eastAsia="ja-JP"/>
        </w:rPr>
        <w:tab/>
        <w:t>Remaining Open issues</w:t>
      </w:r>
    </w:p>
    <w:p>
      <w:pPr>
        <w:pStyle w:val="2"/>
      </w:pPr>
      <w:r>
        <w:t>3.</w:t>
      </w:r>
      <w:r>
        <w:tab/>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2"/>
        <w:rPr>
          <w:lang w:eastAsia="ja-JP"/>
        </w:rPr>
      </w:pPr>
      <w:r>
        <w:rPr>
          <w:lang w:eastAsia="ja-JP"/>
        </w:rPr>
        <w:t>3.1</w:t>
      </w:r>
      <w:r>
        <w:rPr>
          <w:lang w:eastAsia="ja-JP"/>
        </w:rPr>
        <w:tab/>
        <w:t>SAx/CTs</w:t>
      </w:r>
    </w:p>
    <w:p>
      <w:pPr>
        <w:pStyle w:val="4"/>
        <w:rPr>
          <w:lang w:eastAsia="ja-JP"/>
        </w:rPr>
      </w:pPr>
      <w:r>
        <w:rPr>
          <w:lang w:eastAsia="ja-JP"/>
        </w:rPr>
        <w:t>3.1.1</w:t>
      </w:r>
      <w:r>
        <w:rPr>
          <w:lang w:eastAsia="ja-JP"/>
        </w:rPr>
        <w:tab/>
        <w:t>Agreements with cross-TSG impacts</w:t>
      </w:r>
    </w:p>
    <w:p>
      <w:pPr>
        <w:pStyle w:val="4"/>
        <w:rPr>
          <w:lang w:eastAsia="ja-JP"/>
        </w:rPr>
      </w:pPr>
      <w:r>
        <w:rPr>
          <w:lang w:eastAsia="ja-JP"/>
        </w:rPr>
        <w:t>3.1.2</w:t>
      </w:r>
      <w:r>
        <w:rPr>
          <w:lang w:eastAsia="ja-JP"/>
        </w:rPr>
        <w:tab/>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pPr>
        <w:pStyle w:val="2"/>
      </w:pPr>
      <w:r>
        <w:t>4.</w:t>
      </w:r>
      <w:r>
        <w:tab/>
        <w:t>References</w:t>
      </w:r>
    </w:p>
    <w:p>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pPr>
        <w:rPr>
          <w:rFonts w:ascii="Arial" w:hAnsi="Arial" w:cs="Arial"/>
          <w:bCs/>
        </w:rPr>
      </w:pPr>
    </w:p>
    <w:p>
      <w:pPr>
        <w:widowControl/>
        <w:overflowPunct w:val="0"/>
        <w:autoSpaceDE w:val="0"/>
        <w:autoSpaceDN w:val="0"/>
        <w:adjustRightInd w:val="0"/>
        <w:spacing w:after="180"/>
        <w:ind w:right="-99"/>
        <w:rPr>
          <w:rFonts w:ascii="Arial" w:hAnsi="Arial" w:cs="Arial"/>
          <w:bCs/>
        </w:rPr>
      </w:pPr>
      <w:r>
        <w:rPr>
          <w:rFonts w:hint="eastAsia"/>
        </w:rPr>
        <w:t>[1] RP-213568, New WID: Enhancements of NR Multicast and Broadcast Services</w:t>
      </w:r>
    </w:p>
    <w:p>
      <w:pPr>
        <w:rPr>
          <w:rFonts w:ascii="Arial" w:hAnsi="Arial" w:cs="Arial"/>
          <w:bCs/>
        </w:rPr>
      </w:pPr>
    </w:p>
    <w:p>
      <w:pPr>
        <w:pStyle w:val="FP"/>
        <w:rPr>
          <w:rFonts w:hint="eastAsia"/>
          <w:sz w:val="12"/>
          <w:szCs w:val="12"/>
        </w:rPr>
      </w:pPr>
      <w:r>
        <w:rPr>
          <w:sz w:val="12"/>
          <w:szCs w:val="12"/>
        </w:rPr>
        <w:tab/>
        <w:t>17.05.2021</w:t>
      </w:r>
      <w:r>
        <w:rPr>
          <w:sz w:val="12"/>
          <w:szCs w:val="12"/>
        </w:rPr>
        <w:tab/>
      </w:r>
      <w:r>
        <w:rPr>
          <w:sz w:val="12"/>
          <w:szCs w:val="12"/>
        </w:rPr>
        <w:tab/>
        <w:t>minor adaptations for RAN #92e</w:t>
      </w:r>
    </w:p>
    <w:p>
      <w:pPr>
        <w:pStyle w:val="FP"/>
        <w:rPr>
          <w:rFonts w:hint="eastAsia"/>
          <w:sz w:val="12"/>
          <w:szCs w:val="12"/>
        </w:rPr>
      </w:pPr>
      <w:r>
        <w:rPr>
          <w:sz w:val="12"/>
          <w:szCs w:val="12"/>
        </w:rPr>
        <w:tab/>
        <w:t>28.01.2021</w:t>
      </w:r>
      <w:r>
        <w:rPr>
          <w:sz w:val="12"/>
          <w:szCs w:val="12"/>
        </w:rPr>
        <w:tab/>
      </w:r>
      <w:r>
        <w:rPr>
          <w:sz w:val="12"/>
          <w:szCs w:val="12"/>
        </w:rPr>
        <w:tab/>
        <w:t>minor adaptations for RAN #91e</w:t>
      </w:r>
    </w:p>
    <w:p>
      <w:pPr>
        <w:pStyle w:val="FP"/>
        <w:rPr>
          <w:rFonts w:hint="eastAsia"/>
          <w:sz w:val="12"/>
          <w:szCs w:val="12"/>
        </w:rPr>
      </w:pPr>
      <w:r>
        <w:rPr>
          <w:sz w:val="12"/>
          <w:szCs w:val="12"/>
        </w:rPr>
        <w:tab/>
        <w:t>09.11.2020</w:t>
      </w:r>
      <w:r>
        <w:rPr>
          <w:sz w:val="12"/>
          <w:szCs w:val="12"/>
        </w:rPr>
        <w:tab/>
      </w:r>
      <w:r>
        <w:rPr>
          <w:sz w:val="12"/>
          <w:szCs w:val="12"/>
        </w:rPr>
        <w:tab/>
        <w:t>minor adaptations for RAN #90e</w:t>
      </w:r>
    </w:p>
    <w:p>
      <w:pPr>
        <w:pStyle w:val="FP"/>
        <w:rPr>
          <w:rFonts w:hint="eastAsia"/>
          <w:sz w:val="12"/>
          <w:szCs w:val="12"/>
        </w:rPr>
      </w:pPr>
      <w:r>
        <w:rPr>
          <w:sz w:val="12"/>
          <w:szCs w:val="12"/>
        </w:rPr>
        <w:tab/>
        <w:t>31.08.2020</w:t>
      </w:r>
      <w:r>
        <w:rPr>
          <w:sz w:val="12"/>
          <w:szCs w:val="12"/>
        </w:rPr>
        <w:tab/>
      </w:r>
      <w:r>
        <w:rPr>
          <w:sz w:val="12"/>
          <w:szCs w:val="12"/>
        </w:rPr>
        <w:tab/>
        <w:t>minor adaptations for RAN #89e</w:t>
      </w:r>
    </w:p>
    <w:p>
      <w:pPr>
        <w:pStyle w:val="FP"/>
        <w:rPr>
          <w:rFonts w:hint="eastAsia"/>
          <w:sz w:val="12"/>
          <w:szCs w:val="12"/>
        </w:rPr>
      </w:pPr>
      <w:r>
        <w:rPr>
          <w:sz w:val="12"/>
          <w:szCs w:val="12"/>
        </w:rPr>
        <w:tab/>
        <w:t>20.04.2020</w:t>
      </w:r>
      <w:r>
        <w:rPr>
          <w:sz w:val="12"/>
          <w:szCs w:val="12"/>
        </w:rPr>
        <w:tab/>
      </w:r>
      <w:r>
        <w:rPr>
          <w:sz w:val="12"/>
          <w:szCs w:val="12"/>
        </w:rPr>
        <w:tab/>
        <w:t>minor adaptations for RAN #88e</w:t>
      </w:r>
    </w:p>
    <w:p>
      <w:pPr>
        <w:pStyle w:val="FP"/>
        <w:rPr>
          <w:rFonts w:hint="eastAsia"/>
          <w:sz w:val="12"/>
          <w:szCs w:val="12"/>
        </w:rPr>
      </w:pPr>
      <w:r>
        <w:rPr>
          <w:sz w:val="12"/>
          <w:szCs w:val="12"/>
        </w:rPr>
        <w:tab/>
        <w:t>18.02.2020</w:t>
      </w:r>
      <w:r>
        <w:rPr>
          <w:sz w:val="12"/>
          <w:szCs w:val="12"/>
        </w:rPr>
        <w:tab/>
      </w:r>
      <w:r>
        <w:rPr>
          <w:sz w:val="12"/>
          <w:szCs w:val="12"/>
        </w:rPr>
        <w:tab/>
        <w:t>minor adaptations for RAN #87e</w:t>
      </w:r>
    </w:p>
    <w:p>
      <w:pPr>
        <w:pStyle w:val="FP"/>
        <w:rPr>
          <w:rFonts w:hint="eastAsia"/>
          <w:sz w:val="12"/>
          <w:szCs w:val="12"/>
        </w:rPr>
      </w:pPr>
      <w:r>
        <w:rPr>
          <w:sz w:val="12"/>
          <w:szCs w:val="12"/>
        </w:rPr>
        <w:tab/>
        <w:t>14.11.2019</w:t>
      </w:r>
      <w:r>
        <w:rPr>
          <w:sz w:val="12"/>
          <w:szCs w:val="12"/>
        </w:rPr>
        <w:tab/>
      </w:r>
      <w:r>
        <w:rPr>
          <w:sz w:val="12"/>
          <w:szCs w:val="12"/>
        </w:rPr>
        <w:tab/>
        <w:t>minor adaptations for RAN #86</w:t>
      </w:r>
    </w:p>
    <w:p>
      <w:pPr>
        <w:pStyle w:val="FP"/>
        <w:rPr>
          <w:rFonts w:hint="eastAsia"/>
          <w:sz w:val="12"/>
          <w:szCs w:val="12"/>
        </w:rPr>
      </w:pPr>
      <w:r>
        <w:rPr>
          <w:sz w:val="12"/>
          <w:szCs w:val="12"/>
        </w:rPr>
        <w:tab/>
        <w:t>18.08.2019</w:t>
      </w:r>
      <w:r>
        <w:rPr>
          <w:sz w:val="12"/>
          <w:szCs w:val="12"/>
        </w:rPr>
        <w:tab/>
      </w:r>
      <w:r>
        <w:rPr>
          <w:sz w:val="12"/>
          <w:szCs w:val="12"/>
        </w:rPr>
        <w:tab/>
        <w:t>minor adaptations for RAN #85</w:t>
      </w:r>
    </w:p>
    <w:p>
      <w:pPr>
        <w:pStyle w:val="FP"/>
        <w:rPr>
          <w:rFonts w:hint="eastAsia"/>
          <w:sz w:val="12"/>
          <w:szCs w:val="12"/>
        </w:rPr>
      </w:pPr>
      <w:r>
        <w:rPr>
          <w:sz w:val="12"/>
          <w:szCs w:val="12"/>
        </w:rPr>
        <w:tab/>
        <w:t>12.05.2019</w:t>
      </w:r>
      <w:r>
        <w:rPr>
          <w:sz w:val="12"/>
          <w:szCs w:val="12"/>
        </w:rPr>
        <w:tab/>
      </w:r>
      <w:r>
        <w:rPr>
          <w:sz w:val="12"/>
          <w:szCs w:val="12"/>
        </w:rPr>
        <w:tab/>
        <w:t>minor adaptations for RAN #84</w:t>
      </w:r>
    </w:p>
    <w:p>
      <w:pPr>
        <w:pStyle w:val="FP"/>
        <w:rPr>
          <w:rFonts w:hint="eastAsia"/>
          <w:sz w:val="12"/>
          <w:szCs w:val="12"/>
        </w:rPr>
      </w:pPr>
      <w:r>
        <w:rPr>
          <w:sz w:val="12"/>
          <w:szCs w:val="12"/>
        </w:rPr>
        <w:tab/>
        <w:t>27.02.2019</w:t>
      </w:r>
      <w:r>
        <w:rPr>
          <w:sz w:val="12"/>
          <w:szCs w:val="12"/>
        </w:rPr>
        <w:tab/>
      </w:r>
      <w:r>
        <w:rPr>
          <w:sz w:val="12"/>
          <w:szCs w:val="12"/>
        </w:rPr>
        <w:tab/>
        <w:t>minor adaptations for RAN #83</w:t>
      </w:r>
    </w:p>
    <w:p>
      <w:pPr>
        <w:pStyle w:val="FP"/>
        <w:rPr>
          <w:rFonts w:hint="eastAsia"/>
          <w:sz w:val="12"/>
          <w:szCs w:val="12"/>
        </w:rPr>
      </w:pPr>
      <w:r>
        <w:rPr>
          <w:sz w:val="12"/>
          <w:szCs w:val="12"/>
        </w:rPr>
        <w:tab/>
        <w:t>21.11.2018</w:t>
      </w:r>
      <w:r>
        <w:rPr>
          <w:sz w:val="12"/>
          <w:szCs w:val="12"/>
        </w:rPr>
        <w:tab/>
      </w:r>
      <w:r>
        <w:rPr>
          <w:sz w:val="12"/>
          <w:szCs w:val="12"/>
        </w:rPr>
        <w:tab/>
        <w:t>completion levels with colours added (for RAN #82)</w:t>
      </w:r>
    </w:p>
    <w:p>
      <w:pPr>
        <w:pStyle w:val="FP"/>
        <w:rPr>
          <w:rFonts w:hint="eastAsia"/>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pPr>
        <w:pStyle w:val="FP"/>
        <w:rPr>
          <w:rFonts w:hint="eastAsia"/>
          <w:sz w:val="12"/>
          <w:szCs w:val="12"/>
        </w:rPr>
      </w:pPr>
      <w:r>
        <w:rPr>
          <w:sz w:val="12"/>
          <w:szCs w:val="12"/>
        </w:rPr>
        <w:t>v04.80</w:t>
      </w:r>
      <w:r>
        <w:rPr>
          <w:sz w:val="12"/>
          <w:szCs w:val="12"/>
        </w:rPr>
        <w:tab/>
        <w:t>21.05.2018</w:t>
      </w:r>
      <w:r>
        <w:rPr>
          <w:sz w:val="12"/>
          <w:szCs w:val="12"/>
        </w:rPr>
        <w:tab/>
      </w:r>
      <w:r>
        <w:rPr>
          <w:sz w:val="12"/>
          <w:szCs w:val="12"/>
        </w:rPr>
        <w:tab/>
        <w:t>minor adaptations for RAN #80</w:t>
      </w:r>
    </w:p>
    <w:p>
      <w:pPr>
        <w:pStyle w:val="FP"/>
        <w:rPr>
          <w:rFonts w:hint="eastAsia"/>
          <w:sz w:val="12"/>
          <w:szCs w:val="12"/>
        </w:rPr>
      </w:pPr>
      <w:r>
        <w:rPr>
          <w:sz w:val="12"/>
          <w:szCs w:val="12"/>
        </w:rPr>
        <w:t>v04.79</w:t>
      </w:r>
      <w:r>
        <w:rPr>
          <w:sz w:val="12"/>
          <w:szCs w:val="12"/>
        </w:rPr>
        <w:tab/>
        <w:t>26.02.2018</w:t>
      </w:r>
      <w:r>
        <w:rPr>
          <w:sz w:val="12"/>
          <w:szCs w:val="12"/>
        </w:rPr>
        <w:tab/>
      </w:r>
      <w:r>
        <w:rPr>
          <w:sz w:val="12"/>
          <w:szCs w:val="12"/>
        </w:rPr>
        <w:tab/>
        <w:t>minor adaptations for RAN #79</w:t>
      </w:r>
    </w:p>
    <w:p>
      <w:pPr>
        <w:pStyle w:val="FP"/>
        <w:rPr>
          <w:rFonts w:hint="eastAsia"/>
          <w:sz w:val="12"/>
          <w:szCs w:val="12"/>
        </w:rPr>
      </w:pPr>
      <w:r>
        <w:rPr>
          <w:sz w:val="12"/>
          <w:szCs w:val="12"/>
        </w:rPr>
        <w:t>v04.78</w:t>
      </w:r>
      <w:r>
        <w:rPr>
          <w:sz w:val="12"/>
          <w:szCs w:val="12"/>
        </w:rPr>
        <w:tab/>
        <w:t>18.11.2017</w:t>
      </w:r>
      <w:r>
        <w:rPr>
          <w:sz w:val="12"/>
          <w:szCs w:val="12"/>
        </w:rPr>
        <w:tab/>
      </w:r>
      <w:r>
        <w:rPr>
          <w:sz w:val="12"/>
          <w:szCs w:val="12"/>
        </w:rPr>
        <w:tab/>
        <w:t>minor adaptations for RAN #78</w:t>
      </w:r>
    </w:p>
    <w:p>
      <w:pPr>
        <w:pStyle w:val="FP"/>
        <w:rPr>
          <w:rFonts w:hint="eastAsia"/>
          <w:sz w:val="12"/>
          <w:szCs w:val="12"/>
        </w:rPr>
      </w:pPr>
      <w:r>
        <w:rPr>
          <w:sz w:val="12"/>
          <w:szCs w:val="12"/>
        </w:rPr>
        <w:t>v04.77</w:t>
      </w:r>
      <w:r>
        <w:rPr>
          <w:sz w:val="12"/>
          <w:szCs w:val="12"/>
        </w:rPr>
        <w:tab/>
        <w:t>06.08.2017</w:t>
      </w:r>
      <w:r>
        <w:rPr>
          <w:sz w:val="12"/>
          <w:szCs w:val="12"/>
        </w:rPr>
        <w:tab/>
      </w:r>
      <w:r>
        <w:rPr>
          <w:sz w:val="12"/>
          <w:szCs w:val="12"/>
        </w:rPr>
        <w:tab/>
        <w:t>minor adaptations for RAN #77</w:t>
      </w:r>
    </w:p>
    <w:p>
      <w:pPr>
        <w:pStyle w:val="FP"/>
        <w:rPr>
          <w:rFonts w:hint="eastAsia"/>
          <w:sz w:val="12"/>
          <w:szCs w:val="12"/>
        </w:rPr>
      </w:pPr>
      <w:r>
        <w:rPr>
          <w:sz w:val="12"/>
          <w:szCs w:val="12"/>
        </w:rPr>
        <w:t>v04.76</w:t>
      </w:r>
      <w:r>
        <w:rPr>
          <w:sz w:val="12"/>
          <w:szCs w:val="12"/>
        </w:rPr>
        <w:tab/>
        <w:t>15.05.2017</w:t>
      </w:r>
      <w:r>
        <w:rPr>
          <w:sz w:val="12"/>
          <w:szCs w:val="12"/>
        </w:rPr>
        <w:tab/>
      </w:r>
      <w:r>
        <w:rPr>
          <w:sz w:val="12"/>
          <w:szCs w:val="12"/>
        </w:rPr>
        <w:tab/>
        <w:t>minor adaptations for RAN #76</w:t>
      </w:r>
    </w:p>
    <w:p>
      <w:pPr>
        <w:pStyle w:val="FP"/>
        <w:rPr>
          <w:rFonts w:hint="eastAsia"/>
          <w:sz w:val="12"/>
          <w:szCs w:val="12"/>
        </w:rPr>
      </w:pPr>
      <w:r>
        <w:rPr>
          <w:sz w:val="12"/>
          <w:szCs w:val="12"/>
        </w:rPr>
        <w:t>v04.75</w:t>
      </w:r>
      <w:r>
        <w:rPr>
          <w:sz w:val="12"/>
          <w:szCs w:val="12"/>
        </w:rPr>
        <w:tab/>
        <w:t>31.01.2017</w:t>
      </w:r>
      <w:r>
        <w:rPr>
          <w:sz w:val="12"/>
          <w:szCs w:val="12"/>
        </w:rPr>
        <w:tab/>
      </w:r>
      <w:r>
        <w:rPr>
          <w:sz w:val="12"/>
          <w:szCs w:val="12"/>
        </w:rPr>
        <w:tab/>
        <w:t>minor adaptations for RAN #75</w:t>
      </w:r>
    </w:p>
    <w:p>
      <w:pPr>
        <w:pStyle w:val="FP"/>
        <w:rPr>
          <w:rFonts w:hint="eastAsia"/>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pPr>
        <w:pStyle w:val="FP"/>
        <w:rPr>
          <w:rFonts w:hint="eastAsia"/>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pPr>
        <w:pStyle w:val="FP"/>
        <w:rPr>
          <w:rFonts w:hint="eastAsia"/>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pPr>
        <w:pStyle w:val="FP"/>
        <w:rPr>
          <w:rFonts w:hint="eastAsia"/>
          <w:sz w:val="12"/>
          <w:szCs w:val="12"/>
        </w:rPr>
      </w:pPr>
      <w:r>
        <w:rPr>
          <w:sz w:val="12"/>
          <w:szCs w:val="12"/>
        </w:rPr>
        <w:t>v04.71</w:t>
      </w:r>
      <w:r>
        <w:rPr>
          <w:sz w:val="12"/>
          <w:szCs w:val="12"/>
        </w:rPr>
        <w:tab/>
        <w:t>10.02.2016</w:t>
      </w:r>
      <w:r>
        <w:rPr>
          <w:sz w:val="12"/>
          <w:szCs w:val="12"/>
        </w:rPr>
        <w:tab/>
      </w:r>
      <w:r>
        <w:rPr>
          <w:sz w:val="12"/>
          <w:szCs w:val="12"/>
        </w:rPr>
        <w:tab/>
        <w:t>minor adaptations for RAN #71</w:t>
      </w:r>
    </w:p>
    <w:p>
      <w:pPr>
        <w:pStyle w:val="FP"/>
        <w:rPr>
          <w:rFonts w:hint="eastAsia"/>
          <w:sz w:val="12"/>
          <w:szCs w:val="12"/>
        </w:rPr>
      </w:pPr>
      <w:r>
        <w:rPr>
          <w:sz w:val="12"/>
          <w:szCs w:val="12"/>
        </w:rPr>
        <w:t>v04.70</w:t>
      </w:r>
      <w:r>
        <w:rPr>
          <w:sz w:val="12"/>
          <w:szCs w:val="12"/>
        </w:rPr>
        <w:tab/>
        <w:t>30.10.2015</w:t>
      </w:r>
      <w:r>
        <w:rPr>
          <w:sz w:val="12"/>
          <w:szCs w:val="12"/>
        </w:rPr>
        <w:tab/>
      </w:r>
      <w:r>
        <w:rPr>
          <w:sz w:val="12"/>
          <w:szCs w:val="12"/>
        </w:rPr>
        <w:tab/>
        <w:t>minor adaptations for RAN #70</w:t>
      </w:r>
    </w:p>
    <w:p>
      <w:pPr>
        <w:pStyle w:val="FP"/>
        <w:rPr>
          <w:rFonts w:hint="eastAsia"/>
          <w:sz w:val="12"/>
          <w:szCs w:val="12"/>
        </w:rPr>
      </w:pPr>
      <w:r>
        <w:rPr>
          <w:sz w:val="12"/>
          <w:szCs w:val="12"/>
        </w:rPr>
        <w:t>v04.69</w:t>
      </w:r>
      <w:r>
        <w:rPr>
          <w:sz w:val="12"/>
          <w:szCs w:val="12"/>
        </w:rPr>
        <w:tab/>
        <w:t>12.08.2015</w:t>
      </w:r>
      <w:r>
        <w:rPr>
          <w:sz w:val="12"/>
          <w:szCs w:val="12"/>
        </w:rPr>
        <w:tab/>
      </w:r>
      <w:r>
        <w:rPr>
          <w:sz w:val="12"/>
          <w:szCs w:val="12"/>
        </w:rPr>
        <w:tab/>
        <w:t>minor adaptations for RAN #69</w:t>
      </w:r>
    </w:p>
    <w:p>
      <w:pPr>
        <w:pStyle w:val="FP"/>
        <w:rPr>
          <w:rFonts w:hint="eastAsia"/>
          <w:sz w:val="12"/>
          <w:szCs w:val="12"/>
        </w:rPr>
      </w:pPr>
      <w:r>
        <w:rPr>
          <w:sz w:val="12"/>
          <w:szCs w:val="12"/>
        </w:rPr>
        <w:t>v04.68</w:t>
      </w:r>
      <w:r>
        <w:rPr>
          <w:sz w:val="12"/>
          <w:szCs w:val="12"/>
        </w:rPr>
        <w:tab/>
        <w:t>21.05.2015</w:t>
      </w:r>
      <w:r>
        <w:rPr>
          <w:sz w:val="12"/>
          <w:szCs w:val="12"/>
        </w:rPr>
        <w:tab/>
      </w:r>
      <w:r>
        <w:rPr>
          <w:sz w:val="12"/>
          <w:szCs w:val="12"/>
        </w:rPr>
        <w:tab/>
        <w:t>minor adaptations for RAN #68</w:t>
      </w:r>
    </w:p>
    <w:p>
      <w:pPr>
        <w:pStyle w:val="FP"/>
        <w:rPr>
          <w:rFonts w:hint="eastAsia"/>
          <w:sz w:val="12"/>
          <w:szCs w:val="12"/>
        </w:rPr>
      </w:pPr>
      <w:r>
        <w:rPr>
          <w:sz w:val="12"/>
          <w:szCs w:val="12"/>
        </w:rPr>
        <w:t>v04.67</w:t>
      </w:r>
      <w:r>
        <w:rPr>
          <w:sz w:val="12"/>
          <w:szCs w:val="12"/>
        </w:rPr>
        <w:tab/>
        <w:t>01.02.2015</w:t>
      </w:r>
      <w:r>
        <w:rPr>
          <w:sz w:val="12"/>
          <w:szCs w:val="12"/>
        </w:rPr>
        <w:tab/>
      </w:r>
      <w:r>
        <w:rPr>
          <w:sz w:val="12"/>
          <w:szCs w:val="12"/>
        </w:rPr>
        <w:tab/>
        <w:t>minor adaptations for RAN #67</w:t>
      </w:r>
    </w:p>
    <w:p>
      <w:pPr>
        <w:pStyle w:val="FP"/>
        <w:rPr>
          <w:rFonts w:hint="eastAsia"/>
          <w:sz w:val="12"/>
          <w:szCs w:val="12"/>
        </w:rPr>
      </w:pPr>
      <w:r>
        <w:rPr>
          <w:sz w:val="12"/>
          <w:szCs w:val="12"/>
        </w:rPr>
        <w:t>v04.66</w:t>
      </w:r>
      <w:r>
        <w:rPr>
          <w:sz w:val="12"/>
          <w:szCs w:val="12"/>
        </w:rPr>
        <w:tab/>
        <w:t>16.11.2014</w:t>
      </w:r>
      <w:r>
        <w:rPr>
          <w:sz w:val="12"/>
          <w:szCs w:val="12"/>
        </w:rPr>
        <w:tab/>
      </w:r>
      <w:r>
        <w:rPr>
          <w:sz w:val="12"/>
          <w:szCs w:val="12"/>
        </w:rPr>
        <w:tab/>
        <w:t>minor adaptations for RAN #66</w:t>
      </w:r>
    </w:p>
    <w:p>
      <w:pPr>
        <w:pStyle w:val="FP"/>
        <w:rPr>
          <w:rFonts w:hint="eastAsia"/>
          <w:sz w:val="12"/>
          <w:szCs w:val="12"/>
        </w:rPr>
      </w:pPr>
      <w:r>
        <w:rPr>
          <w:sz w:val="12"/>
          <w:szCs w:val="12"/>
        </w:rPr>
        <w:t>v04.65</w:t>
      </w:r>
      <w:r>
        <w:rPr>
          <w:sz w:val="12"/>
          <w:szCs w:val="12"/>
        </w:rPr>
        <w:tab/>
        <w:t>16.08.2014</w:t>
      </w:r>
      <w:r>
        <w:rPr>
          <w:sz w:val="12"/>
          <w:szCs w:val="12"/>
        </w:rPr>
        <w:tab/>
      </w:r>
      <w:r>
        <w:rPr>
          <w:sz w:val="12"/>
          <w:szCs w:val="12"/>
        </w:rPr>
        <w:tab/>
        <w:t>minor adaptations for RAN #65</w:t>
      </w:r>
    </w:p>
    <w:p>
      <w:pPr>
        <w:pStyle w:val="FP"/>
        <w:rPr>
          <w:rFonts w:hint="eastAsia"/>
          <w:sz w:val="12"/>
          <w:szCs w:val="12"/>
        </w:rPr>
      </w:pPr>
      <w:r>
        <w:rPr>
          <w:sz w:val="12"/>
          <w:szCs w:val="12"/>
        </w:rPr>
        <w:t>v04.64</w:t>
      </w:r>
      <w:r>
        <w:rPr>
          <w:sz w:val="12"/>
          <w:szCs w:val="12"/>
        </w:rPr>
        <w:tab/>
        <w:t>22.05.2014</w:t>
      </w:r>
      <w:r>
        <w:rPr>
          <w:sz w:val="12"/>
          <w:szCs w:val="12"/>
        </w:rPr>
        <w:tab/>
      </w:r>
      <w:r>
        <w:rPr>
          <w:sz w:val="12"/>
          <w:szCs w:val="12"/>
        </w:rPr>
        <w:tab/>
        <w:t>minor adaptations for RAN #64</w:t>
      </w:r>
    </w:p>
    <w:p>
      <w:pPr>
        <w:pStyle w:val="FP"/>
        <w:rPr>
          <w:rFonts w:hint="eastAsia"/>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pPr>
        <w:pStyle w:val="FP"/>
        <w:rPr>
          <w:rFonts w:hint="eastAsia"/>
          <w:sz w:val="12"/>
          <w:szCs w:val="12"/>
        </w:rPr>
      </w:pPr>
      <w:r>
        <w:rPr>
          <w:sz w:val="12"/>
          <w:szCs w:val="12"/>
        </w:rPr>
        <w:t>v03.62</w:t>
      </w:r>
      <w:r>
        <w:rPr>
          <w:sz w:val="12"/>
          <w:szCs w:val="12"/>
        </w:rPr>
        <w:tab/>
        <w:t>11.11.2013</w:t>
      </w:r>
      <w:r>
        <w:rPr>
          <w:sz w:val="12"/>
          <w:szCs w:val="12"/>
        </w:rPr>
        <w:tab/>
      </w:r>
      <w:r>
        <w:rPr>
          <w:sz w:val="12"/>
          <w:szCs w:val="12"/>
        </w:rPr>
        <w:tab/>
        <w:t>section 1.2.3 adapted for RAN #62</w:t>
      </w:r>
    </w:p>
    <w:p>
      <w:pPr>
        <w:pStyle w:val="FP"/>
        <w:rPr>
          <w:rFonts w:hint="eastAsia"/>
          <w:sz w:val="12"/>
          <w:szCs w:val="12"/>
        </w:rPr>
      </w:pPr>
      <w:r>
        <w:rPr>
          <w:sz w:val="12"/>
          <w:szCs w:val="12"/>
        </w:rPr>
        <w:t>v03</w:t>
      </w:r>
      <w:r>
        <w:rPr>
          <w:sz w:val="12"/>
          <w:szCs w:val="12"/>
        </w:rPr>
        <w:tab/>
        <w:t>11.08.2013</w:t>
      </w:r>
      <w:r>
        <w:rPr>
          <w:sz w:val="12"/>
          <w:szCs w:val="12"/>
        </w:rPr>
        <w:tab/>
      </w:r>
      <w:r>
        <w:rPr>
          <w:sz w:val="12"/>
          <w:szCs w:val="12"/>
        </w:rPr>
        <w:tab/>
        <w:t>section 1.2.3 added on time budget</w:t>
      </w:r>
    </w:p>
    <w:p>
      <w:pPr>
        <w:pStyle w:val="FP"/>
        <w:rPr>
          <w:rFonts w:hint="eastAsia"/>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pPr>
        <w:pStyle w:val="FP"/>
        <w:rPr>
          <w:rFonts w:hint="eastAsia"/>
          <w:sz w:val="12"/>
          <w:szCs w:val="12"/>
        </w:rPr>
      </w:pPr>
      <w:r>
        <w:rPr>
          <w:sz w:val="12"/>
          <w:szCs w:val="12"/>
        </w:rPr>
        <w:t>v01</w:t>
      </w:r>
      <w:r>
        <w:rPr>
          <w:sz w:val="12"/>
          <w:szCs w:val="12"/>
        </w:rPr>
        <w:tab/>
        <w:t>13.11.2009</w:t>
      </w:r>
      <w:r>
        <w:rPr>
          <w:sz w:val="12"/>
          <w:szCs w:val="12"/>
        </w:rPr>
        <w:tab/>
      </w:r>
      <w:r>
        <w:rPr>
          <w:sz w:val="12"/>
          <w:szCs w:val="12"/>
        </w:rPr>
        <w:tab/>
        <w:t>First version of the template</w:t>
      </w:r>
    </w:p>
    <w:sectPr>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rPr>
          <w:rFonts w:hint="eastAsia"/>
        </w:rPr>
      </w:pPr>
      <w:r>
        <w:separator/>
      </w:r>
    </w:p>
  </w:endnote>
  <w:endnote w:type="continuationSeparator" w:id="0">
    <w:p>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b"/>
    </w:pPr>
    <w:r>
      <w:rPr>
        <w:rStyle w:val="ac"/>
      </w:rPr>
      <w:fldChar w:fldCharType="begin"/>
    </w:r>
    <w:r>
      <w:rPr>
        <w:rStyle w:val="ac"/>
      </w:rPr>
      <w:instrText xml:space="preserve"> PAGE </w:instrText>
    </w:r>
    <w:r>
      <w:rPr>
        <w:rStyle w:val="ac"/>
      </w:rPr>
      <w:fldChar w:fldCharType="separate"/>
    </w:r>
    <w:r>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rPr>
          <w:rFonts w:hint="eastAsia"/>
        </w:rPr>
      </w:pPr>
      <w:r>
        <w:separator/>
      </w:r>
    </w:p>
  </w:footnote>
  <w:footnote w:type="continuationSeparator" w:id="0">
    <w:p>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482116"/>
    <w:multiLevelType w:val="hybridMultilevel"/>
    <w:tmpl w:val="048A7704"/>
    <w:lvl w:ilvl="0" w:tplc="40F0990C">
      <w:start w:val="1"/>
      <w:numFmt w:val="bullet"/>
      <w:pStyle w:val="Agreemen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6"/>
  </w:num>
  <w:num w:numId="21">
    <w:abstractNumId w:val="17"/>
  </w:num>
  <w:num w:numId="22">
    <w:abstractNumId w:val="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qFormat/>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rPr>
      <w:rFonts w:ascii="Courier New" w:eastAsia="MS Gothic" w:hAnsi="Courier New"/>
      <w:sz w:val="24"/>
      <w:lang w:eastAsia="ja-JP"/>
    </w:rPr>
  </w:style>
  <w:style w:type="character" w:customStyle="1" w:styleId="Char4">
    <w:name w:val="纯文本 Char"/>
    <w:link w:val="af2"/>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5"/>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ind w:leftChars="400" w:left="840"/>
    </w:pPr>
    <w:rPr>
      <w:rFonts w:ascii="Century" w:hAnsi="Century"/>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a0"/>
    <w:qFormat/>
    <w:pPr>
      <w:numPr>
        <w:numId w:val="2"/>
      </w:numPr>
      <w:tabs>
        <w:tab w:val="left" w:pos="1619"/>
      </w:tabs>
      <w:spacing w:before="60" w:after="120"/>
    </w:pPr>
    <w:rPr>
      <w:rFonts w:ascii="Arial" w:eastAsia="MS Mincho"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qFormat/>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rPr>
      <w:rFonts w:ascii="Courier New" w:eastAsia="MS Gothic" w:hAnsi="Courier New"/>
      <w:sz w:val="24"/>
      <w:lang w:eastAsia="ja-JP"/>
    </w:rPr>
  </w:style>
  <w:style w:type="character" w:customStyle="1" w:styleId="Char4">
    <w:name w:val="纯文本 Char"/>
    <w:link w:val="af2"/>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5"/>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ind w:leftChars="400" w:left="840"/>
    </w:pPr>
    <w:rPr>
      <w:rFonts w:ascii="Century" w:hAnsi="Century"/>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a0"/>
    <w:qFormat/>
    <w:pPr>
      <w:numPr>
        <w:numId w:val="2"/>
      </w:numPr>
      <w:tabs>
        <w:tab w:val="left" w:pos="1619"/>
      </w:tabs>
      <w:spacing w:before="60" w:after="120"/>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10853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335096">
      <w:bodyDiv w:val="1"/>
      <w:marLeft w:val="0"/>
      <w:marRight w:val="0"/>
      <w:marTop w:val="0"/>
      <w:marBottom w:val="0"/>
      <w:divBdr>
        <w:top w:val="none" w:sz="0" w:space="0" w:color="auto"/>
        <w:left w:val="none" w:sz="0" w:space="0" w:color="auto"/>
        <w:bottom w:val="none" w:sz="0" w:space="0" w:color="auto"/>
        <w:right w:val="none" w:sz="0" w:space="0" w:color="auto"/>
      </w:divBdr>
    </w:div>
    <w:div w:id="1986621249">
      <w:bodyDiv w:val="1"/>
      <w:marLeft w:val="0"/>
      <w:marRight w:val="0"/>
      <w:marTop w:val="0"/>
      <w:marBottom w:val="0"/>
      <w:divBdr>
        <w:top w:val="none" w:sz="0" w:space="0" w:color="auto"/>
        <w:left w:val="none" w:sz="0" w:space="0" w:color="auto"/>
        <w:bottom w:val="none" w:sz="0" w:space="0" w:color="auto"/>
        <w:right w:val="none" w:sz="0" w:space="0" w:color="auto"/>
      </w:divBdr>
    </w:div>
    <w:div w:id="2060593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889</Words>
  <Characters>5073</Characters>
  <Application>Microsoft Office Word</Application>
  <DocSecurity>0</DocSecurity>
  <Lines>42</Lines>
  <Paragraphs>11</Paragraphs>
  <ScaleCrop>false</ScaleCrop>
  <LinksUpToDate>false</LinksUpToDate>
  <CharactersWithSpaces>5951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2022-03-11T02:09:00Z</dcterms:created>
  <dcterms:modified xsi:type="dcterms:W3CDTF">2022-03-11T02:09:00Z</dcterms:modified>
</cp:coreProperties>
</file>