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D76EE" w14:textId="1D52C293" w:rsidR="00CB40E6" w:rsidRPr="00A079D3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A079D3">
        <w:rPr>
          <w:rFonts w:ascii="Arial" w:hAnsi="Arial" w:cs="Arial"/>
          <w:b/>
          <w:sz w:val="28"/>
          <w:szCs w:val="28"/>
        </w:rPr>
        <w:t xml:space="preserve">TSG </w:t>
      </w:r>
      <w:r w:rsidR="0029177C" w:rsidRPr="0029177C">
        <w:rPr>
          <w:rFonts w:ascii="Arial" w:hAnsi="Arial" w:cs="Arial"/>
          <w:b/>
          <w:sz w:val="28"/>
          <w:szCs w:val="28"/>
        </w:rPr>
        <w:t>RAN</w:t>
      </w:r>
      <w:r w:rsidR="00654A7F" w:rsidRPr="00A079D3">
        <w:rPr>
          <w:rFonts w:ascii="Arial" w:hAnsi="Arial" w:cs="Arial"/>
          <w:b/>
          <w:sz w:val="28"/>
          <w:szCs w:val="28"/>
        </w:rPr>
        <w:t xml:space="preserve"> Meeting #</w:t>
      </w:r>
      <w:r w:rsidR="00A12CE9">
        <w:rPr>
          <w:rFonts w:ascii="Arial" w:hAnsi="Arial" w:cs="Arial"/>
          <w:b/>
          <w:sz w:val="28"/>
          <w:szCs w:val="28"/>
        </w:rPr>
        <w:t>95</w:t>
      </w:r>
      <w:r w:rsidR="00991D3B">
        <w:rPr>
          <w:rFonts w:ascii="Arial" w:hAnsi="Arial" w:cs="Arial"/>
          <w:b/>
          <w:sz w:val="28"/>
          <w:szCs w:val="28"/>
        </w:rPr>
        <w:t>-e</w:t>
      </w:r>
      <w:r w:rsidR="005B2698" w:rsidRPr="00A079D3">
        <w:rPr>
          <w:rFonts w:ascii="Arial" w:eastAsia="MS Mincho" w:hAnsi="Arial" w:cs="Arial"/>
          <w:b/>
          <w:sz w:val="28"/>
          <w:szCs w:val="28"/>
        </w:rPr>
        <w:tab/>
      </w:r>
      <w:r w:rsidR="00EF6918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B451FA">
        <w:rPr>
          <w:rFonts w:ascii="Arial" w:eastAsia="MS Mincho" w:hAnsi="Arial" w:cs="Arial"/>
          <w:b/>
          <w:sz w:val="28"/>
          <w:szCs w:val="28"/>
        </w:rPr>
        <w:tab/>
      </w:r>
      <w:r w:rsidR="00465769">
        <w:rPr>
          <w:rFonts w:ascii="Arial" w:eastAsia="MS Mincho" w:hAnsi="Arial" w:cs="Arial"/>
          <w:b/>
          <w:sz w:val="28"/>
          <w:szCs w:val="28"/>
        </w:rPr>
        <w:t>RP</w:t>
      </w:r>
      <w:r w:rsidR="00465769" w:rsidRPr="00307AA9">
        <w:rPr>
          <w:rFonts w:ascii="Arial" w:eastAsia="MS Mincho" w:hAnsi="Arial" w:cs="Arial"/>
          <w:b/>
          <w:sz w:val="28"/>
          <w:szCs w:val="28"/>
        </w:rPr>
        <w:t>-</w:t>
      </w:r>
      <w:r w:rsidR="00186D2D" w:rsidRPr="00307AA9">
        <w:rPr>
          <w:rFonts w:ascii="Arial" w:eastAsia="MS Mincho" w:hAnsi="Arial" w:cs="Arial"/>
          <w:b/>
          <w:sz w:val="28"/>
          <w:szCs w:val="28"/>
        </w:rPr>
        <w:t>2</w:t>
      </w:r>
      <w:r w:rsidR="00A12CE9">
        <w:rPr>
          <w:rFonts w:ascii="Arial" w:eastAsia="MS Mincho" w:hAnsi="Arial" w:cs="Arial"/>
          <w:b/>
          <w:sz w:val="28"/>
          <w:szCs w:val="28"/>
        </w:rPr>
        <w:t>2</w:t>
      </w:r>
      <w:r w:rsidR="007D2968">
        <w:rPr>
          <w:rFonts w:ascii="Arial" w:eastAsia="MS Mincho" w:hAnsi="Arial" w:cs="Arial"/>
          <w:b/>
          <w:sz w:val="28"/>
          <w:szCs w:val="28"/>
        </w:rPr>
        <w:t>0464</w:t>
      </w:r>
    </w:p>
    <w:p w14:paraId="6BBAAA58" w14:textId="77777777" w:rsidR="00015B8A" w:rsidRDefault="00015B8A" w:rsidP="00F35990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015B8A">
        <w:rPr>
          <w:rFonts w:ascii="Arial" w:hAnsi="Arial" w:cs="Arial"/>
          <w:b/>
          <w:sz w:val="24"/>
        </w:rPr>
        <w:t>Electronic Meeting, March 17-23, 2022</w:t>
      </w:r>
    </w:p>
    <w:p w14:paraId="5BAB499E" w14:textId="1DCFB54D" w:rsidR="00A67875" w:rsidRPr="00A079D3" w:rsidRDefault="002A6BBB" w:rsidP="00F35990">
      <w:pPr>
        <w:tabs>
          <w:tab w:val="left" w:pos="567"/>
        </w:tabs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A</w:t>
      </w:r>
      <w:r w:rsidR="00CB40E6" w:rsidRPr="00A079D3">
        <w:rPr>
          <w:rFonts w:ascii="Arial" w:hAnsi="Arial"/>
          <w:b/>
          <w:lang w:val="en-US"/>
        </w:rPr>
        <w:t>genda Item:</w:t>
      </w:r>
      <w:r w:rsidR="00CB40E6" w:rsidRPr="00A079D3">
        <w:rPr>
          <w:rFonts w:ascii="Arial" w:hAnsi="Arial"/>
          <w:lang w:val="en-US"/>
        </w:rPr>
        <w:tab/>
      </w:r>
      <w:bookmarkStart w:id="0" w:name="Source"/>
      <w:bookmarkEnd w:id="0"/>
      <w:r w:rsidR="00F35990" w:rsidRPr="00A079D3">
        <w:rPr>
          <w:rFonts w:ascii="Arial" w:hAnsi="Arial"/>
          <w:b/>
          <w:lang w:val="en-US"/>
        </w:rPr>
        <w:tab/>
      </w:r>
      <w:r w:rsidR="00B67E59">
        <w:rPr>
          <w:rFonts w:ascii="Arial" w:hAnsi="Arial"/>
          <w:b/>
          <w:lang w:val="en-US"/>
        </w:rPr>
        <w:t>9.</w:t>
      </w:r>
      <w:r w:rsidR="00015B8A">
        <w:rPr>
          <w:rFonts w:ascii="Arial" w:hAnsi="Arial"/>
          <w:b/>
          <w:lang w:val="en-US"/>
        </w:rPr>
        <w:t>5.1.4</w:t>
      </w:r>
    </w:p>
    <w:p w14:paraId="55340C29" w14:textId="495CF1D9" w:rsidR="00CB40E6" w:rsidRPr="00A079D3" w:rsidRDefault="00F35990" w:rsidP="00F35990">
      <w:pPr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="00CB40E6"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="00991D3B">
        <w:rPr>
          <w:rFonts w:ascii="Arial" w:hAnsi="Arial"/>
          <w:b/>
        </w:rPr>
        <w:t>Ericsson</w:t>
      </w:r>
    </w:p>
    <w:p w14:paraId="48C371F6" w14:textId="7B6859AA" w:rsidR="00BD7C2A" w:rsidRPr="00A079D3" w:rsidRDefault="00CB40E6" w:rsidP="002A6BBB">
      <w:pPr>
        <w:tabs>
          <w:tab w:val="left" w:pos="567"/>
        </w:tabs>
        <w:ind w:left="2268" w:hanging="2268"/>
        <w:rPr>
          <w:rFonts w:ascii="Arial" w:hAnsi="Arial"/>
        </w:rPr>
      </w:pPr>
      <w:r w:rsidRPr="00A079D3">
        <w:rPr>
          <w:rFonts w:ascii="Arial" w:hAnsi="Arial"/>
          <w:b/>
        </w:rPr>
        <w:t>Title:</w:t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BD7C2A">
        <w:rPr>
          <w:rFonts w:ascii="Arial" w:hAnsi="Arial"/>
          <w:b/>
        </w:rPr>
        <w:t>S</w:t>
      </w:r>
      <w:r w:rsidR="00EF376A" w:rsidRPr="00EF376A">
        <w:rPr>
          <w:rFonts w:ascii="Arial" w:hAnsi="Arial"/>
          <w:b/>
        </w:rPr>
        <w:t xml:space="preserve">ummary </w:t>
      </w:r>
      <w:r w:rsidR="00D00ECB">
        <w:rPr>
          <w:rFonts w:ascii="Arial" w:hAnsi="Arial"/>
          <w:b/>
        </w:rPr>
        <w:t xml:space="preserve">of </w:t>
      </w:r>
      <w:r w:rsidR="00015B8A">
        <w:rPr>
          <w:rFonts w:ascii="Arial" w:hAnsi="Arial"/>
          <w:b/>
        </w:rPr>
        <w:t xml:space="preserve">Rel17 </w:t>
      </w:r>
      <w:r w:rsidR="00BD7C2A" w:rsidRPr="0029177C">
        <w:rPr>
          <w:rFonts w:ascii="Arial" w:hAnsi="Arial"/>
          <w:b/>
        </w:rPr>
        <w:t>WI</w:t>
      </w:r>
      <w:r w:rsidR="00EF376A" w:rsidRPr="0029177C">
        <w:rPr>
          <w:rFonts w:ascii="Arial" w:hAnsi="Arial"/>
          <w:b/>
        </w:rPr>
        <w:t xml:space="preserve"> </w:t>
      </w:r>
      <w:bookmarkStart w:id="1" w:name="Title"/>
      <w:bookmarkEnd w:id="1"/>
      <w:r w:rsidR="00D00ECB">
        <w:rPr>
          <w:rFonts w:ascii="Arial" w:hAnsi="Arial"/>
          <w:b/>
        </w:rPr>
        <w:t xml:space="preserve">on </w:t>
      </w:r>
      <w:r w:rsidR="00015B8A" w:rsidRPr="00705E7E">
        <w:rPr>
          <w:rFonts w:ascii="Arial" w:eastAsia="Batang" w:hAnsi="Arial" w:cs="Arial"/>
          <w:b/>
          <w:lang w:eastAsia="zh-CN"/>
        </w:rPr>
        <w:t>NR Dynamic spectrum sharing (DSS)</w:t>
      </w:r>
    </w:p>
    <w:p w14:paraId="0CF7C7E2" w14:textId="18EECBFA" w:rsidR="004B3C92" w:rsidRPr="0029177C" w:rsidRDefault="004B3C92" w:rsidP="00367EEA">
      <w:pPr>
        <w:tabs>
          <w:tab w:val="left" w:pos="567"/>
        </w:tabs>
        <w:rPr>
          <w:rFonts w:ascii="Arial" w:hAnsi="Arial"/>
        </w:rPr>
      </w:pPr>
      <w:r w:rsidRPr="004B3C92">
        <w:rPr>
          <w:rFonts w:ascii="Arial" w:hAnsi="Arial"/>
          <w:b/>
        </w:rPr>
        <w:t>WI code</w:t>
      </w:r>
      <w:r w:rsidR="00D62905">
        <w:rPr>
          <w:rFonts w:ascii="Arial" w:hAnsi="Arial"/>
          <w:b/>
        </w:rPr>
        <w:t>(s)</w:t>
      </w:r>
      <w:r w:rsidRPr="004B3C92">
        <w:rPr>
          <w:rFonts w:ascii="Arial" w:hAnsi="Arial"/>
          <w:b/>
        </w:rPr>
        <w:t>:</w:t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 w:rsidR="00015B8A" w:rsidRPr="00015B8A">
        <w:rPr>
          <w:rFonts w:ascii="Arial" w:hAnsi="Arial"/>
          <w:b/>
        </w:rPr>
        <w:t>NR_DSS</w:t>
      </w:r>
    </w:p>
    <w:p w14:paraId="18BBD097" w14:textId="465692D6" w:rsidR="00D62905" w:rsidRPr="00A079D3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4B3C92">
        <w:rPr>
          <w:rFonts w:ascii="Arial" w:hAnsi="Arial"/>
          <w:b/>
        </w:rPr>
        <w:t>leading WG:</w:t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 w:rsidR="0029177C" w:rsidRPr="0029177C">
        <w:rPr>
          <w:rFonts w:ascii="Arial" w:hAnsi="Arial"/>
          <w:b/>
        </w:rPr>
        <w:t>RAN</w:t>
      </w:r>
      <w:r w:rsidR="00015B8A">
        <w:rPr>
          <w:rFonts w:ascii="Arial" w:hAnsi="Arial"/>
          <w:b/>
        </w:rPr>
        <w:t>1</w:t>
      </w:r>
    </w:p>
    <w:p w14:paraId="783E0020" w14:textId="3863B7EE" w:rsidR="00CB40E6" w:rsidRDefault="004B3C92" w:rsidP="00F35990">
      <w:pPr>
        <w:tabs>
          <w:tab w:val="left" w:pos="567"/>
        </w:tabs>
        <w:rPr>
          <w:rFonts w:ascii="Arial" w:hAnsi="Arial"/>
          <w:b/>
          <w:color w:val="0070C0"/>
        </w:rPr>
      </w:pPr>
      <w:r>
        <w:rPr>
          <w:rFonts w:ascii="Arial" w:hAnsi="Arial"/>
          <w:b/>
        </w:rPr>
        <w:t>Release: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Rel</w:t>
      </w:r>
      <w:r w:rsidRPr="0029177C">
        <w:rPr>
          <w:rFonts w:ascii="Arial" w:hAnsi="Arial"/>
          <w:b/>
        </w:rPr>
        <w:t>-</w:t>
      </w:r>
      <w:r w:rsidR="0029177C" w:rsidRPr="0029177C">
        <w:rPr>
          <w:rFonts w:ascii="Arial" w:hAnsi="Arial"/>
          <w:b/>
        </w:rPr>
        <w:t>1</w:t>
      </w:r>
      <w:r w:rsidR="00015B8A">
        <w:rPr>
          <w:rFonts w:ascii="Arial" w:hAnsi="Arial"/>
          <w:b/>
        </w:rPr>
        <w:t>7</w:t>
      </w:r>
    </w:p>
    <w:p w14:paraId="7D97D291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44760A20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553D89A1" w14:textId="1073FCFE" w:rsidR="00015B8A" w:rsidRDefault="00015B8A" w:rsidP="00D00ECB">
      <w:pPr>
        <w:tabs>
          <w:tab w:val="num" w:pos="2160"/>
        </w:tabs>
        <w:spacing w:after="0"/>
        <w:rPr>
          <w:bCs/>
          <w:lang w:val="en-US"/>
        </w:rPr>
      </w:pPr>
      <w:r w:rsidRPr="00015B8A">
        <w:rPr>
          <w:bCs/>
          <w:lang w:val="en-US"/>
        </w:rPr>
        <w:t>Dynamic spectrum sharing (DSS) provides a very useful migration path from LTE to NR by allowing LTE and NR to share the same carrier. DSS was included already in Rel-15 and further enhanced in Rel-16. As the number of NR devices in a network</w:t>
      </w:r>
      <w:r>
        <w:rPr>
          <w:bCs/>
          <w:lang w:val="en-US"/>
        </w:rPr>
        <w:t xml:space="preserve"> </w:t>
      </w:r>
      <w:r w:rsidRPr="00015B8A">
        <w:rPr>
          <w:bCs/>
          <w:lang w:val="en-US"/>
        </w:rPr>
        <w:t>increases it is important that sufficient scheduling capacity for NR UEs on the shared carriers is ensured</w:t>
      </w:r>
      <w:r>
        <w:rPr>
          <w:bCs/>
          <w:lang w:val="en-US"/>
        </w:rPr>
        <w:t xml:space="preserve">. This is addressed in the Rel17 WI on DSS [1] by introducing support for cross-carrier scheduling from </w:t>
      </w:r>
      <w:proofErr w:type="spellStart"/>
      <w:r>
        <w:rPr>
          <w:bCs/>
          <w:lang w:val="en-US"/>
        </w:rPr>
        <w:t>SCell</w:t>
      </w:r>
      <w:proofErr w:type="spellEnd"/>
      <w:r>
        <w:rPr>
          <w:bCs/>
          <w:lang w:val="en-US"/>
        </w:rPr>
        <w:t xml:space="preserve"> to </w:t>
      </w:r>
      <w:proofErr w:type="spellStart"/>
      <w:r>
        <w:rPr>
          <w:bCs/>
          <w:lang w:val="en-US"/>
        </w:rPr>
        <w:t>PCell</w:t>
      </w:r>
      <w:proofErr w:type="spellEnd"/>
      <w:r>
        <w:rPr>
          <w:bCs/>
          <w:lang w:val="en-US"/>
        </w:rPr>
        <w:t>/</w:t>
      </w:r>
      <w:proofErr w:type="spellStart"/>
      <w:r>
        <w:rPr>
          <w:bCs/>
          <w:lang w:val="en-US"/>
        </w:rPr>
        <w:t>PSCell</w:t>
      </w:r>
      <w:proofErr w:type="spellEnd"/>
      <w:r>
        <w:rPr>
          <w:bCs/>
          <w:lang w:val="en-US"/>
        </w:rPr>
        <w:t>. Changes triggered by the WI are captured into TS 38- series specifications [2]-[</w:t>
      </w:r>
      <w:r w:rsidR="009D289D">
        <w:rPr>
          <w:bCs/>
          <w:lang w:val="en-US"/>
        </w:rPr>
        <w:t>5</w:t>
      </w:r>
      <w:r>
        <w:rPr>
          <w:bCs/>
          <w:lang w:val="en-US"/>
        </w:rPr>
        <w:t>]</w:t>
      </w:r>
      <w:r w:rsidR="00864908">
        <w:rPr>
          <w:bCs/>
          <w:lang w:val="en-US"/>
        </w:rPr>
        <w:t>.</w:t>
      </w:r>
    </w:p>
    <w:p w14:paraId="683B52C0" w14:textId="77777777" w:rsidR="001E10F6" w:rsidRPr="00916091" w:rsidRDefault="001E10F6" w:rsidP="001E10F6">
      <w:pPr>
        <w:spacing w:after="0"/>
      </w:pPr>
    </w:p>
    <w:p w14:paraId="46E27414" w14:textId="77777777" w:rsidR="00A31492" w:rsidRDefault="00A31492" w:rsidP="00A31492">
      <w:pPr>
        <w:pStyle w:val="Heading3"/>
      </w:pPr>
      <w:r>
        <w:t>2</w:t>
      </w:r>
      <w:r w:rsidRPr="00A079D3">
        <w:tab/>
      </w:r>
      <w:r w:rsidR="004B3C92">
        <w:t>Description</w:t>
      </w:r>
    </w:p>
    <w:p w14:paraId="01DB2772" w14:textId="4AF269B6" w:rsidR="00D83643" w:rsidRDefault="007670FC" w:rsidP="007670FC">
      <w:pPr>
        <w:spacing w:after="0"/>
        <w:rPr>
          <w:bCs/>
          <w:lang w:val="en-US"/>
        </w:rPr>
      </w:pPr>
      <w:r w:rsidRPr="00D83643">
        <w:rPr>
          <w:bCs/>
          <w:lang w:val="en-US"/>
        </w:rPr>
        <w:t xml:space="preserve">The </w:t>
      </w:r>
      <w:r w:rsidR="00015B8A" w:rsidRPr="00D83643">
        <w:rPr>
          <w:bCs/>
          <w:lang w:val="en-US"/>
        </w:rPr>
        <w:t>wo</w:t>
      </w:r>
      <w:r w:rsidR="00D83643" w:rsidRPr="00D83643">
        <w:rPr>
          <w:bCs/>
          <w:lang w:val="en-US"/>
        </w:rPr>
        <w:t xml:space="preserve">rk item introduces the functionality of </w:t>
      </w:r>
      <w:r w:rsidR="00D83643">
        <w:rPr>
          <w:bCs/>
          <w:lang w:val="en-US"/>
        </w:rPr>
        <w:t xml:space="preserve">cross-carrier scheduling from </w:t>
      </w:r>
      <w:r w:rsidR="006565CC">
        <w:rPr>
          <w:bCs/>
          <w:lang w:val="en-US"/>
        </w:rPr>
        <w:t xml:space="preserve">an </w:t>
      </w:r>
      <w:proofErr w:type="spellStart"/>
      <w:r w:rsidR="00D83643">
        <w:rPr>
          <w:bCs/>
          <w:lang w:val="en-US"/>
        </w:rPr>
        <w:t>SCell</w:t>
      </w:r>
      <w:proofErr w:type="spellEnd"/>
      <w:r w:rsidR="00D83643">
        <w:rPr>
          <w:bCs/>
          <w:lang w:val="en-US"/>
        </w:rPr>
        <w:t xml:space="preserve"> to </w:t>
      </w:r>
      <w:proofErr w:type="spellStart"/>
      <w:r w:rsidR="006565CC">
        <w:rPr>
          <w:bCs/>
          <w:lang w:val="en-US"/>
        </w:rPr>
        <w:t>sPCell</w:t>
      </w:r>
      <w:proofErr w:type="spellEnd"/>
    </w:p>
    <w:p w14:paraId="187744B4" w14:textId="77777777" w:rsidR="00E90625" w:rsidRDefault="00D83643" w:rsidP="00E90625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When </w:t>
      </w:r>
      <w:r w:rsidRPr="00D83643">
        <w:rPr>
          <w:bCs/>
          <w:lang w:val="en-US"/>
        </w:rPr>
        <w:t xml:space="preserve">cross-carrier scheduling from an </w:t>
      </w:r>
      <w:proofErr w:type="spellStart"/>
      <w:r w:rsidRPr="00D83643">
        <w:rPr>
          <w:bCs/>
          <w:lang w:val="en-US"/>
        </w:rPr>
        <w:t>SCell</w:t>
      </w:r>
      <w:proofErr w:type="spellEnd"/>
      <w:r w:rsidRPr="00D83643">
        <w:rPr>
          <w:bCs/>
          <w:lang w:val="en-US"/>
        </w:rPr>
        <w:t xml:space="preserve"> to </w:t>
      </w:r>
      <w:proofErr w:type="spellStart"/>
      <w:r w:rsidR="006565CC">
        <w:rPr>
          <w:bCs/>
          <w:lang w:val="en-US"/>
        </w:rPr>
        <w:t>sPCell</w:t>
      </w:r>
      <w:proofErr w:type="spellEnd"/>
      <w:r>
        <w:rPr>
          <w:bCs/>
          <w:lang w:val="en-US"/>
        </w:rPr>
        <w:t xml:space="preserve"> is configured:</w:t>
      </w:r>
      <w:r w:rsidR="00E90625">
        <w:rPr>
          <w:bCs/>
          <w:lang w:val="en-US"/>
        </w:rPr>
        <w:t xml:space="preserve"> </w:t>
      </w:r>
    </w:p>
    <w:p w14:paraId="1FB74014" w14:textId="4047F089" w:rsidR="00E90625" w:rsidRPr="00E90625" w:rsidRDefault="00D83643" w:rsidP="00E90625">
      <w:pPr>
        <w:numPr>
          <w:ilvl w:val="0"/>
          <w:numId w:val="24"/>
        </w:numPr>
        <w:tabs>
          <w:tab w:val="left" w:pos="1440"/>
          <w:tab w:val="left" w:pos="2160"/>
        </w:tabs>
        <w:contextualSpacing/>
        <w:textAlignment w:val="auto"/>
        <w:rPr>
          <w:rFonts w:eastAsia="SimSun"/>
          <w:lang w:val="en-US" w:eastAsia="zh-CN"/>
        </w:rPr>
      </w:pPr>
      <w:r w:rsidRPr="00E90625">
        <w:rPr>
          <w:rFonts w:eastAsia="SimSun"/>
          <w:lang w:val="en-US" w:eastAsia="zh-CN"/>
        </w:rPr>
        <w:t xml:space="preserve">PDCCH on that </w:t>
      </w:r>
      <w:proofErr w:type="spellStart"/>
      <w:r w:rsidRPr="00E90625">
        <w:rPr>
          <w:rFonts w:eastAsia="SimSun"/>
          <w:lang w:val="en-US" w:eastAsia="zh-CN"/>
        </w:rPr>
        <w:t>SCell</w:t>
      </w:r>
      <w:proofErr w:type="spellEnd"/>
      <w:r w:rsidRPr="00E90625">
        <w:rPr>
          <w:rFonts w:eastAsia="SimSun"/>
          <w:lang w:val="en-US" w:eastAsia="zh-CN"/>
        </w:rPr>
        <w:t xml:space="preserve"> can schedule </w:t>
      </w:r>
      <w:proofErr w:type="spellStart"/>
      <w:r w:rsidR="006565CC" w:rsidRPr="00E90625">
        <w:rPr>
          <w:rFonts w:eastAsia="SimSun"/>
          <w:lang w:val="en-US" w:eastAsia="zh-CN"/>
        </w:rPr>
        <w:t>sPCell’s</w:t>
      </w:r>
      <w:proofErr w:type="spellEnd"/>
      <w:r w:rsidRPr="00E90625">
        <w:rPr>
          <w:rFonts w:eastAsia="SimSun"/>
          <w:lang w:val="en-US" w:eastAsia="zh-CN"/>
        </w:rPr>
        <w:t xml:space="preserve"> PDSCH and PUSCH</w:t>
      </w:r>
      <w:r w:rsidR="00562AAA">
        <w:rPr>
          <w:rFonts w:eastAsia="SimSun"/>
          <w:lang w:val="en-US" w:eastAsia="zh-CN"/>
        </w:rPr>
        <w:t>,</w:t>
      </w:r>
      <w:r w:rsidRPr="00E90625">
        <w:rPr>
          <w:rFonts w:eastAsia="SimSun"/>
          <w:lang w:val="en-US" w:eastAsia="zh-CN"/>
        </w:rPr>
        <w:t xml:space="preserve"> </w:t>
      </w:r>
    </w:p>
    <w:p w14:paraId="534A5F99" w14:textId="30BDC1F8" w:rsidR="00E90625" w:rsidRDefault="00D83643" w:rsidP="00E90625">
      <w:pPr>
        <w:numPr>
          <w:ilvl w:val="0"/>
          <w:numId w:val="24"/>
        </w:numPr>
        <w:tabs>
          <w:tab w:val="left" w:pos="1440"/>
          <w:tab w:val="left" w:pos="2160"/>
        </w:tabs>
        <w:contextualSpacing/>
        <w:textAlignment w:val="auto"/>
        <w:rPr>
          <w:rFonts w:eastAsia="SimSun"/>
          <w:lang w:val="en-US" w:eastAsia="zh-CN"/>
        </w:rPr>
      </w:pPr>
      <w:r w:rsidRPr="00E90625">
        <w:rPr>
          <w:rFonts w:eastAsia="SimSun"/>
          <w:lang w:val="en-US" w:eastAsia="zh-CN"/>
        </w:rPr>
        <w:t xml:space="preserve">PDCCH on the </w:t>
      </w:r>
      <w:proofErr w:type="spellStart"/>
      <w:r w:rsidR="006565CC" w:rsidRPr="00E90625">
        <w:rPr>
          <w:rFonts w:eastAsia="SimSun"/>
          <w:lang w:val="en-US" w:eastAsia="zh-CN"/>
        </w:rPr>
        <w:t>sPCell</w:t>
      </w:r>
      <w:proofErr w:type="spellEnd"/>
      <w:r w:rsidRPr="00E90625">
        <w:rPr>
          <w:rFonts w:eastAsia="SimSun"/>
          <w:lang w:val="en-US" w:eastAsia="zh-CN"/>
        </w:rPr>
        <w:t xml:space="preserve"> can schedule </w:t>
      </w:r>
      <w:proofErr w:type="spellStart"/>
      <w:r w:rsidR="006565CC" w:rsidRPr="00E90625">
        <w:rPr>
          <w:rFonts w:eastAsia="SimSun"/>
          <w:lang w:val="en-US" w:eastAsia="zh-CN"/>
        </w:rPr>
        <w:t>sPCell’s</w:t>
      </w:r>
      <w:proofErr w:type="spellEnd"/>
      <w:r w:rsidRPr="00E90625">
        <w:rPr>
          <w:rFonts w:eastAsia="SimSun"/>
          <w:lang w:val="en-US" w:eastAsia="zh-CN"/>
        </w:rPr>
        <w:t xml:space="preserve"> PDSCH and PUSCH but cannot schedule PDSCH and PUSCH on any other cell</w:t>
      </w:r>
      <w:r w:rsidR="00562AAA">
        <w:rPr>
          <w:rFonts w:eastAsia="SimSun"/>
          <w:lang w:val="en-US" w:eastAsia="zh-CN"/>
        </w:rPr>
        <w:t>.</w:t>
      </w:r>
      <w:r w:rsidRPr="00E90625">
        <w:rPr>
          <w:rFonts w:eastAsia="SimSun"/>
          <w:lang w:val="en-US" w:eastAsia="zh-CN"/>
        </w:rPr>
        <w:t xml:space="preserve"> </w:t>
      </w:r>
    </w:p>
    <w:p w14:paraId="251F79D4" w14:textId="4C48335A" w:rsidR="006565CC" w:rsidRDefault="006565CC" w:rsidP="00E90625">
      <w:pPr>
        <w:spacing w:after="0"/>
        <w:rPr>
          <w:bCs/>
          <w:lang w:val="en-US"/>
        </w:rPr>
      </w:pPr>
      <w:r w:rsidRPr="00D83643">
        <w:rPr>
          <w:bCs/>
          <w:lang w:val="en-US"/>
        </w:rPr>
        <w:t xml:space="preserve">Only one </w:t>
      </w:r>
      <w:proofErr w:type="spellStart"/>
      <w:r w:rsidRPr="00D83643">
        <w:rPr>
          <w:bCs/>
          <w:lang w:val="en-US"/>
        </w:rPr>
        <w:t>SCell</w:t>
      </w:r>
      <w:proofErr w:type="spellEnd"/>
      <w:r w:rsidRPr="00D83643">
        <w:rPr>
          <w:bCs/>
          <w:lang w:val="en-US"/>
        </w:rPr>
        <w:t xml:space="preserve"> can be configured to be used for cross-carrier scheduling to </w:t>
      </w:r>
      <w:proofErr w:type="spellStart"/>
      <w:r>
        <w:rPr>
          <w:bCs/>
          <w:lang w:val="en-US"/>
        </w:rPr>
        <w:t>sPCell</w:t>
      </w:r>
      <w:proofErr w:type="spellEnd"/>
      <w:r>
        <w:rPr>
          <w:bCs/>
          <w:lang w:val="en-US"/>
        </w:rPr>
        <w:t>.</w:t>
      </w:r>
    </w:p>
    <w:p w14:paraId="40DDF704" w14:textId="50CE5404" w:rsidR="00E90625" w:rsidRDefault="00FE2BE2" w:rsidP="00E90625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The </w:t>
      </w:r>
      <w:r w:rsidRPr="00E90625">
        <w:rPr>
          <w:bCs/>
          <w:lang w:val="en-US"/>
        </w:rPr>
        <w:t xml:space="preserve">maximum number of </w:t>
      </w:r>
      <w:r w:rsidR="00837DFB">
        <w:rPr>
          <w:bCs/>
          <w:lang w:val="en-US"/>
        </w:rPr>
        <w:t>monitoring</w:t>
      </w:r>
      <w:r w:rsidRPr="00E90625">
        <w:rPr>
          <w:bCs/>
          <w:lang w:val="en-US"/>
        </w:rPr>
        <w:t xml:space="preserve"> candidates and non-overlapping CCEs for PDCCH monitoring (to schedule the </w:t>
      </w:r>
      <w:proofErr w:type="spellStart"/>
      <w:r w:rsidRPr="00E90625">
        <w:rPr>
          <w:bCs/>
          <w:lang w:val="en-US"/>
        </w:rPr>
        <w:t>sPCell</w:t>
      </w:r>
      <w:proofErr w:type="spellEnd"/>
      <w:r w:rsidRPr="00E90625">
        <w:rPr>
          <w:bCs/>
          <w:lang w:val="en-US"/>
        </w:rPr>
        <w:t>)</w:t>
      </w:r>
      <w:r>
        <w:rPr>
          <w:bCs/>
          <w:lang w:val="en-US"/>
        </w:rPr>
        <w:t xml:space="preserve"> are split between </w:t>
      </w:r>
      <w:r w:rsidR="00837DFB">
        <w:rPr>
          <w:bCs/>
          <w:lang w:val="en-US"/>
        </w:rPr>
        <w:t xml:space="preserve">the </w:t>
      </w:r>
      <w:proofErr w:type="spellStart"/>
      <w:r w:rsidRPr="00E90625">
        <w:rPr>
          <w:bCs/>
          <w:lang w:val="en-US"/>
        </w:rPr>
        <w:t>sPCell</w:t>
      </w:r>
      <w:proofErr w:type="spellEnd"/>
      <w:r w:rsidRPr="00E90625">
        <w:rPr>
          <w:bCs/>
          <w:lang w:val="en-US"/>
        </w:rPr>
        <w:t xml:space="preserve"> and </w:t>
      </w:r>
      <w:r>
        <w:rPr>
          <w:bCs/>
          <w:lang w:val="en-US"/>
        </w:rPr>
        <w:t xml:space="preserve">the </w:t>
      </w:r>
      <w:proofErr w:type="spellStart"/>
      <w:r w:rsidRPr="00E90625">
        <w:rPr>
          <w:bCs/>
          <w:lang w:val="en-US"/>
        </w:rPr>
        <w:t>SCell</w:t>
      </w:r>
      <w:proofErr w:type="spellEnd"/>
      <w:r>
        <w:rPr>
          <w:bCs/>
          <w:lang w:val="en-US"/>
        </w:rPr>
        <w:t xml:space="preserve"> used for scheduling the </w:t>
      </w:r>
      <w:proofErr w:type="spellStart"/>
      <w:r>
        <w:rPr>
          <w:bCs/>
          <w:lang w:val="en-US"/>
        </w:rPr>
        <w:t>sPCell</w:t>
      </w:r>
      <w:proofErr w:type="spellEnd"/>
      <w:r>
        <w:rPr>
          <w:bCs/>
          <w:lang w:val="en-US"/>
        </w:rPr>
        <w:t>. The split is indicated via an RRC configured scaling factor.</w:t>
      </w:r>
    </w:p>
    <w:p w14:paraId="167A02AF" w14:textId="77777777" w:rsidR="005C455C" w:rsidRDefault="005C455C" w:rsidP="00E90625">
      <w:pPr>
        <w:spacing w:after="0"/>
        <w:rPr>
          <w:bCs/>
          <w:lang w:val="en-US"/>
        </w:rPr>
      </w:pPr>
    </w:p>
    <w:p w14:paraId="5A4BEA58" w14:textId="58AEF4CE" w:rsidR="005C455C" w:rsidRDefault="005C455C" w:rsidP="00E90625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Note: </w:t>
      </w:r>
      <w:proofErr w:type="spellStart"/>
      <w:r>
        <w:t>sPCell</w:t>
      </w:r>
      <w:proofErr w:type="spellEnd"/>
      <w:r>
        <w:t xml:space="preserve"> refers to ‘</w:t>
      </w:r>
      <w:r w:rsidRPr="006565CC">
        <w:t>Special Cell</w:t>
      </w:r>
      <w:r>
        <w:t xml:space="preserve">’. </w:t>
      </w:r>
      <w:r w:rsidRPr="006565CC">
        <w:t xml:space="preserve">For Dual Connectivity operation the term Special Cell refers to the </w:t>
      </w:r>
      <w:proofErr w:type="spellStart"/>
      <w:r w:rsidRPr="006565CC">
        <w:t>PCell</w:t>
      </w:r>
      <w:proofErr w:type="spellEnd"/>
      <w:r w:rsidRPr="006565CC">
        <w:t xml:space="preserve"> of the MCG or the </w:t>
      </w:r>
      <w:proofErr w:type="spellStart"/>
      <w:r w:rsidRPr="006565CC">
        <w:t>PSCell</w:t>
      </w:r>
      <w:proofErr w:type="spellEnd"/>
      <w:r w:rsidRPr="006565CC">
        <w:t xml:space="preserve"> of the SCG, otherwise the term Special Cell refers to the </w:t>
      </w:r>
      <w:proofErr w:type="spellStart"/>
      <w:r w:rsidRPr="006565CC">
        <w:t>PCell</w:t>
      </w:r>
      <w:proofErr w:type="spellEnd"/>
      <w:r w:rsidRPr="006565CC">
        <w:t>.</w:t>
      </w:r>
    </w:p>
    <w:p w14:paraId="3A913EF0" w14:textId="77777777" w:rsidR="00E90625" w:rsidRDefault="00E90625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>
        <w:br w:type="page"/>
      </w:r>
    </w:p>
    <w:p w14:paraId="2AD10CF0" w14:textId="385546FE" w:rsidR="00916091" w:rsidRDefault="00916091" w:rsidP="00916091">
      <w:pPr>
        <w:pStyle w:val="Heading3"/>
      </w:pPr>
      <w:r>
        <w:lastRenderedPageBreak/>
        <w:t>3</w:t>
      </w:r>
      <w:r w:rsidRPr="00A079D3">
        <w:tab/>
      </w:r>
      <w:r w:rsidR="004B3C92">
        <w:t>References</w:t>
      </w:r>
    </w:p>
    <w:p w14:paraId="46C0D13D" w14:textId="117A430A" w:rsidR="00E34FB0" w:rsidRDefault="00A65273" w:rsidP="00A65273">
      <w:pPr>
        <w:spacing w:after="0"/>
      </w:pPr>
      <w:r>
        <w:t>[1]</w:t>
      </w:r>
      <w:r w:rsidR="00FE2BE2">
        <w:tab/>
      </w:r>
      <w:r w:rsidR="00FE2BE2" w:rsidRPr="00FE2BE2">
        <w:t>RP-211345</w:t>
      </w:r>
      <w:r w:rsidR="007E4418">
        <w:t xml:space="preserve"> - </w:t>
      </w:r>
      <w:r w:rsidR="00FE2BE2" w:rsidRPr="00FE2BE2">
        <w:t>“Revised WID on NR Dynamic spectrum sharing (DSS)”, Ericsson, RAN1#92e.</w:t>
      </w:r>
    </w:p>
    <w:p w14:paraId="7D33262E" w14:textId="534EAD9A" w:rsidR="00FE2BE2" w:rsidRDefault="00FE2BE2" w:rsidP="00A65273">
      <w:pPr>
        <w:spacing w:after="0"/>
      </w:pPr>
      <w:r>
        <w:t>[2]</w:t>
      </w:r>
      <w:r>
        <w:tab/>
      </w:r>
      <w:r w:rsidR="007E4418" w:rsidRPr="007E4418">
        <w:t>R1-2112929</w:t>
      </w:r>
      <w:r w:rsidR="007E4418">
        <w:t xml:space="preserve"> – “I</w:t>
      </w:r>
      <w:r w:rsidR="007E4418" w:rsidRPr="007E4418">
        <w:t>ntroduction of dynamic spectrum sharing enhancements in NR</w:t>
      </w:r>
      <w:r w:rsidR="007E4418">
        <w:t>”, CR to 38.213, RAN1#107e.</w:t>
      </w:r>
    </w:p>
    <w:p w14:paraId="073523D6" w14:textId="391CB5A3" w:rsidR="007E4418" w:rsidRDefault="007E4418" w:rsidP="00A65273">
      <w:pPr>
        <w:spacing w:after="0"/>
      </w:pPr>
      <w:r>
        <w:t>[3]</w:t>
      </w:r>
      <w:r>
        <w:tab/>
      </w:r>
      <w:r w:rsidRPr="007E4418">
        <w:t>R1-2112962</w:t>
      </w:r>
      <w:r>
        <w:t xml:space="preserve"> – “</w:t>
      </w:r>
      <w:r w:rsidRPr="007E4418">
        <w:t>Introduction of NR dynamic spectrum sharing</w:t>
      </w:r>
      <w:r>
        <w:t>”, CR to 38.212, RAN1#107e.</w:t>
      </w:r>
    </w:p>
    <w:p w14:paraId="4B099C6D" w14:textId="2ED918C3" w:rsidR="007E4418" w:rsidRDefault="007E4418" w:rsidP="00A65273">
      <w:pPr>
        <w:spacing w:after="0"/>
      </w:pPr>
      <w:r>
        <w:t>[4]</w:t>
      </w:r>
      <w:r>
        <w:tab/>
      </w:r>
      <w:r w:rsidRPr="007E4418">
        <w:t>R2-2203842</w:t>
      </w:r>
      <w:r>
        <w:t xml:space="preserve"> – “</w:t>
      </w:r>
      <w:r w:rsidRPr="007E4418">
        <w:t>Introduction of NR dynamic spectrum sharing</w:t>
      </w:r>
      <w:r>
        <w:t>” CR to 38.300, RAN2#117e.</w:t>
      </w:r>
    </w:p>
    <w:p w14:paraId="1749B7A3" w14:textId="4CBD53A5" w:rsidR="007E4418" w:rsidRPr="00B37D22" w:rsidRDefault="007E4418" w:rsidP="00A65273">
      <w:pPr>
        <w:spacing w:after="0"/>
      </w:pPr>
      <w:r w:rsidRPr="00B37D22">
        <w:t>[5]</w:t>
      </w:r>
      <w:r w:rsidRPr="00B37D22">
        <w:tab/>
        <w:t>R2-2203843 – “Introduction of NR dynamic spectrum sharing” CR to 38.331, RAN2#117e.</w:t>
      </w:r>
    </w:p>
    <w:p w14:paraId="163EC3B3" w14:textId="31A7FF73" w:rsidR="00864908" w:rsidRPr="00C246BA" w:rsidRDefault="00864908" w:rsidP="00A65273">
      <w:pPr>
        <w:spacing w:after="0"/>
      </w:pPr>
      <w:r w:rsidRPr="00B37D22">
        <w:t>[6]</w:t>
      </w:r>
      <w:r w:rsidRPr="00B37D22">
        <w:tab/>
        <w:t>RP-22</w:t>
      </w:r>
      <w:r w:rsidR="00B37D22">
        <w:t>0463</w:t>
      </w:r>
      <w:r w:rsidRPr="00B37D22">
        <w:t xml:space="preserve"> – “Status report for WI: Core part: NR Dynamic spectrum sharing (DSS)”, Ericsson, RAN#95e.</w:t>
      </w:r>
    </w:p>
    <w:p w14:paraId="694CD68D" w14:textId="77777777" w:rsidR="00403956" w:rsidRDefault="00403956" w:rsidP="003A22D6">
      <w:pPr>
        <w:spacing w:after="0"/>
        <w:ind w:left="567" w:hanging="567"/>
      </w:pPr>
    </w:p>
    <w:p w14:paraId="1E3378D9" w14:textId="77777777" w:rsidR="00087B34" w:rsidRPr="00B734DA" w:rsidRDefault="00087B34" w:rsidP="001914EE">
      <w:pPr>
        <w:spacing w:after="0"/>
        <w:ind w:left="567" w:hanging="567"/>
      </w:pPr>
    </w:p>
    <w:p w14:paraId="517D9454" w14:textId="77777777" w:rsidR="001914EE" w:rsidRPr="00B734DA" w:rsidRDefault="001914EE" w:rsidP="00C246BA">
      <w:pPr>
        <w:spacing w:after="0"/>
        <w:ind w:left="567" w:hanging="567"/>
      </w:pPr>
    </w:p>
    <w:p w14:paraId="59B03986" w14:textId="77777777" w:rsidR="00C246BA" w:rsidRPr="004345A1" w:rsidRDefault="00C246BA" w:rsidP="00A65273">
      <w:pPr>
        <w:spacing w:after="0"/>
      </w:pPr>
    </w:p>
    <w:sectPr w:rsidR="00C246BA" w:rsidRPr="004345A1" w:rsidSect="00F35990">
      <w:footerReference w:type="default" r:id="rId11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893E8" w14:textId="77777777" w:rsidR="00A0320D" w:rsidRDefault="00A0320D">
      <w:r>
        <w:separator/>
      </w:r>
    </w:p>
  </w:endnote>
  <w:endnote w:type="continuationSeparator" w:id="0">
    <w:p w14:paraId="344C60C4" w14:textId="77777777" w:rsidR="00A0320D" w:rsidRDefault="00A0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F77C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4C0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4C0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4FAC5" w14:textId="77777777" w:rsidR="00A0320D" w:rsidRDefault="00A0320D">
      <w:r>
        <w:separator/>
      </w:r>
    </w:p>
  </w:footnote>
  <w:footnote w:type="continuationSeparator" w:id="0">
    <w:p w14:paraId="015FB508" w14:textId="77777777" w:rsidR="00A0320D" w:rsidRDefault="00A03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228B6657"/>
    <w:multiLevelType w:val="hybridMultilevel"/>
    <w:tmpl w:val="C3BE0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93CB3"/>
    <w:multiLevelType w:val="hybridMultilevel"/>
    <w:tmpl w:val="DC9ABB1A"/>
    <w:lvl w:ilvl="0" w:tplc="8716F58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616F42"/>
    <w:multiLevelType w:val="hybridMultilevel"/>
    <w:tmpl w:val="D8B2A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C6DC0"/>
    <w:multiLevelType w:val="hybridMultilevel"/>
    <w:tmpl w:val="55A4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74441321"/>
    <w:multiLevelType w:val="multilevel"/>
    <w:tmpl w:val="D144C8B4"/>
    <w:lvl w:ilvl="0">
      <w:start w:val="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7"/>
  </w:num>
  <w:num w:numId="4">
    <w:abstractNumId w:val="6"/>
  </w:num>
  <w:num w:numId="5">
    <w:abstractNumId w:val="13"/>
  </w:num>
  <w:num w:numId="6">
    <w:abstractNumId w:val="5"/>
  </w:num>
  <w:num w:numId="7">
    <w:abstractNumId w:val="14"/>
  </w:num>
  <w:num w:numId="8">
    <w:abstractNumId w:val="16"/>
  </w:num>
  <w:num w:numId="9">
    <w:abstractNumId w:val="18"/>
  </w:num>
  <w:num w:numId="10">
    <w:abstractNumId w:val="11"/>
  </w:num>
  <w:num w:numId="11">
    <w:abstractNumId w:val="8"/>
  </w:num>
  <w:num w:numId="12">
    <w:abstractNumId w:val="0"/>
  </w:num>
  <w:num w:numId="13">
    <w:abstractNumId w:val="1"/>
  </w:num>
  <w:num w:numId="14">
    <w:abstractNumId w:val="15"/>
  </w:num>
  <w:num w:numId="15">
    <w:abstractNumId w:val="10"/>
  </w:num>
  <w:num w:numId="16">
    <w:abstractNumId w:val="9"/>
  </w:num>
  <w:num w:numId="17">
    <w:abstractNumId w:val="12"/>
  </w:num>
  <w:num w:numId="18">
    <w:abstractNumId w:val="21"/>
  </w:num>
  <w:num w:numId="19">
    <w:abstractNumId w:val="19"/>
  </w:num>
  <w:num w:numId="20">
    <w:abstractNumId w:val="3"/>
  </w:num>
  <w:num w:numId="2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7"/>
  </w:num>
  <w:num w:numId="23">
    <w:abstractNumId w:val="4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1FBF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B8A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87B34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4CB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4E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0F7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0DC"/>
    <w:rsid w:val="00160D86"/>
    <w:rsid w:val="001613C8"/>
    <w:rsid w:val="00161427"/>
    <w:rsid w:val="001620B8"/>
    <w:rsid w:val="00162BF0"/>
    <w:rsid w:val="001630BE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1E4B"/>
    <w:rsid w:val="00182214"/>
    <w:rsid w:val="00183653"/>
    <w:rsid w:val="0018410C"/>
    <w:rsid w:val="001849CC"/>
    <w:rsid w:val="0018538D"/>
    <w:rsid w:val="00186D2D"/>
    <w:rsid w:val="00187BD8"/>
    <w:rsid w:val="00187C3A"/>
    <w:rsid w:val="001913EE"/>
    <w:rsid w:val="001914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4BDA"/>
    <w:rsid w:val="001A5051"/>
    <w:rsid w:val="001A6598"/>
    <w:rsid w:val="001A6DD8"/>
    <w:rsid w:val="001A6EFA"/>
    <w:rsid w:val="001B08ED"/>
    <w:rsid w:val="001B0CDF"/>
    <w:rsid w:val="001B140D"/>
    <w:rsid w:val="001B2679"/>
    <w:rsid w:val="001B36B4"/>
    <w:rsid w:val="001B3F71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B10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AD3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4EFC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4A1"/>
    <w:rsid w:val="0028650A"/>
    <w:rsid w:val="0028706D"/>
    <w:rsid w:val="00290214"/>
    <w:rsid w:val="002906A4"/>
    <w:rsid w:val="0029177C"/>
    <w:rsid w:val="0029276D"/>
    <w:rsid w:val="002927C5"/>
    <w:rsid w:val="00292FA2"/>
    <w:rsid w:val="002932DC"/>
    <w:rsid w:val="002936D6"/>
    <w:rsid w:val="00293760"/>
    <w:rsid w:val="00294B1A"/>
    <w:rsid w:val="00295F37"/>
    <w:rsid w:val="00295FC6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6BBB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08AA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D8E"/>
    <w:rsid w:val="00302FEE"/>
    <w:rsid w:val="00303AB6"/>
    <w:rsid w:val="003040E8"/>
    <w:rsid w:val="00304746"/>
    <w:rsid w:val="00305365"/>
    <w:rsid w:val="00307188"/>
    <w:rsid w:val="00307AA9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2009"/>
    <w:rsid w:val="003A22D6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2C78"/>
    <w:rsid w:val="003F35F5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3956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2DF1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803"/>
    <w:rsid w:val="004203FD"/>
    <w:rsid w:val="00420406"/>
    <w:rsid w:val="00421509"/>
    <w:rsid w:val="004219F8"/>
    <w:rsid w:val="00422E23"/>
    <w:rsid w:val="0042324D"/>
    <w:rsid w:val="00425499"/>
    <w:rsid w:val="00425735"/>
    <w:rsid w:val="00425A95"/>
    <w:rsid w:val="00425E55"/>
    <w:rsid w:val="00426231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769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503"/>
    <w:rsid w:val="004D098A"/>
    <w:rsid w:val="004D0CF8"/>
    <w:rsid w:val="004D0E01"/>
    <w:rsid w:val="004D0E71"/>
    <w:rsid w:val="004D1063"/>
    <w:rsid w:val="004D16F3"/>
    <w:rsid w:val="004D2429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726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27AD5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5D1"/>
    <w:rsid w:val="005409FB"/>
    <w:rsid w:val="00541942"/>
    <w:rsid w:val="00541B7F"/>
    <w:rsid w:val="0054279B"/>
    <w:rsid w:val="005427BD"/>
    <w:rsid w:val="00542BAA"/>
    <w:rsid w:val="00542BC8"/>
    <w:rsid w:val="00542C79"/>
    <w:rsid w:val="00543680"/>
    <w:rsid w:val="00543F14"/>
    <w:rsid w:val="005453A8"/>
    <w:rsid w:val="00545802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2AAA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DE1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455C"/>
    <w:rsid w:val="005C5255"/>
    <w:rsid w:val="005C547E"/>
    <w:rsid w:val="005C5E75"/>
    <w:rsid w:val="005C6982"/>
    <w:rsid w:val="005C74AD"/>
    <w:rsid w:val="005C7A6F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B4C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4B7B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65CC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67814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3482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0FC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1C8"/>
    <w:rsid w:val="007819BE"/>
    <w:rsid w:val="00781AF8"/>
    <w:rsid w:val="0078222A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3C2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968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4418"/>
    <w:rsid w:val="007E65D1"/>
    <w:rsid w:val="007E6884"/>
    <w:rsid w:val="007E6DDB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4C07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37DFB"/>
    <w:rsid w:val="00840653"/>
    <w:rsid w:val="00842DC9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2CDF"/>
    <w:rsid w:val="0086319F"/>
    <w:rsid w:val="008631E1"/>
    <w:rsid w:val="0086388F"/>
    <w:rsid w:val="00864908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6FB6"/>
    <w:rsid w:val="00897267"/>
    <w:rsid w:val="0089728D"/>
    <w:rsid w:val="00897586"/>
    <w:rsid w:val="00897818"/>
    <w:rsid w:val="00897875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45D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8F1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CBE"/>
    <w:rsid w:val="00952E73"/>
    <w:rsid w:val="00952F5B"/>
    <w:rsid w:val="00953054"/>
    <w:rsid w:val="00953C38"/>
    <w:rsid w:val="00953C90"/>
    <w:rsid w:val="00954B95"/>
    <w:rsid w:val="00956A96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4CEF"/>
    <w:rsid w:val="009857B5"/>
    <w:rsid w:val="00985B83"/>
    <w:rsid w:val="00986B97"/>
    <w:rsid w:val="00987513"/>
    <w:rsid w:val="00990372"/>
    <w:rsid w:val="009912BD"/>
    <w:rsid w:val="00991D3B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0D49"/>
    <w:rsid w:val="009B1120"/>
    <w:rsid w:val="009B1149"/>
    <w:rsid w:val="009B17BC"/>
    <w:rsid w:val="009B1DD5"/>
    <w:rsid w:val="009B404E"/>
    <w:rsid w:val="009B43AB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89D"/>
    <w:rsid w:val="009D2AE1"/>
    <w:rsid w:val="009D35BE"/>
    <w:rsid w:val="009D3A29"/>
    <w:rsid w:val="009D5E0A"/>
    <w:rsid w:val="009D6140"/>
    <w:rsid w:val="009D6F34"/>
    <w:rsid w:val="009D74FC"/>
    <w:rsid w:val="009E19C4"/>
    <w:rsid w:val="009E1BCD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20D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CE9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5240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4E58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D22"/>
    <w:rsid w:val="00B37E32"/>
    <w:rsid w:val="00B4016D"/>
    <w:rsid w:val="00B40EAA"/>
    <w:rsid w:val="00B42195"/>
    <w:rsid w:val="00B42583"/>
    <w:rsid w:val="00B4426E"/>
    <w:rsid w:val="00B44569"/>
    <w:rsid w:val="00B44AF0"/>
    <w:rsid w:val="00B4514D"/>
    <w:rsid w:val="00B451FA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67E59"/>
    <w:rsid w:val="00B70E9E"/>
    <w:rsid w:val="00B717CA"/>
    <w:rsid w:val="00B72354"/>
    <w:rsid w:val="00B731EA"/>
    <w:rsid w:val="00B732E8"/>
    <w:rsid w:val="00B734DA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05E7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B87"/>
    <w:rsid w:val="00BD3F8F"/>
    <w:rsid w:val="00BD422D"/>
    <w:rsid w:val="00BD43C0"/>
    <w:rsid w:val="00BD4B5F"/>
    <w:rsid w:val="00BD510F"/>
    <w:rsid w:val="00BD54CA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5E87"/>
    <w:rsid w:val="00BE6642"/>
    <w:rsid w:val="00BE7852"/>
    <w:rsid w:val="00BE7BA6"/>
    <w:rsid w:val="00BF0050"/>
    <w:rsid w:val="00BF1282"/>
    <w:rsid w:val="00BF2ABB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1E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6B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0ECB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27F3F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1B6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643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413"/>
    <w:rsid w:val="00DA18E9"/>
    <w:rsid w:val="00DA1E33"/>
    <w:rsid w:val="00DA1FA2"/>
    <w:rsid w:val="00DA1FB2"/>
    <w:rsid w:val="00DA4159"/>
    <w:rsid w:val="00DA4A0D"/>
    <w:rsid w:val="00DA5D17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4ED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BB7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B30"/>
    <w:rsid w:val="00E31D61"/>
    <w:rsid w:val="00E34812"/>
    <w:rsid w:val="00E34FB0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0F9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05E0"/>
    <w:rsid w:val="00E90625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A7CEE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2BE2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9FC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65A35B"/>
  <w15:chartTrackingRefBased/>
  <w15:docId w15:val="{29E9E25F-20F7-4003-8AD2-34A03EAB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Zchn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B0D49"/>
    <w:rPr>
      <w:rFonts w:ascii="Calibri" w:eastAsia="Calibri" w:hAnsi="Calibri"/>
      <w:sz w:val="24"/>
      <w:szCs w:val="24"/>
      <w:lang w:val="fi-FI" w:eastAsia="fi-FI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B0D49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="Calibri" w:eastAsia="Calibri" w:hAnsi="Calibri"/>
      <w:sz w:val="24"/>
      <w:szCs w:val="24"/>
      <w:lang w:val="fi-FI" w:eastAsia="fi-FI"/>
    </w:rPr>
  </w:style>
  <w:style w:type="character" w:customStyle="1" w:styleId="B1Zchn">
    <w:name w:val="B1 Zchn"/>
    <w:link w:val="B1"/>
    <w:locked/>
    <w:rsid w:val="00D83643"/>
    <w:rPr>
      <w:rFonts w:eastAsia="Times New Roman"/>
      <w:lang w:eastAsia="en-US"/>
    </w:rPr>
  </w:style>
  <w:style w:type="character" w:customStyle="1" w:styleId="B2Char">
    <w:name w:val="B2 Char"/>
    <w:link w:val="B2"/>
    <w:qFormat/>
    <w:locked/>
    <w:rsid w:val="00D8364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8034b419c914727e1160ed94b94e329c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4c02c460642b03477346a31f864d2654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8E8748-E6C1-4F1C-86D7-7A1A521C7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89D6A6-8042-455E-B395-40041DDD8E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3EC15B-93E7-404F-B663-6072434ECE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E7BF83-94C0-413F-AD50-2661469EA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dc:description/>
  <cp:lastModifiedBy>Ericsson1</cp:lastModifiedBy>
  <cp:revision>3</cp:revision>
  <cp:lastPrinted>2014-08-13T14:20:00Z</cp:lastPrinted>
  <dcterms:created xsi:type="dcterms:W3CDTF">2022-03-11T03:10:00Z</dcterms:created>
  <dcterms:modified xsi:type="dcterms:W3CDTF">2022-03-11T03:11:00Z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