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6DB46" w14:textId="6EFFA5C1"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671C17">
        <w:rPr>
          <w:b/>
          <w:noProof/>
          <w:sz w:val="24"/>
        </w:rPr>
        <w:t>08</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2341C4">
        <w:rPr>
          <w:b/>
          <w:i/>
          <w:noProof/>
          <w:sz w:val="28"/>
        </w:rPr>
        <w:t>0</w:t>
      </w:r>
      <w:r w:rsidR="00205346" w:rsidRPr="00205346">
        <w:rPr>
          <w:b/>
          <w:i/>
          <w:noProof/>
          <w:sz w:val="28"/>
        </w:rPr>
        <w:t>2751</w:t>
      </w:r>
      <w:r w:rsidRPr="00824089">
        <w:rPr>
          <w:b/>
          <w:i/>
          <w:noProof/>
          <w:sz w:val="28"/>
        </w:rPr>
        <w:t xml:space="preserve"> </w:t>
      </w:r>
      <w:r w:rsidRPr="00824089">
        <w:rPr>
          <w:b/>
          <w:i/>
          <w:noProof/>
          <w:sz w:val="28"/>
        </w:rPr>
        <w:fldChar w:fldCharType="end"/>
      </w:r>
    </w:p>
    <w:p w14:paraId="1486ED04" w14:textId="1B6DC9DA"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Pr="00824089">
        <w:rPr>
          <w:b/>
          <w:noProof/>
          <w:sz w:val="24"/>
        </w:rPr>
        <w:t xml:space="preserve"> </w:t>
      </w:r>
      <w:r w:rsidR="001F360B">
        <w:rPr>
          <w:b/>
          <w:noProof/>
          <w:sz w:val="24"/>
        </w:rPr>
        <w:t>Feburay 21</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1F360B">
        <w:rPr>
          <w:b/>
          <w:noProof/>
          <w:sz w:val="24"/>
        </w:rPr>
        <w:t>March</w:t>
      </w:r>
      <w:r w:rsidRPr="00824089">
        <w:rPr>
          <w:b/>
          <w:noProof/>
          <w:sz w:val="24"/>
        </w:rPr>
        <w:t xml:space="preserve"> </w:t>
      </w:r>
      <w:r w:rsidR="001F360B">
        <w:rPr>
          <w:b/>
          <w:noProof/>
          <w:sz w:val="24"/>
        </w:rPr>
        <w:t>3</w:t>
      </w:r>
      <w:r w:rsidR="00AA75F9">
        <w:rPr>
          <w:b/>
          <w:noProof/>
          <w:sz w:val="24"/>
          <w:vertAlign w:val="superscript"/>
        </w:rPr>
        <w:t>r</w:t>
      </w:r>
      <w:r w:rsidR="001F360B" w:rsidRPr="001F360B">
        <w:rPr>
          <w:b/>
          <w:noProof/>
          <w:sz w:val="24"/>
          <w:vertAlign w:val="superscript"/>
        </w:rPr>
        <w:t>d</w:t>
      </w:r>
      <w:r w:rsidRPr="00824089">
        <w:rPr>
          <w:b/>
          <w:noProof/>
          <w:sz w:val="24"/>
        </w:rPr>
        <w:fldChar w:fldCharType="end"/>
      </w:r>
      <w:r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23A0E861" w:rsidR="00B24AC6" w:rsidRPr="00410371" w:rsidRDefault="002341C4" w:rsidP="002341C4">
            <w:pPr>
              <w:pStyle w:val="CRCoverPage"/>
              <w:spacing w:after="0"/>
              <w:jc w:val="center"/>
              <w:rPr>
                <w:noProof/>
              </w:rPr>
            </w:pPr>
            <w:r w:rsidRPr="002341C4">
              <w:rPr>
                <w:b/>
                <w:noProof/>
                <w:sz w:val="28"/>
                <w:lang w:eastAsia="zh-CN"/>
              </w:rPr>
              <w:t>0247</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6A83BEB8"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F3296">
              <w:rPr>
                <w:b/>
                <w:noProof/>
                <w:sz w:val="28"/>
              </w:rPr>
              <w:t>6</w:t>
            </w:r>
            <w:r>
              <w:rPr>
                <w:b/>
                <w:noProof/>
                <w:sz w:val="28"/>
              </w:rPr>
              <w:t>.</w:t>
            </w:r>
            <w:r w:rsidR="00A14EDB">
              <w:rPr>
                <w:b/>
                <w:noProof/>
                <w:sz w:val="28"/>
              </w:rPr>
              <w:t>8</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CC393F5" w:rsidR="00B24AC6" w:rsidRDefault="00FD0AED" w:rsidP="00DD1958">
            <w:pPr>
              <w:pStyle w:val="CRCoverPage"/>
              <w:spacing w:after="0"/>
              <w:ind w:left="65"/>
              <w:rPr>
                <w:noProof/>
              </w:rPr>
            </w:pPr>
            <w:r>
              <w:rPr>
                <w:noProof/>
                <w:lang w:eastAsia="zh-CN"/>
              </w:rPr>
              <w:t>CR on c</w:t>
            </w:r>
            <w:r w:rsidR="00037A0A">
              <w:rPr>
                <w:noProof/>
                <w:lang w:eastAsia="zh-CN"/>
              </w:rPr>
              <w:t>orrection</w:t>
            </w:r>
            <w:r w:rsidR="005A6F15" w:rsidRPr="005A6F15">
              <w:rPr>
                <w:noProof/>
                <w:lang w:eastAsia="zh-CN"/>
              </w:rPr>
              <w:t xml:space="preserve"> </w:t>
            </w:r>
            <w:r w:rsidR="00037A0A">
              <w:rPr>
                <w:noProof/>
                <w:lang w:eastAsia="zh-CN"/>
              </w:rPr>
              <w:t>of</w:t>
            </w:r>
            <w:r w:rsidR="005A6F15" w:rsidRPr="005A6F15">
              <w:rPr>
                <w:noProof/>
                <w:lang w:eastAsia="zh-CN"/>
              </w:rPr>
              <w:t xml:space="preserve"> indicated TCI states for single-DCI based MTRP schemes</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37843B91" w:rsidR="00B24AC6" w:rsidRDefault="00205346" w:rsidP="00891B22">
            <w:pPr>
              <w:pStyle w:val="CRCoverPage"/>
              <w:spacing w:after="0"/>
              <w:ind w:left="100"/>
              <w:rPr>
                <w:noProof/>
              </w:rPr>
            </w:pPr>
            <w:r>
              <w:rPr>
                <w:noProof/>
              </w:rPr>
              <w:t>Moderator (</w:t>
            </w:r>
            <w:r w:rsidR="00B24AC6">
              <w:rPr>
                <w:noProof/>
              </w:rPr>
              <w:fldChar w:fldCharType="begin"/>
            </w:r>
            <w:r w:rsidR="00B24AC6">
              <w:rPr>
                <w:noProof/>
              </w:rPr>
              <w:instrText xml:space="preserve"> DOCPROPERTY  SourceIfWg  \* MERGEFORMAT </w:instrText>
            </w:r>
            <w:r w:rsidR="00B24AC6">
              <w:rPr>
                <w:noProof/>
              </w:rPr>
              <w:fldChar w:fldCharType="separate"/>
            </w:r>
            <w:r w:rsidR="00B24AC6">
              <w:rPr>
                <w:noProof/>
              </w:rPr>
              <w:t>vivo</w:t>
            </w:r>
            <w:r w:rsidR="00B24AC6">
              <w:rPr>
                <w:noProof/>
              </w:rPr>
              <w:fldChar w:fldCharType="end"/>
            </w:r>
            <w:r>
              <w:rPr>
                <w:noProof/>
              </w:rPr>
              <w:t>)</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35808F1A" w:rsidR="00B24AC6" w:rsidRDefault="00B24AC6" w:rsidP="00824089">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599F68DE"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24089" w:rsidRPr="00824089">
              <w:rPr>
                <w:noProof/>
                <w:lang w:eastAsia="fr-FR"/>
              </w:rPr>
              <w:t>NR_eMIMO-Core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730E899A"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2341C4">
              <w:rPr>
                <w:noProof/>
              </w:rPr>
              <w:t>3</w:t>
            </w:r>
            <w:r w:rsidRPr="00824089">
              <w:rPr>
                <w:noProof/>
              </w:rPr>
              <w:t>-</w:t>
            </w:r>
            <w:r w:rsidR="002341C4">
              <w:rPr>
                <w:noProof/>
              </w:rPr>
              <w:t>01</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684F09C9" w:rsidR="00B24AC6" w:rsidRDefault="00B24AC6" w:rsidP="00891B22">
            <w:pPr>
              <w:pStyle w:val="CRCoverPage"/>
              <w:spacing w:after="0"/>
              <w:ind w:left="100"/>
              <w:rPr>
                <w:noProof/>
                <w:lang w:eastAsia="zh-CN"/>
              </w:rPr>
            </w:pPr>
            <w:r>
              <w:rPr>
                <w:i/>
                <w:noProof/>
                <w:sz w:val="18"/>
              </w:rPr>
              <w:t>Rel-1</w:t>
            </w:r>
            <w:r w:rsidR="00FF3296">
              <w:rPr>
                <w:i/>
                <w:noProof/>
                <w:sz w:val="18"/>
              </w:rPr>
              <w:t>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24E8EF0F" w:rsidR="00FF3296" w:rsidRPr="007D00CD" w:rsidRDefault="00AB7D92" w:rsidP="0044345D">
            <w:pPr>
              <w:pStyle w:val="CRCoverPage"/>
              <w:spacing w:after="0"/>
              <w:jc w:val="both"/>
              <w:rPr>
                <w:rFonts w:eastAsia="SimSun"/>
                <w:lang w:val="en-US" w:eastAsia="zh-CN"/>
              </w:rPr>
            </w:pPr>
            <w:r>
              <w:rPr>
                <w:rFonts w:eastAsia="SimSun"/>
                <w:lang w:val="en-US" w:eastAsia="zh-CN"/>
              </w:rPr>
              <w:t>Rel-16 has introduced single</w:t>
            </w:r>
            <w:r w:rsidR="006362D6" w:rsidRPr="004135A5">
              <w:rPr>
                <w:rFonts w:eastAsia="SimSun"/>
                <w:lang w:val="en-US" w:eastAsia="zh-CN"/>
              </w:rPr>
              <w:t xml:space="preserve">-PDCCH based MTRP </w:t>
            </w:r>
            <w:r>
              <w:rPr>
                <w:rFonts w:eastAsia="SimSun" w:hint="eastAsia"/>
                <w:lang w:val="en-US" w:eastAsia="zh-CN"/>
              </w:rPr>
              <w:t>scheme</w:t>
            </w:r>
            <w:r>
              <w:rPr>
                <w:rFonts w:eastAsia="SimSun"/>
                <w:lang w:val="en-US" w:eastAsia="zh-CN"/>
              </w:rPr>
              <w:t xml:space="preserve">s such as scheme 1a </w:t>
            </w:r>
            <w:r>
              <w:rPr>
                <w:rFonts w:eastAsia="SimSun" w:hint="eastAsia"/>
                <w:lang w:val="en-US" w:eastAsia="zh-CN"/>
              </w:rPr>
              <w:t>(</w:t>
            </w:r>
            <w:r>
              <w:rPr>
                <w:rFonts w:eastAsia="SimSun"/>
                <w:lang w:val="en-US" w:eastAsia="zh-CN"/>
              </w:rPr>
              <w:t>SDM), scheme 2a/2b (FDM), scheme 3 (intra-slot TDM) and scheme 4 (inter-slot TDM), where two TCI states are indicated by a single DCI.</w:t>
            </w:r>
            <w:r w:rsidR="007D00CD">
              <w:rPr>
                <w:rFonts w:eastAsia="SimSun"/>
                <w:lang w:val="en-US" w:eastAsia="zh-CN"/>
              </w:rPr>
              <w:t xml:space="preserve"> However, which activ</w:t>
            </w:r>
            <w:r w:rsidR="0044345D">
              <w:rPr>
                <w:rFonts w:eastAsia="SimSun"/>
                <w:lang w:val="en-US" w:eastAsia="zh-CN"/>
              </w:rPr>
              <w:t xml:space="preserve">ated TCI states </w:t>
            </w:r>
            <w:r w:rsidR="007D00CD" w:rsidRPr="007D00CD">
              <w:rPr>
                <w:rFonts w:eastAsia="SimSun"/>
                <w:lang w:val="en-US" w:eastAsia="zh-CN"/>
              </w:rPr>
              <w:t>the indicated TCI state</w:t>
            </w:r>
            <w:r w:rsidR="0044345D">
              <w:rPr>
                <w:rFonts w:eastAsia="SimSun"/>
                <w:lang w:val="en-US" w:eastAsia="zh-CN"/>
              </w:rPr>
              <w:t>s</w:t>
            </w:r>
            <w:r w:rsidR="007D00CD" w:rsidRPr="007D00CD">
              <w:rPr>
                <w:rFonts w:eastAsia="SimSun"/>
                <w:lang w:val="en-US" w:eastAsia="zh-CN"/>
              </w:rPr>
              <w:t xml:space="preserve"> </w:t>
            </w:r>
            <w:r w:rsidR="0044345D">
              <w:rPr>
                <w:rFonts w:eastAsia="SimSun"/>
                <w:lang w:val="en-US" w:eastAsia="zh-CN"/>
              </w:rPr>
              <w:t>shou</w:t>
            </w:r>
            <w:r w:rsidR="007D00CD" w:rsidRPr="007D00CD">
              <w:rPr>
                <w:rFonts w:eastAsia="SimSun"/>
                <w:lang w:val="en-US" w:eastAsia="zh-CN"/>
              </w:rPr>
              <w:t>ld be based on</w:t>
            </w:r>
            <w:r w:rsidR="0044345D">
              <w:rPr>
                <w:rFonts w:eastAsia="SimSun"/>
                <w:lang w:val="en-US" w:eastAsia="zh-CN"/>
              </w:rPr>
              <w:t xml:space="preserve"> for</w:t>
            </w:r>
            <w:r w:rsidR="007D00CD" w:rsidRPr="007D00CD">
              <w:rPr>
                <w:rFonts w:eastAsia="SimSun"/>
                <w:lang w:val="en-US" w:eastAsia="zh-CN"/>
              </w:rPr>
              <w:t xml:space="preserve"> the scheduled PDSCH</w:t>
            </w:r>
            <w:r w:rsidR="0044345D">
              <w:rPr>
                <w:rFonts w:eastAsia="SimSun"/>
                <w:lang w:val="en-US" w:eastAsia="zh-CN"/>
              </w:rPr>
              <w:t xml:space="preserve"> or PDSCH transmission occasions for the above schemes are missing.</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21B263A7" w:rsidR="00B24AC6" w:rsidRPr="00B66C1A" w:rsidRDefault="00AB57A3" w:rsidP="00B24AC6">
            <w:pPr>
              <w:pStyle w:val="CRCoverPage"/>
              <w:spacing w:after="0"/>
              <w:jc w:val="both"/>
              <w:rPr>
                <w:rFonts w:ascii="Times New Roman" w:hAnsi="Times New Roman" w:cs="Arial"/>
                <w:noProof/>
                <w:lang w:eastAsia="zh-CN"/>
              </w:rPr>
            </w:pPr>
            <w:r>
              <w:rPr>
                <w:rFonts w:ascii="Times New Roman" w:hAnsi="Times New Roman" w:cs="Arial"/>
                <w:noProof/>
                <w:lang w:eastAsia="zh-CN"/>
              </w:rPr>
              <w:t>Change “</w:t>
            </w:r>
            <w:r w:rsidRPr="00AB57A3">
              <w:rPr>
                <w:rFonts w:ascii="Times New Roman" w:hAnsi="Times New Roman" w:cs="Arial"/>
                <w:noProof/>
                <w:lang w:eastAsia="zh-CN"/>
              </w:rPr>
              <w:t>When the UE is configured with a single slot PDSCH</w:t>
            </w:r>
            <w:r>
              <w:rPr>
                <w:rFonts w:ascii="Times New Roman" w:hAnsi="Times New Roman" w:cs="Arial"/>
                <w:noProof/>
                <w:lang w:eastAsia="zh-CN"/>
              </w:rPr>
              <w:t>” to “</w:t>
            </w:r>
            <w:r w:rsidRPr="00AB57A3">
              <w:rPr>
                <w:rFonts w:ascii="Times New Roman" w:hAnsi="Times New Roman" w:cs="Arial"/>
                <w:noProof/>
                <w:lang w:eastAsia="zh-CN"/>
              </w:rPr>
              <w:t>For a single slot PDSCH</w:t>
            </w:r>
            <w:r>
              <w:rPr>
                <w:rFonts w:ascii="Times New Roman" w:hAnsi="Times New Roman" w:cs="Arial"/>
                <w:noProof/>
                <w:lang w:eastAsia="zh-CN"/>
              </w:rPr>
              <w:t>”,  “</w:t>
            </w:r>
            <w:r w:rsidRPr="00AB57A3">
              <w:rPr>
                <w:rFonts w:ascii="Times New Roman" w:hAnsi="Times New Roman" w:cs="Arial"/>
                <w:noProof/>
                <w:lang w:eastAsia="zh-CN"/>
              </w:rPr>
              <w:t xml:space="preserve">When the UE is configured with a </w:t>
            </w:r>
            <w:r>
              <w:rPr>
                <w:rFonts w:ascii="Times New Roman" w:hAnsi="Times New Roman" w:cs="Arial"/>
                <w:noProof/>
                <w:lang w:eastAsia="zh-CN"/>
              </w:rPr>
              <w:t>multi-</w:t>
            </w:r>
            <w:r w:rsidRPr="00AB57A3">
              <w:rPr>
                <w:rFonts w:ascii="Times New Roman" w:hAnsi="Times New Roman" w:cs="Arial"/>
                <w:noProof/>
                <w:lang w:eastAsia="zh-CN"/>
              </w:rPr>
              <w:t>slot PDSCH</w:t>
            </w:r>
            <w:r>
              <w:rPr>
                <w:rFonts w:ascii="Times New Roman" w:hAnsi="Times New Roman" w:cs="Arial"/>
                <w:noProof/>
                <w:lang w:eastAsia="zh-CN"/>
              </w:rPr>
              <w:t>” to “</w:t>
            </w:r>
            <w:r w:rsidRPr="00AB57A3">
              <w:rPr>
                <w:rFonts w:ascii="Times New Roman" w:hAnsi="Times New Roman" w:cs="Arial"/>
                <w:noProof/>
                <w:lang w:eastAsia="zh-CN"/>
              </w:rPr>
              <w:t xml:space="preserve">For a </w:t>
            </w:r>
            <w:r>
              <w:rPr>
                <w:rFonts w:ascii="Times New Roman" w:hAnsi="Times New Roman" w:cs="Arial"/>
                <w:noProof/>
                <w:lang w:eastAsia="zh-CN"/>
              </w:rPr>
              <w:t>multi-</w:t>
            </w:r>
            <w:r w:rsidRPr="00AB57A3">
              <w:rPr>
                <w:rFonts w:ascii="Times New Roman" w:hAnsi="Times New Roman" w:cs="Arial"/>
                <w:noProof/>
                <w:lang w:eastAsia="zh-CN"/>
              </w:rPr>
              <w:t xml:space="preserve"> slot PDSCH</w:t>
            </w:r>
            <w:r>
              <w:rPr>
                <w:rFonts w:ascii="Times New Roman" w:hAnsi="Times New Roman" w:cs="Arial"/>
                <w:noProof/>
                <w:lang w:eastAsia="zh-CN"/>
              </w:rPr>
              <w:t>” and “</w:t>
            </w:r>
            <w:r w:rsidRPr="00AB57A3">
              <w:rPr>
                <w:rFonts w:ascii="Times New Roman" w:hAnsi="Times New Roman" w:cs="Arial"/>
                <w:noProof/>
                <w:lang w:eastAsia="zh-CN"/>
              </w:rPr>
              <w:t>the indicated TCI state</w:t>
            </w:r>
            <w:r>
              <w:rPr>
                <w:rFonts w:ascii="Times New Roman" w:hAnsi="Times New Roman" w:cs="Arial"/>
                <w:noProof/>
                <w:lang w:eastAsia="zh-CN"/>
              </w:rPr>
              <w:t>” to “</w:t>
            </w:r>
            <w:r w:rsidRPr="00AB57A3">
              <w:rPr>
                <w:rFonts w:ascii="Times New Roman" w:hAnsi="Times New Roman" w:cs="Arial"/>
                <w:noProof/>
                <w:lang w:eastAsia="zh-CN"/>
              </w:rPr>
              <w:t>the indicated TCI state(s)</w:t>
            </w:r>
            <w:r>
              <w:rPr>
                <w:rFonts w:ascii="Times New Roman" w:hAnsi="Times New Roman" w:cs="Arial"/>
                <w:noProof/>
                <w:lang w:eastAsia="zh-CN"/>
              </w:rPr>
              <w:t>” to cover both single TRP case and multi-TRP schemes.</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50363EEC" w:rsidR="00B24AC6" w:rsidRPr="005511C2" w:rsidRDefault="0044345D" w:rsidP="00B24AC6">
            <w:pPr>
              <w:pStyle w:val="CRCoverPage"/>
              <w:spacing w:after="0"/>
              <w:jc w:val="both"/>
              <w:rPr>
                <w:rFonts w:ascii="Times New Roman" w:hAnsi="Times New Roman"/>
                <w:noProof/>
              </w:rPr>
            </w:pPr>
            <w:r>
              <w:rPr>
                <w:rFonts w:eastAsia="SimSun"/>
                <w:lang w:val="en-US" w:eastAsia="zh-CN"/>
              </w:rPr>
              <w:t xml:space="preserve">Which activated TCI states </w:t>
            </w:r>
            <w:r w:rsidRPr="007D00CD">
              <w:rPr>
                <w:rFonts w:eastAsia="SimSun"/>
                <w:lang w:val="en-US" w:eastAsia="zh-CN"/>
              </w:rPr>
              <w:t>the indicated TCI state</w:t>
            </w:r>
            <w:r>
              <w:rPr>
                <w:rFonts w:eastAsia="SimSun"/>
                <w:lang w:val="en-US" w:eastAsia="zh-CN"/>
              </w:rPr>
              <w:t>s</w:t>
            </w:r>
            <w:r w:rsidRPr="007D00CD">
              <w:rPr>
                <w:rFonts w:eastAsia="SimSun"/>
                <w:lang w:val="en-US" w:eastAsia="zh-CN"/>
              </w:rPr>
              <w:t xml:space="preserve"> </w:t>
            </w:r>
            <w:r>
              <w:rPr>
                <w:rFonts w:eastAsia="SimSun"/>
                <w:lang w:val="en-US" w:eastAsia="zh-CN"/>
              </w:rPr>
              <w:t>shou</w:t>
            </w:r>
            <w:r w:rsidRPr="007D00CD">
              <w:rPr>
                <w:rFonts w:eastAsia="SimSun"/>
                <w:lang w:val="en-US" w:eastAsia="zh-CN"/>
              </w:rPr>
              <w:t>ld be based on</w:t>
            </w:r>
            <w:r>
              <w:rPr>
                <w:rFonts w:eastAsia="SimSun"/>
                <w:lang w:val="en-US" w:eastAsia="zh-CN"/>
              </w:rPr>
              <w:t xml:space="preserve"> for</w:t>
            </w:r>
            <w:r w:rsidRPr="007D00CD">
              <w:rPr>
                <w:rFonts w:eastAsia="SimSun"/>
                <w:lang w:val="en-US" w:eastAsia="zh-CN"/>
              </w:rPr>
              <w:t xml:space="preserve"> the scheduled PDSCH</w:t>
            </w:r>
            <w:r>
              <w:rPr>
                <w:rFonts w:eastAsia="SimSun"/>
                <w:lang w:val="en-US" w:eastAsia="zh-CN"/>
              </w:rPr>
              <w:t xml:space="preserve"> or PDSCH transmission occasions for the single-PDCCH based MTRP schemes are not clear.</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Heading3"/>
        <w:rPr>
          <w:color w:val="000000"/>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0"/>
      <w:bookmarkEnd w:id="1"/>
      <w:bookmarkEnd w:id="2"/>
      <w:bookmarkEnd w:id="3"/>
      <w:bookmarkEnd w:id="4"/>
      <w:bookmarkEnd w:id="5"/>
      <w:bookmarkEnd w:id="6"/>
      <w:bookmarkEnd w:id="7"/>
      <w:bookmarkEnd w:id="8"/>
    </w:p>
    <w:p w14:paraId="664B38A2" w14:textId="1F115EA0" w:rsidR="0011062F" w:rsidRDefault="0011062F" w:rsidP="0011062F">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100930D4" w14:textId="52AA46C5" w:rsidR="00AB57A3" w:rsidRPr="00AB57A3" w:rsidRDefault="00AB57A3" w:rsidP="005A6F15">
      <w:pPr>
        <w:rPr>
          <w:noProof/>
          <w:sz w:val="18"/>
        </w:rPr>
      </w:pPr>
      <w:r w:rsidRPr="00AB57A3">
        <w:rPr>
          <w:szCs w:val="21"/>
        </w:rPr>
        <w:t>If the PDSCH is scheduled by a DCI format having the TCI field present, the TCI field in DCI in the scheduling component carrier points to the activated TCI states in the scheduled component carrier or DL BWP, the UE shall use the</w:t>
      </w:r>
      <w:r w:rsidRPr="00AB57A3">
        <w:rPr>
          <w:rStyle w:val="apple-converted-space"/>
          <w:szCs w:val="21"/>
        </w:rPr>
        <w:t> </w:t>
      </w:r>
      <w:r w:rsidRPr="00AB57A3">
        <w:rPr>
          <w:i/>
          <w:iCs/>
          <w:szCs w:val="21"/>
        </w:rPr>
        <w:t>TCI-State</w:t>
      </w:r>
      <w:r w:rsidRPr="00AB57A3">
        <w:rPr>
          <w:rStyle w:val="apple-converted-space"/>
          <w:szCs w:val="21"/>
        </w:rPr>
        <w:t> </w:t>
      </w:r>
      <w:r w:rsidRPr="00AB57A3">
        <w:rPr>
          <w:szCs w:val="21"/>
        </w:rPr>
        <w:t>according to the value of the '</w:t>
      </w:r>
      <w:r w:rsidRPr="00AB57A3">
        <w:rPr>
          <w:i/>
          <w:iCs/>
          <w:szCs w:val="21"/>
        </w:rPr>
        <w:t>Transmission Configuration Indication</w:t>
      </w:r>
      <w:r w:rsidRPr="00AB57A3">
        <w:rPr>
          <w:szCs w:val="21"/>
        </w:rPr>
        <w:t>'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w:t>
      </w:r>
      <w:r w:rsidRPr="00AB57A3">
        <w:rPr>
          <w:rStyle w:val="apple-converted-space"/>
          <w:szCs w:val="21"/>
        </w:rPr>
        <w:t> </w:t>
      </w:r>
      <w:proofErr w:type="spellStart"/>
      <w:r w:rsidRPr="00AB57A3">
        <w:rPr>
          <w:i/>
          <w:iCs/>
          <w:szCs w:val="21"/>
        </w:rPr>
        <w:t>timeDurationForQCL</w:t>
      </w:r>
      <w:proofErr w:type="spellEnd"/>
      <w:r w:rsidRPr="00AB57A3">
        <w:rPr>
          <w:szCs w:val="21"/>
        </w:rPr>
        <w:t>, where the threshold is based on reported UE capability [13, TS 38.306].</w:t>
      </w:r>
      <w:r w:rsidRPr="00AB57A3">
        <w:rPr>
          <w:rStyle w:val="apple-converted-space"/>
          <w:szCs w:val="21"/>
        </w:rPr>
        <w:t> </w:t>
      </w:r>
      <w:r w:rsidRPr="00AB57A3">
        <w:rPr>
          <w:strike/>
          <w:color w:val="FF0000"/>
          <w:szCs w:val="21"/>
        </w:rPr>
        <w:t>When the UE is configured with</w:t>
      </w:r>
      <w:r w:rsidRPr="00AB57A3">
        <w:rPr>
          <w:rStyle w:val="apple-converted-space"/>
          <w:strike/>
          <w:color w:val="FF0000"/>
          <w:szCs w:val="21"/>
        </w:rPr>
        <w:t> </w:t>
      </w:r>
      <w:r w:rsidRPr="00AB57A3">
        <w:rPr>
          <w:color w:val="FF0000"/>
          <w:szCs w:val="21"/>
        </w:rPr>
        <w:t>For</w:t>
      </w:r>
      <w:r w:rsidRPr="00AB57A3">
        <w:rPr>
          <w:rStyle w:val="apple-converted-space"/>
          <w:szCs w:val="21"/>
        </w:rPr>
        <w:t> </w:t>
      </w:r>
      <w:r w:rsidRPr="00AB57A3">
        <w:rPr>
          <w:szCs w:val="21"/>
        </w:rPr>
        <w:t>a single slot PDSCH, the indicated TCI state</w:t>
      </w:r>
      <w:r w:rsidRPr="00AB57A3">
        <w:rPr>
          <w:color w:val="FF0000"/>
          <w:szCs w:val="21"/>
        </w:rPr>
        <w:t>(s)</w:t>
      </w:r>
      <w:r w:rsidRPr="00AB57A3">
        <w:rPr>
          <w:rStyle w:val="apple-converted-space"/>
          <w:szCs w:val="21"/>
        </w:rPr>
        <w:t> </w:t>
      </w:r>
      <w:r w:rsidRPr="00AB57A3">
        <w:rPr>
          <w:szCs w:val="21"/>
        </w:rPr>
        <w:t>should be based on the activated TCI states in the slot with the scheduled PDSCH.</w:t>
      </w:r>
      <w:r w:rsidRPr="00AB57A3">
        <w:rPr>
          <w:rStyle w:val="apple-converted-space"/>
          <w:szCs w:val="21"/>
        </w:rPr>
        <w:t> </w:t>
      </w:r>
      <w:r w:rsidRPr="00AB57A3">
        <w:rPr>
          <w:strike/>
          <w:color w:val="FF0000"/>
          <w:szCs w:val="21"/>
        </w:rPr>
        <w:t>When the UE is configured with</w:t>
      </w:r>
      <w:r w:rsidRPr="00AB57A3">
        <w:rPr>
          <w:rStyle w:val="apple-converted-space"/>
          <w:szCs w:val="21"/>
        </w:rPr>
        <w:t> </w:t>
      </w:r>
      <w:r w:rsidRPr="00AB57A3">
        <w:rPr>
          <w:color w:val="FF0000"/>
          <w:szCs w:val="21"/>
        </w:rPr>
        <w:t>For</w:t>
      </w:r>
      <w:r w:rsidRPr="00AB57A3">
        <w:rPr>
          <w:rStyle w:val="apple-converted-space"/>
          <w:szCs w:val="21"/>
        </w:rPr>
        <w:t> </w:t>
      </w:r>
      <w:r w:rsidRPr="00AB57A3">
        <w:rPr>
          <w:szCs w:val="21"/>
        </w:rPr>
        <w:t>a multi-slot PDSCH, the indicated TCI state</w:t>
      </w:r>
      <w:r w:rsidRPr="00AB57A3">
        <w:rPr>
          <w:color w:val="FF0000"/>
          <w:szCs w:val="21"/>
        </w:rPr>
        <w:t>(s)</w:t>
      </w:r>
      <w:r w:rsidRPr="00AB57A3">
        <w:rPr>
          <w:rStyle w:val="apple-converted-space"/>
          <w:szCs w:val="21"/>
        </w:rPr>
        <w:t> </w:t>
      </w:r>
      <w:r w:rsidRPr="00AB57A3">
        <w:rPr>
          <w:szCs w:val="21"/>
        </w:rPr>
        <w:t>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w:t>
      </w:r>
      <w:r w:rsidRPr="00AB57A3">
        <w:rPr>
          <w:rStyle w:val="apple-converted-space"/>
          <w:szCs w:val="21"/>
        </w:rPr>
        <w:t> </w:t>
      </w:r>
      <w:proofErr w:type="spellStart"/>
      <w:r w:rsidRPr="00AB57A3">
        <w:rPr>
          <w:i/>
          <w:iCs/>
          <w:szCs w:val="21"/>
        </w:rPr>
        <w:t>enableDefaultBeamForCCS</w:t>
      </w:r>
      <w:proofErr w:type="spellEnd"/>
      <w:r w:rsidRPr="00AB57A3">
        <w:rPr>
          <w:szCs w:val="21"/>
        </w:rPr>
        <w:t>, the UE expects</w:t>
      </w:r>
      <w:r w:rsidRPr="00AB57A3">
        <w:rPr>
          <w:rStyle w:val="apple-converted-space"/>
          <w:szCs w:val="21"/>
        </w:rPr>
        <w:t> </w:t>
      </w:r>
      <w:proofErr w:type="spellStart"/>
      <w:r w:rsidRPr="00AB57A3">
        <w:rPr>
          <w:i/>
          <w:iCs/>
          <w:szCs w:val="21"/>
        </w:rPr>
        <w:t>tci-PresentInDCI</w:t>
      </w:r>
      <w:proofErr w:type="spellEnd"/>
      <w:r w:rsidRPr="00AB57A3">
        <w:rPr>
          <w:rStyle w:val="apple-converted-space"/>
          <w:i/>
          <w:iCs/>
          <w:szCs w:val="21"/>
        </w:rPr>
        <w:t> </w:t>
      </w:r>
      <w:r w:rsidRPr="00AB57A3">
        <w:rPr>
          <w:szCs w:val="21"/>
        </w:rPr>
        <w:t>is set as 'enabled' or</w:t>
      </w:r>
      <w:r w:rsidRPr="00AB57A3">
        <w:rPr>
          <w:rStyle w:val="apple-converted-space"/>
          <w:szCs w:val="21"/>
        </w:rPr>
        <w:t> </w:t>
      </w:r>
      <w:r w:rsidRPr="00AB57A3">
        <w:rPr>
          <w:i/>
          <w:iCs/>
          <w:szCs w:val="21"/>
        </w:rPr>
        <w:t>tci-PresentDCI-1-2</w:t>
      </w:r>
      <w:r w:rsidRPr="00AB57A3">
        <w:rPr>
          <w:rStyle w:val="apple-converted-space"/>
          <w:i/>
          <w:iCs/>
          <w:szCs w:val="21"/>
        </w:rPr>
        <w:t> </w:t>
      </w:r>
      <w:r w:rsidRPr="00AB57A3">
        <w:rPr>
          <w:szCs w:val="21"/>
        </w:rPr>
        <w:t>is configured for the CORESET, and if one or more of the TCI states configured for the serving cell scheduled by the search space set contains</w:t>
      </w:r>
      <w:r w:rsidRPr="00AB57A3">
        <w:rPr>
          <w:rStyle w:val="apple-converted-space"/>
          <w:szCs w:val="21"/>
        </w:rPr>
        <w:t> </w:t>
      </w:r>
      <w:proofErr w:type="spellStart"/>
      <w:r w:rsidRPr="00AB57A3">
        <w:rPr>
          <w:i/>
          <w:iCs/>
          <w:szCs w:val="21"/>
        </w:rPr>
        <w:t>qcl</w:t>
      </w:r>
      <w:proofErr w:type="spellEnd"/>
      <w:r w:rsidRPr="00AB57A3">
        <w:rPr>
          <w:i/>
          <w:iCs/>
          <w:szCs w:val="21"/>
        </w:rPr>
        <w:t>-Type</w:t>
      </w:r>
      <w:r w:rsidRPr="00AB57A3">
        <w:rPr>
          <w:rStyle w:val="apple-converted-space"/>
          <w:szCs w:val="21"/>
        </w:rPr>
        <w:t> </w:t>
      </w:r>
      <w:r w:rsidRPr="00AB57A3">
        <w:rPr>
          <w:szCs w:val="21"/>
        </w:rPr>
        <w:t>set to</w:t>
      </w:r>
      <w:r w:rsidRPr="00AB57A3">
        <w:rPr>
          <w:rStyle w:val="apple-converted-space"/>
          <w:szCs w:val="21"/>
        </w:rPr>
        <w:t> </w:t>
      </w:r>
      <w:r w:rsidRPr="00AB57A3">
        <w:rPr>
          <w:szCs w:val="21"/>
        </w:rPr>
        <w:t>'</w:t>
      </w:r>
      <w:proofErr w:type="spellStart"/>
      <w:r w:rsidRPr="00AB57A3">
        <w:rPr>
          <w:szCs w:val="21"/>
        </w:rPr>
        <w:t>typeD</w:t>
      </w:r>
      <w:proofErr w:type="spellEnd"/>
      <w:r w:rsidRPr="00AB57A3">
        <w:rPr>
          <w:szCs w:val="21"/>
        </w:rPr>
        <w:t>', the UE expects the time offset between the reception of the detected PDCCH in the search space set and the corresponding PDSCH is larger than or equal to the threshold</w:t>
      </w:r>
      <w:r w:rsidRPr="00AB57A3">
        <w:rPr>
          <w:rStyle w:val="apple-converted-space"/>
          <w:szCs w:val="21"/>
        </w:rPr>
        <w:t> </w:t>
      </w:r>
      <w:proofErr w:type="spellStart"/>
      <w:r w:rsidRPr="00AB57A3">
        <w:rPr>
          <w:i/>
          <w:iCs/>
          <w:szCs w:val="21"/>
        </w:rPr>
        <w:t>timeDurationForQCL</w:t>
      </w:r>
      <w:proofErr w:type="spellEnd"/>
      <w:r w:rsidRPr="00AB57A3">
        <w:rPr>
          <w:i/>
          <w:iCs/>
          <w:szCs w:val="21"/>
        </w:rPr>
        <w:t>.</w:t>
      </w:r>
    </w:p>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59084" w14:textId="77777777" w:rsidR="0083377A" w:rsidRDefault="0083377A">
      <w:r>
        <w:separator/>
      </w:r>
    </w:p>
  </w:endnote>
  <w:endnote w:type="continuationSeparator" w:id="0">
    <w:p w14:paraId="2FDFB16B" w14:textId="77777777" w:rsidR="0083377A" w:rsidRDefault="0083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16D58" w14:textId="77777777" w:rsidR="0083377A" w:rsidRDefault="0083377A">
      <w:r>
        <w:separator/>
      </w:r>
    </w:p>
  </w:footnote>
  <w:footnote w:type="continuationSeparator" w:id="0">
    <w:p w14:paraId="4F66308B" w14:textId="77777777" w:rsidR="0083377A" w:rsidRDefault="00833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37A0A"/>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05346"/>
    <w:rsid w:val="002341C4"/>
    <w:rsid w:val="00235E8C"/>
    <w:rsid w:val="0024373D"/>
    <w:rsid w:val="0026004D"/>
    <w:rsid w:val="002640DD"/>
    <w:rsid w:val="00275D12"/>
    <w:rsid w:val="00284FEB"/>
    <w:rsid w:val="002860C4"/>
    <w:rsid w:val="002A3E67"/>
    <w:rsid w:val="002B5741"/>
    <w:rsid w:val="002C6C1C"/>
    <w:rsid w:val="002D12BE"/>
    <w:rsid w:val="002F3E4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4730"/>
    <w:rsid w:val="004B75B7"/>
    <w:rsid w:val="004F3053"/>
    <w:rsid w:val="0050186C"/>
    <w:rsid w:val="0051580D"/>
    <w:rsid w:val="005263FB"/>
    <w:rsid w:val="005277B9"/>
    <w:rsid w:val="005415E1"/>
    <w:rsid w:val="00546249"/>
    <w:rsid w:val="00547111"/>
    <w:rsid w:val="00547347"/>
    <w:rsid w:val="00555444"/>
    <w:rsid w:val="00561648"/>
    <w:rsid w:val="005625CD"/>
    <w:rsid w:val="00564177"/>
    <w:rsid w:val="0057218A"/>
    <w:rsid w:val="005863ED"/>
    <w:rsid w:val="00592D74"/>
    <w:rsid w:val="005A6F15"/>
    <w:rsid w:val="005B262F"/>
    <w:rsid w:val="005B278E"/>
    <w:rsid w:val="005C32DA"/>
    <w:rsid w:val="005D0F24"/>
    <w:rsid w:val="005D3CCD"/>
    <w:rsid w:val="005D7181"/>
    <w:rsid w:val="005E2C44"/>
    <w:rsid w:val="005E422E"/>
    <w:rsid w:val="005F6927"/>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2FAB"/>
    <w:rsid w:val="00695808"/>
    <w:rsid w:val="006B46FB"/>
    <w:rsid w:val="006C45E4"/>
    <w:rsid w:val="006C754D"/>
    <w:rsid w:val="006D1499"/>
    <w:rsid w:val="006E21FB"/>
    <w:rsid w:val="006F1031"/>
    <w:rsid w:val="006F4E21"/>
    <w:rsid w:val="00715F79"/>
    <w:rsid w:val="007303BA"/>
    <w:rsid w:val="0073102E"/>
    <w:rsid w:val="00742483"/>
    <w:rsid w:val="00742A32"/>
    <w:rsid w:val="0074643D"/>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377A"/>
    <w:rsid w:val="00837923"/>
    <w:rsid w:val="008469CA"/>
    <w:rsid w:val="00850157"/>
    <w:rsid w:val="008626E7"/>
    <w:rsid w:val="0086635D"/>
    <w:rsid w:val="00870EE7"/>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7338B"/>
    <w:rsid w:val="00973DE3"/>
    <w:rsid w:val="009777D9"/>
    <w:rsid w:val="009840AF"/>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57A3"/>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520"/>
    <w:rsid w:val="00D7733E"/>
    <w:rsid w:val="00DA5366"/>
    <w:rsid w:val="00DA5C6D"/>
    <w:rsid w:val="00DB3904"/>
    <w:rsid w:val="00DB4D38"/>
    <w:rsid w:val="00DB6FA1"/>
    <w:rsid w:val="00DD161B"/>
    <w:rsid w:val="00DD1958"/>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A134E"/>
    <w:rsid w:val="00EB09B7"/>
    <w:rsid w:val="00EB1BF0"/>
    <w:rsid w:val="00EB34AE"/>
    <w:rsid w:val="00EE7D7C"/>
    <w:rsid w:val="00F020EE"/>
    <w:rsid w:val="00F032EF"/>
    <w:rsid w:val="00F10C22"/>
    <w:rsid w:val="00F25D98"/>
    <w:rsid w:val="00F265D3"/>
    <w:rsid w:val="00F300FB"/>
    <w:rsid w:val="00F30671"/>
    <w:rsid w:val="00F313DD"/>
    <w:rsid w:val="00F35C76"/>
    <w:rsid w:val="00F546C1"/>
    <w:rsid w:val="00F557D6"/>
    <w:rsid w:val="00F55F56"/>
    <w:rsid w:val="00F6231F"/>
    <w:rsid w:val="00F77ED1"/>
    <w:rsid w:val="00F869B7"/>
    <w:rsid w:val="00F87BB0"/>
    <w:rsid w:val="00F9448D"/>
    <w:rsid w:val="00FB090C"/>
    <w:rsid w:val="00FB6386"/>
    <w:rsid w:val="00FB67D3"/>
    <w:rsid w:val="00FC5EB2"/>
    <w:rsid w:val="00FC6856"/>
    <w:rsid w:val="00FD0635"/>
    <w:rsid w:val="00FD0AED"/>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customXml/itemProps4.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725</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MCC:</cp:lastModifiedBy>
  <cp:revision>7</cp:revision>
  <cp:lastPrinted>1900-12-31T16:00:00Z</cp:lastPrinted>
  <dcterms:created xsi:type="dcterms:W3CDTF">2022-02-24T12:53:00Z</dcterms:created>
  <dcterms:modified xsi:type="dcterms:W3CDTF">2022-03-14T14:48:00Z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