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B3003" w14:textId="0C1DCE9E" w:rsidR="003335C5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3GPP TSG RAN Meeting #</w:t>
      </w:r>
      <w:r w:rsidR="007411B7">
        <w:rPr>
          <w:rFonts w:ascii="Arial" w:hAnsi="Arial" w:cs="Arial"/>
          <w:b/>
          <w:bCs/>
          <w:snapToGrid w:val="0"/>
          <w:kern w:val="0"/>
          <w:sz w:val="28"/>
          <w:szCs w:val="28"/>
        </w:rPr>
        <w:t>94e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 xml:space="preserve">             </w:t>
      </w:r>
      <w:r w:rsidR="003335C5" w:rsidRPr="003335C5">
        <w:rPr>
          <w:rFonts w:ascii="Arial" w:hAnsi="Arial" w:cs="Arial"/>
          <w:b/>
          <w:bCs/>
          <w:snapToGrid w:val="0"/>
          <w:kern w:val="0"/>
          <w:sz w:val="28"/>
          <w:szCs w:val="28"/>
        </w:rPr>
        <w:t>RP-213403</w:t>
      </w:r>
    </w:p>
    <w:p w14:paraId="6BBA949C" w14:textId="30DE262C" w:rsidR="0048599B" w:rsidRDefault="007411B7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eMeeting</w:t>
      </w:r>
      <w:proofErr w:type="spellEnd"/>
      <w:r w:rsidR="00FA24B9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6 - 17</w:t>
      </w:r>
      <w:r w:rsidR="00FA24B9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Dec 20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21</w:t>
      </w:r>
      <w:r w:rsidR="00FA24B9"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 w:rsidR="00FA24B9"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     </w:t>
      </w:r>
      <w:r w:rsidR="00FA24B9">
        <w:rPr>
          <w:rFonts w:ascii="Arial" w:hAnsi="Arial" w:cs="Arial"/>
          <w:b/>
          <w:bCs/>
          <w:color w:val="D9D9D9" w:themeColor="background1" w:themeShade="D9"/>
          <w:kern w:val="0"/>
          <w:sz w:val="20"/>
          <w:szCs w:val="28"/>
          <w:lang w:val="en-GB"/>
        </w:rPr>
        <w:t xml:space="preserve">   </w:t>
      </w:r>
    </w:p>
    <w:p w14:paraId="1C1A31B6" w14:textId="77777777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ZTE Corporation, Sanechips</w:t>
      </w:r>
    </w:p>
    <w:p w14:paraId="33F1D4FB" w14:textId="1AAA8209" w:rsidR="0048599B" w:rsidRDefault="00FA24B9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 xml:space="preserve">Motivation </w:t>
      </w:r>
      <w:r w:rsidR="007411B7">
        <w:rPr>
          <w:rFonts w:ascii="Arial" w:hAnsi="Arial" w:cs="Arial"/>
          <w:b/>
          <w:bCs/>
          <w:snapToGrid w:val="0"/>
          <w:kern w:val="0"/>
          <w:sz w:val="28"/>
          <w:szCs w:val="28"/>
        </w:rPr>
        <w:t>for Rel-18 SDT WI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5F846E0F" w14:textId="71F92E82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7411B7">
        <w:rPr>
          <w:rFonts w:ascii="Arial" w:hAnsi="Arial" w:cs="Arial"/>
          <w:b/>
          <w:bCs/>
          <w:snapToGrid w:val="0"/>
          <w:kern w:val="0"/>
          <w:sz w:val="28"/>
          <w:szCs w:val="28"/>
        </w:rPr>
        <w:t>8A.2</w:t>
      </w:r>
    </w:p>
    <w:p w14:paraId="767F1D39" w14:textId="0E7392F4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Discussion</w:t>
      </w:r>
    </w:p>
    <w:p w14:paraId="05910381" w14:textId="77777777" w:rsidR="0048599B" w:rsidRDefault="00FA24B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27401FA4" w14:textId="35CF854C" w:rsidR="0048599B" w:rsidRDefault="00FA24B9">
      <w:r>
        <w:t>NR supports INACTIVE state. UEs with small and intermittent data may generally be maintained in INACTIVE state by the network. However, until Rel-16, INACTIVE state doesn’t support UP data transmission a</w:t>
      </w:r>
      <w:r w:rsidR="007411B7">
        <w:t>nd for UL (</w:t>
      </w:r>
      <w:proofErr w:type="gramStart"/>
      <w:r w:rsidR="007411B7">
        <w:t>i.e.</w:t>
      </w:r>
      <w:proofErr w:type="gramEnd"/>
      <w:r w:rsidR="007411B7">
        <w:t xml:space="preserve"> Mobile Originating) traffic, this issue has been solved by the Rel-17 SDT work (see </w:t>
      </w:r>
      <w:r w:rsidR="007411B7" w:rsidRPr="00BE04AC">
        <w:t>RP-212594</w:t>
      </w:r>
      <w:r w:rsidR="007411B7">
        <w:t>)</w:t>
      </w:r>
      <w:r>
        <w:t xml:space="preserve">. </w:t>
      </w:r>
      <w:r w:rsidR="007411B7">
        <w:t xml:space="preserve">However, </w:t>
      </w:r>
      <w:r w:rsidR="00404D92">
        <w:t xml:space="preserve">Rel-17 SDT feature doesn’t support mobile terminating traffic and hence the overhead for MT SDT still exists in the system. </w:t>
      </w:r>
      <w:r>
        <w:t>In this contribution we highlight the potential benefits of enabling small</w:t>
      </w:r>
      <w:r w:rsidR="002A5BE1">
        <w:t xml:space="preserve"> </w:t>
      </w:r>
      <w:r>
        <w:t xml:space="preserve">data transmissions in INACTIVE </w:t>
      </w:r>
      <w:r w:rsidR="00404D92">
        <w:t>for MT traffic and propose to approve a WI for this in Rel-18</w:t>
      </w:r>
      <w:r>
        <w:t xml:space="preserve">. </w:t>
      </w:r>
    </w:p>
    <w:p w14:paraId="620A9DC2" w14:textId="777E27A4" w:rsidR="0048599B" w:rsidRDefault="00AC2B87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Justification for enhancements to support </w:t>
      </w:r>
      <w:r w:rsidR="00404D92">
        <w:rPr>
          <w:rFonts w:ascii="Arial" w:hAnsi="Arial" w:cs="Arial"/>
          <w:b w:val="0"/>
          <w:bCs w:val="0"/>
          <w:kern w:val="0"/>
          <w:sz w:val="32"/>
          <w:szCs w:val="36"/>
        </w:rPr>
        <w:t>MT-SDT</w:t>
      </w:r>
      <w:r w:rsidR="00FA24B9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</w:t>
      </w:r>
    </w:p>
    <w:p w14:paraId="5B139161" w14:textId="75757327" w:rsidR="00AC2B87" w:rsidRDefault="00AC2B87" w:rsidP="00056EE7">
      <w:pPr>
        <w:pStyle w:val="Heading1"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proofErr w:type="spellStart"/>
      <w:r>
        <w:rPr>
          <w:rFonts w:ascii="Arial" w:hAnsi="Arial" w:cs="Arial"/>
          <w:b w:val="0"/>
          <w:bCs w:val="0"/>
          <w:kern w:val="0"/>
          <w:sz w:val="32"/>
          <w:szCs w:val="36"/>
        </w:rPr>
        <w:t>Signalling</w:t>
      </w:r>
      <w:proofErr w:type="spellEnd"/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overhead for small</w:t>
      </w:r>
      <w:r w:rsidR="002A5BE1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>data in NR</w:t>
      </w:r>
    </w:p>
    <w:p w14:paraId="4C530ABF" w14:textId="1D812550" w:rsidR="0048599B" w:rsidRDefault="00FA24B9">
      <w:r>
        <w:t xml:space="preserve">The following pictures </w:t>
      </w:r>
      <w:proofErr w:type="spellStart"/>
      <w:r w:rsidR="002A5BE1">
        <w:t>summarise</w:t>
      </w:r>
      <w:proofErr w:type="spellEnd"/>
      <w:r>
        <w:t xml:space="preserve"> the mechanisms in NR to enable</w:t>
      </w:r>
      <w:r w:rsidR="002A5BE1">
        <w:t xml:space="preserve"> mobile terminating</w:t>
      </w:r>
      <w:r>
        <w:t xml:space="preserve"> small-data transmission </w:t>
      </w:r>
      <w:r w:rsidR="00AC2B87">
        <w:t xml:space="preserve">from INACTIVE state </w:t>
      </w:r>
      <w:r>
        <w:t xml:space="preserve">until </w:t>
      </w:r>
      <w:r w:rsidR="002A5BE1">
        <w:t>now</w:t>
      </w:r>
      <w:r>
        <w:t xml:space="preserve">. </w:t>
      </w:r>
    </w:p>
    <w:p w14:paraId="28D0111D" w14:textId="77777777" w:rsidR="0048599B" w:rsidRDefault="0048599B"/>
    <w:p w14:paraId="512D4333" w14:textId="77777777" w:rsidR="0048599B" w:rsidRDefault="00FA24B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988841A" wp14:editId="4540AF17">
            <wp:extent cx="5716905" cy="3832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6905" cy="383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7E82C" w14:textId="3668B615" w:rsidR="0048599B" w:rsidRDefault="00FA24B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219E2">
        <w:rPr>
          <w:noProof/>
        </w:rPr>
        <w:t>1</w:t>
      </w:r>
      <w:r>
        <w:fldChar w:fldCharType="end"/>
      </w:r>
      <w:r>
        <w:t xml:space="preserve">: Existing mechanisms for </w:t>
      </w:r>
      <w:r w:rsidR="00404D92">
        <w:t>MT</w:t>
      </w:r>
      <w:r w:rsidR="0000703C">
        <w:t>-Small Data packets</w:t>
      </w:r>
      <w:r>
        <w:t xml:space="preserve"> in NR</w:t>
      </w:r>
    </w:p>
    <w:p w14:paraId="2312C85D" w14:textId="753989CD" w:rsidR="0048599B" w:rsidRDefault="00FA24B9">
      <w:r>
        <w:t xml:space="preserve">As can be seen, even with the basic building blocks such as the INACTIVE state in Rel-15 and the 2-step RACH in Rel-16, </w:t>
      </w:r>
      <w:r w:rsidR="00404D92">
        <w:t xml:space="preserve">MT-SDT traffic still incurs </w:t>
      </w:r>
      <w:r>
        <w:t>significant signaling overhead for the system and the associated power consumption on the UE side. Note that this also results in higher latency for the</w:t>
      </w:r>
      <w:r w:rsidR="00404D92">
        <w:t xml:space="preserve"> MT</w:t>
      </w:r>
      <w:r>
        <w:t xml:space="preserve"> small</w:t>
      </w:r>
      <w:r w:rsidR="002A5BE1">
        <w:t xml:space="preserve"> </w:t>
      </w:r>
      <w:r>
        <w:t>data packets which is undesirable.</w:t>
      </w:r>
      <w:r w:rsidR="00404D92">
        <w:t xml:space="preserve"> </w:t>
      </w:r>
    </w:p>
    <w:p w14:paraId="304D8DEB" w14:textId="309BA84A" w:rsidR="00404D92" w:rsidRDefault="00404D92">
      <w:r>
        <w:t xml:space="preserve">Although Rel-17 SDT WI solves this issue for MO traffic, for any small MT packets, the full </w:t>
      </w:r>
      <w:proofErr w:type="spellStart"/>
      <w:r>
        <w:t>signalling</w:t>
      </w:r>
      <w:proofErr w:type="spellEnd"/>
      <w:r>
        <w:t xml:space="preserve"> cycle shown above is still applicable since the UE doesn’t resume the radio bearers to support data/</w:t>
      </w:r>
      <w:proofErr w:type="spellStart"/>
      <w:r>
        <w:t>signalling</w:t>
      </w:r>
      <w:proofErr w:type="spellEnd"/>
      <w:r>
        <w:t xml:space="preserve"> exchange during INACTIVE state for MT traffic. </w:t>
      </w:r>
    </w:p>
    <w:p w14:paraId="33757C0F" w14:textId="017EB86A" w:rsidR="0048599B" w:rsidRDefault="00FA24B9">
      <w:pPr>
        <w:rPr>
          <w:b/>
          <w:bCs/>
        </w:rPr>
      </w:pPr>
      <w:r>
        <w:rPr>
          <w:b/>
          <w:bCs/>
        </w:rPr>
        <w:t>Observation 1: Even with the basic building blocks for small</w:t>
      </w:r>
      <w:r w:rsidR="002A5BE1">
        <w:rPr>
          <w:b/>
          <w:bCs/>
        </w:rPr>
        <w:t xml:space="preserve"> </w:t>
      </w:r>
      <w:r>
        <w:rPr>
          <w:b/>
          <w:bCs/>
        </w:rPr>
        <w:t xml:space="preserve">data transmission, NR, is not optimal in terms of signaling overhead and battery efficiency for handling </w:t>
      </w:r>
      <w:r w:rsidR="00404D92">
        <w:rPr>
          <w:b/>
          <w:bCs/>
        </w:rPr>
        <w:t xml:space="preserve">MT-SDT traffic. </w:t>
      </w:r>
    </w:p>
    <w:p w14:paraId="06241140" w14:textId="08CD7712" w:rsidR="00AC2B87" w:rsidRDefault="00AC2B87" w:rsidP="00056EE7">
      <w:pPr>
        <w:pStyle w:val="Heading1"/>
        <w:widowControl/>
        <w:numPr>
          <w:ilvl w:val="1"/>
          <w:numId w:val="5"/>
        </w:numP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Use cases for </w:t>
      </w:r>
      <w:r w:rsidR="0000703C">
        <w:rPr>
          <w:rFonts w:ascii="Arial" w:hAnsi="Arial" w:cs="Arial"/>
          <w:b w:val="0"/>
          <w:bCs w:val="0"/>
          <w:kern w:val="0"/>
          <w:sz w:val="32"/>
          <w:szCs w:val="36"/>
        </w:rPr>
        <w:t>MT small data packets</w:t>
      </w:r>
      <w:r w:rsidR="00606C6B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</w:t>
      </w:r>
    </w:p>
    <w:p w14:paraId="4BB20479" w14:textId="7EC81ECC" w:rsidR="00606C6B" w:rsidRDefault="00AC2B87" w:rsidP="0000703C">
      <w:r>
        <w:t xml:space="preserve">Small and infrequent data transmissions are typical in networks today and this is common </w:t>
      </w:r>
      <w:r w:rsidR="00A219E2">
        <w:t xml:space="preserve">for various applications </w:t>
      </w:r>
      <w:r w:rsidR="00CF1CA1">
        <w:t>including</w:t>
      </w:r>
      <w:r>
        <w:t xml:space="preserve"> </w:t>
      </w:r>
      <w:r w:rsidR="00CF1CA1">
        <w:t>s</w:t>
      </w:r>
      <w:r>
        <w:t>mart phone applications</w:t>
      </w:r>
      <w:r w:rsidR="00CF1CA1">
        <w:t xml:space="preserve"> for keep alive packets, positioning etc. O</w:t>
      </w:r>
      <w:r>
        <w:t xml:space="preserve">ther devices such as wearables, sensors, smart meters </w:t>
      </w:r>
      <w:proofErr w:type="spellStart"/>
      <w:r>
        <w:t>etc</w:t>
      </w:r>
      <w:proofErr w:type="spellEnd"/>
      <w:r w:rsidR="00CF1CA1">
        <w:t xml:space="preserve"> also generate small and infrequent data packets</w:t>
      </w:r>
      <w:r>
        <w:t xml:space="preserve">. </w:t>
      </w:r>
      <w:r w:rsidR="0000703C">
        <w:t>Typical small data packets are not only generated in UL (</w:t>
      </w:r>
      <w:proofErr w:type="gramStart"/>
      <w:r w:rsidR="0000703C">
        <w:t>i.e.</w:t>
      </w:r>
      <w:proofErr w:type="gramEnd"/>
      <w:r w:rsidR="0000703C">
        <w:t xml:space="preserve"> MO use cases) but are also fairly prevalent for MT use cases. This can be seen from the statistics captured in </w:t>
      </w:r>
      <w:r w:rsidR="00A219E2">
        <w:fldChar w:fldCharType="begin"/>
      </w:r>
      <w:r w:rsidR="00A219E2">
        <w:instrText xml:space="preserve"> REF _Ref88645645 \h </w:instrText>
      </w:r>
      <w:r w:rsidR="00A219E2">
        <w:fldChar w:fldCharType="separate"/>
      </w:r>
      <w:r w:rsidR="00A219E2">
        <w:t xml:space="preserve">Figure </w:t>
      </w:r>
      <w:r w:rsidR="00A219E2">
        <w:rPr>
          <w:noProof/>
        </w:rPr>
        <w:t>2</w:t>
      </w:r>
      <w:r w:rsidR="00A219E2">
        <w:fldChar w:fldCharType="end"/>
      </w:r>
      <w:r w:rsidR="00A219E2">
        <w:t xml:space="preserve"> </w:t>
      </w:r>
      <w:r w:rsidR="0000703C">
        <w:t xml:space="preserve">below: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00703C" w14:paraId="7197F714" w14:textId="77777777" w:rsidTr="00A219E2">
        <w:tc>
          <w:tcPr>
            <w:tcW w:w="4885" w:type="dxa"/>
          </w:tcPr>
          <w:p w14:paraId="16EF30D2" w14:textId="054FD1AC" w:rsidR="0000703C" w:rsidRDefault="0000703C" w:rsidP="0000703C">
            <w:pPr>
              <w:rPr>
                <w:b/>
                <w:bCs/>
              </w:rPr>
            </w:pPr>
            <w:r w:rsidRPr="0000703C">
              <w:rPr>
                <w:b/>
                <w:bCs/>
                <w:noProof/>
              </w:rPr>
              <w:lastRenderedPageBreak/>
              <w:drawing>
                <wp:inline distT="0" distB="0" distL="0" distR="0" wp14:anchorId="622B5666" wp14:editId="4262EE18">
                  <wp:extent cx="2948400" cy="2210400"/>
                  <wp:effectExtent l="0" t="0" r="0" b="0"/>
                  <wp:docPr id="2050" name="Picture 1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8C14756-074F-4478-9D0C-605CFD45321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121">
                            <a:extLst>
                              <a:ext uri="{FF2B5EF4-FFF2-40B4-BE49-F238E27FC236}">
                                <a16:creationId xmlns:a16="http://schemas.microsoft.com/office/drawing/2014/main" id="{B8C14756-074F-4478-9D0C-605CFD45321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400" cy="221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6" w:type="dxa"/>
          </w:tcPr>
          <w:p w14:paraId="7130A0DB" w14:textId="164183BE" w:rsidR="0000703C" w:rsidRDefault="0000703C" w:rsidP="0000703C">
            <w:pPr>
              <w:rPr>
                <w:b/>
                <w:bCs/>
              </w:rPr>
            </w:pPr>
            <w:r w:rsidRPr="0000703C">
              <w:rPr>
                <w:b/>
                <w:bCs/>
                <w:noProof/>
              </w:rPr>
              <w:drawing>
                <wp:inline distT="0" distB="0" distL="0" distR="0" wp14:anchorId="6A67DC13" wp14:editId="68CAAD30">
                  <wp:extent cx="2926800" cy="2196000"/>
                  <wp:effectExtent l="0" t="0" r="0" b="0"/>
                  <wp:docPr id="2051" name="Picture 12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39656D1-4018-4263-ACF1-7ED21191963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125">
                            <a:extLst>
                              <a:ext uri="{FF2B5EF4-FFF2-40B4-BE49-F238E27FC236}">
                                <a16:creationId xmlns:a16="http://schemas.microsoft.com/office/drawing/2014/main" id="{339656D1-4018-4263-ACF1-7ED21191963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800" cy="21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9E2" w14:paraId="2E23AB7B" w14:textId="77777777" w:rsidTr="00A219E2">
        <w:tc>
          <w:tcPr>
            <w:tcW w:w="9771" w:type="dxa"/>
            <w:gridSpan w:val="2"/>
          </w:tcPr>
          <w:p w14:paraId="55977300" w14:textId="37614667" w:rsidR="00A219E2" w:rsidRPr="0000703C" w:rsidRDefault="00A219E2" w:rsidP="00A219E2">
            <w:pPr>
              <w:pStyle w:val="Caption"/>
              <w:jc w:val="center"/>
              <w:rPr>
                <w:b/>
                <w:bCs/>
              </w:rPr>
            </w:pPr>
            <w:bookmarkStart w:id="2" w:name="_Ref88645645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bookmarkEnd w:id="2"/>
            <w:r>
              <w:t>: Typical distribution of DL traffic for background applications (see 3GPP TR36.822)</w:t>
            </w:r>
          </w:p>
        </w:tc>
      </w:tr>
    </w:tbl>
    <w:p w14:paraId="55C5EB3D" w14:textId="143AC7B0" w:rsidR="00973DA2" w:rsidRDefault="00CF1CA1" w:rsidP="00CF1CA1">
      <w:r>
        <w:rPr>
          <w:b/>
          <w:bCs/>
        </w:rPr>
        <w:t xml:space="preserve">Observation 2: Mobile terminating small and infrequent data traffic is fairly prevalent in the networks and contribute to a significant amount of </w:t>
      </w:r>
      <w:proofErr w:type="spellStart"/>
      <w:r>
        <w:rPr>
          <w:b/>
          <w:bCs/>
        </w:rPr>
        <w:t>signalling</w:t>
      </w:r>
      <w:proofErr w:type="spellEnd"/>
      <w:r>
        <w:rPr>
          <w:b/>
          <w:bCs/>
        </w:rPr>
        <w:t xml:space="preserve"> overhead and power consumption. </w:t>
      </w:r>
    </w:p>
    <w:p w14:paraId="3D251E8C" w14:textId="2B0565AC" w:rsidR="0048599B" w:rsidRDefault="00CF1CA1" w:rsidP="00056EE7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kern w:val="0"/>
          <w:sz w:val="32"/>
          <w:szCs w:val="36"/>
        </w:rPr>
        <w:t>Scope of Rel-18 SDT work</w:t>
      </w:r>
    </w:p>
    <w:p w14:paraId="288AE740" w14:textId="77777777" w:rsidR="005859F9" w:rsidRDefault="00CF1CA1" w:rsidP="005859F9">
      <w:r>
        <w:t>Based on the discussions leading up to RAN#94-e, we propose to have a fairly focused work item to support MT-SDT in Rel-18</w:t>
      </w:r>
      <w:r w:rsidR="005859F9">
        <w:t xml:space="preserve">. </w:t>
      </w:r>
    </w:p>
    <w:p w14:paraId="6D094605" w14:textId="64932870" w:rsidR="005859F9" w:rsidRDefault="005859F9" w:rsidP="005859F9">
      <w:r>
        <w:t xml:space="preserve">The objectives proposed in </w:t>
      </w:r>
      <w:r>
        <w:fldChar w:fldCharType="begin"/>
      </w:r>
      <w:r>
        <w:instrText xml:space="preserve"> REF _Ref88646127 \r \h </w:instrText>
      </w:r>
      <w:r>
        <w:fldChar w:fldCharType="separate"/>
      </w:r>
      <w:r>
        <w:t>[1]</w:t>
      </w:r>
      <w:r>
        <w:fldChar w:fldCharType="end"/>
      </w:r>
      <w:r>
        <w:t xml:space="preserve"> hence provide a good basis for achieving this goal: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1"/>
      </w:tblGrid>
      <w:tr w:rsidR="005859F9" w14:paraId="782E9255" w14:textId="77777777" w:rsidTr="005859F9">
        <w:tc>
          <w:tcPr>
            <w:tcW w:w="9771" w:type="dxa"/>
          </w:tcPr>
          <w:p w14:paraId="418DBED4" w14:textId="77777777" w:rsidR="005859F9" w:rsidRPr="005859F9" w:rsidRDefault="005859F9" w:rsidP="005859F9">
            <w:r w:rsidRPr="005859F9">
              <w:rPr>
                <w:rStyle w:val="Emphasis"/>
              </w:rPr>
              <w:t>Specify the support for paging-triggered SDT (MT-SDT) [</w:t>
            </w:r>
            <w:r w:rsidRPr="005859F9">
              <w:rPr>
                <w:rStyle w:val="Emphasis"/>
                <w:b/>
                <w:bCs/>
              </w:rPr>
              <w:t>RAN2</w:t>
            </w:r>
            <w:r w:rsidRPr="005859F9">
              <w:rPr>
                <w:rStyle w:val="Emphasis"/>
              </w:rPr>
              <w:t>, RAN3]</w:t>
            </w:r>
          </w:p>
          <w:p w14:paraId="75DEA693" w14:textId="77777777" w:rsidR="005859F9" w:rsidRPr="005859F9" w:rsidRDefault="005859F9" w:rsidP="005859F9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contextualSpacing/>
              <w:jc w:val="left"/>
              <w:rPr>
                <w:sz w:val="20"/>
                <w:szCs w:val="20"/>
              </w:rPr>
            </w:pPr>
            <w:r w:rsidRPr="005859F9">
              <w:rPr>
                <w:rStyle w:val="Emphasis"/>
                <w:sz w:val="20"/>
                <w:szCs w:val="20"/>
              </w:rPr>
              <w:t>MT-SDT triggering mechanism for UEs in RRC_INACTIVE, supporting RA-SDT and CG-SDT as the UL response;</w:t>
            </w:r>
          </w:p>
          <w:p w14:paraId="463B9E24" w14:textId="2364609F" w:rsidR="005859F9" w:rsidRPr="005859F9" w:rsidRDefault="005859F9" w:rsidP="005859F9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contextualSpacing/>
              <w:jc w:val="left"/>
              <w:rPr>
                <w:sz w:val="20"/>
                <w:szCs w:val="20"/>
              </w:rPr>
            </w:pPr>
            <w:r w:rsidRPr="005859F9">
              <w:rPr>
                <w:rStyle w:val="Emphasis"/>
                <w:sz w:val="20"/>
                <w:szCs w:val="20"/>
              </w:rPr>
              <w:t>MT-SDT procedure for initial DL data reception and subsequent UL/DL data transmissions in RRC_INACTIVE.</w:t>
            </w:r>
          </w:p>
        </w:tc>
      </w:tr>
    </w:tbl>
    <w:p w14:paraId="6D4D04B1" w14:textId="4DC808F0" w:rsidR="005859F9" w:rsidRDefault="005859F9" w:rsidP="005859F9">
      <w:r>
        <w:t xml:space="preserve">Based on the above, the following aspects can be noted: </w:t>
      </w:r>
    </w:p>
    <w:p w14:paraId="0E0BB6A2" w14:textId="3E449E1E" w:rsidR="005859F9" w:rsidRDefault="005859F9" w:rsidP="005859F9">
      <w:pPr>
        <w:pStyle w:val="ListParagraph"/>
        <w:numPr>
          <w:ilvl w:val="0"/>
          <w:numId w:val="12"/>
        </w:numPr>
        <w:ind w:firstLineChars="0"/>
      </w:pPr>
      <w:r>
        <w:t>The work is constrained to RRC_INACTIVE state</w:t>
      </w:r>
    </w:p>
    <w:p w14:paraId="58A32CAB" w14:textId="787986D4" w:rsidR="005859F9" w:rsidRDefault="005859F9" w:rsidP="005859F9">
      <w:pPr>
        <w:pStyle w:val="ListParagraph"/>
        <w:numPr>
          <w:ilvl w:val="1"/>
          <w:numId w:val="12"/>
        </w:numPr>
        <w:ind w:firstLineChars="0"/>
      </w:pPr>
      <w:r>
        <w:t xml:space="preserve">Thus, only RAN paging is in scope and hence the work is transparent to CN </w:t>
      </w:r>
    </w:p>
    <w:p w14:paraId="006687EF" w14:textId="5B8BF27A" w:rsidR="005859F9" w:rsidRDefault="005859F9" w:rsidP="005859F9">
      <w:pPr>
        <w:pStyle w:val="ListParagraph"/>
        <w:numPr>
          <w:ilvl w:val="0"/>
          <w:numId w:val="12"/>
        </w:numPr>
        <w:ind w:firstLineChars="0"/>
      </w:pPr>
      <w:r>
        <w:t>The mechanism enables paging-triggered SDT and hence would enable the UE to resume SDT RBs upon MT paging trigger</w:t>
      </w:r>
    </w:p>
    <w:p w14:paraId="22E2166D" w14:textId="080234A3" w:rsidR="005859F9" w:rsidRDefault="005859F9" w:rsidP="005859F9">
      <w:pPr>
        <w:pStyle w:val="ListParagraph"/>
        <w:numPr>
          <w:ilvl w:val="1"/>
          <w:numId w:val="12"/>
        </w:numPr>
        <w:ind w:firstLineChars="0"/>
      </w:pPr>
      <w:r>
        <w:t>Once the configured SDT RBs are resumed, the Rel-17 SDT mechanisms can be reused and hence both RA-SDT and CG-SDT can be supported for subsequent steps after the paging</w:t>
      </w:r>
    </w:p>
    <w:p w14:paraId="6D3EA9D6" w14:textId="77777777" w:rsidR="00FB1014" w:rsidRDefault="00FB1014" w:rsidP="00FB1014">
      <w:pPr>
        <w:pStyle w:val="ListParagraph"/>
        <w:numPr>
          <w:ilvl w:val="0"/>
          <w:numId w:val="12"/>
        </w:numPr>
        <w:ind w:firstLineChars="0"/>
      </w:pPr>
      <w:r>
        <w:t>Thus, the Rel-18 leverages all the building blocks that exist in NR to enable MT-SDT</w:t>
      </w:r>
    </w:p>
    <w:p w14:paraId="1A7C8BD5" w14:textId="77777777" w:rsidR="00FB1014" w:rsidRDefault="00FB1014" w:rsidP="00FB1014">
      <w:pPr>
        <w:pStyle w:val="ListParagraph"/>
        <w:numPr>
          <w:ilvl w:val="1"/>
          <w:numId w:val="12"/>
        </w:numPr>
        <w:ind w:firstLineChars="0"/>
      </w:pPr>
      <w:r>
        <w:t>Rel-15 RRC_INACTIVE state is used as the baseline</w:t>
      </w:r>
    </w:p>
    <w:p w14:paraId="353B405F" w14:textId="77777777" w:rsidR="00FB1014" w:rsidRDefault="00FB1014" w:rsidP="00FB1014">
      <w:pPr>
        <w:pStyle w:val="ListParagraph"/>
        <w:numPr>
          <w:ilvl w:val="1"/>
          <w:numId w:val="12"/>
        </w:numPr>
        <w:ind w:firstLineChars="0"/>
      </w:pPr>
      <w:r>
        <w:lastRenderedPageBreak/>
        <w:t>Rel-16 work on 2-step RACH is reused to support RA-SDT for MT traffic</w:t>
      </w:r>
    </w:p>
    <w:p w14:paraId="57AA17B9" w14:textId="62D9E800" w:rsidR="00FB1014" w:rsidRDefault="00FB1014" w:rsidP="00FB1014">
      <w:pPr>
        <w:pStyle w:val="ListParagraph"/>
        <w:numPr>
          <w:ilvl w:val="1"/>
          <w:numId w:val="12"/>
        </w:numPr>
        <w:ind w:firstLineChars="0"/>
      </w:pPr>
      <w:r>
        <w:t>Rel-17 work on RA-SDT and CG-SDT is reused to support the general transmission over configured RBs after the paging trigger</w:t>
      </w:r>
    </w:p>
    <w:p w14:paraId="5CA63DB6" w14:textId="1979ED2D" w:rsidR="00FB1014" w:rsidRDefault="00FB1014" w:rsidP="00FB1014">
      <w:r>
        <w:t>Based on the above, we propose to agree a work item for Rel-18 MT-SDT</w:t>
      </w:r>
    </w:p>
    <w:p w14:paraId="32BAAD8D" w14:textId="568BC8DF" w:rsidR="00FD1FB1" w:rsidRPr="00FB1014" w:rsidRDefault="00FB1014" w:rsidP="00CF1CA1">
      <w:pPr>
        <w:rPr>
          <w:b/>
          <w:bCs/>
        </w:rPr>
      </w:pPr>
      <w:r w:rsidRPr="00FB1014">
        <w:rPr>
          <w:b/>
          <w:bCs/>
        </w:rPr>
        <w:t xml:space="preserve">Proposal 1: RAN plenary </w:t>
      </w:r>
      <w:r w:rsidR="00AC4224">
        <w:rPr>
          <w:b/>
          <w:bCs/>
        </w:rPr>
        <w:t>is recommended to</w:t>
      </w:r>
      <w:r w:rsidRPr="00FB1014">
        <w:rPr>
          <w:b/>
          <w:bCs/>
        </w:rPr>
        <w:t xml:space="preserve"> approve </w:t>
      </w:r>
      <w:r w:rsidR="002B693D">
        <w:rPr>
          <w:b/>
          <w:bCs/>
        </w:rPr>
        <w:t xml:space="preserve">the </w:t>
      </w:r>
      <w:r w:rsidRPr="00FB1014">
        <w:rPr>
          <w:b/>
          <w:bCs/>
        </w:rPr>
        <w:t>WI to enable MT-SDT in Rel-18</w:t>
      </w:r>
    </w:p>
    <w:p w14:paraId="162587F3" w14:textId="7A96EDE1" w:rsidR="0048599B" w:rsidRDefault="00FA24B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0B30C5C8" w14:textId="66EFC211" w:rsidR="004F29BD" w:rsidRDefault="004F29BD" w:rsidP="004F29BD">
      <w:r>
        <w:t xml:space="preserve">In this contribution motivation for Rel-18 MT-SDT WI is provided and the following observations and proposals are made: </w:t>
      </w:r>
    </w:p>
    <w:p w14:paraId="4E22AA04" w14:textId="4185A862" w:rsidR="004F29BD" w:rsidRDefault="004F29BD" w:rsidP="004F29BD">
      <w:pPr>
        <w:rPr>
          <w:b/>
          <w:bCs/>
        </w:rPr>
      </w:pPr>
      <w:r>
        <w:rPr>
          <w:b/>
          <w:bCs/>
        </w:rPr>
        <w:t>Observation 1: Even with the basic building blocks for small</w:t>
      </w:r>
      <w:r w:rsidR="002A5BE1">
        <w:rPr>
          <w:b/>
          <w:bCs/>
        </w:rPr>
        <w:t xml:space="preserve"> </w:t>
      </w:r>
      <w:r>
        <w:rPr>
          <w:b/>
          <w:bCs/>
        </w:rPr>
        <w:t xml:space="preserve">data transmission, NR, is not optimal in terms of signaling overhead and battery efficiency for handling MT-SDT traffic. </w:t>
      </w:r>
    </w:p>
    <w:p w14:paraId="22E14807" w14:textId="77777777" w:rsidR="004F29BD" w:rsidRDefault="004F29BD" w:rsidP="004F29BD">
      <w:r>
        <w:rPr>
          <w:b/>
          <w:bCs/>
        </w:rPr>
        <w:t xml:space="preserve">Observation 2: Mobile terminating small and infrequent data traffic is fairly prevalent in the networks and contribute to a significant amount of </w:t>
      </w:r>
      <w:proofErr w:type="spellStart"/>
      <w:r>
        <w:rPr>
          <w:b/>
          <w:bCs/>
        </w:rPr>
        <w:t>signalling</w:t>
      </w:r>
      <w:proofErr w:type="spellEnd"/>
      <w:r>
        <w:rPr>
          <w:b/>
          <w:bCs/>
        </w:rPr>
        <w:t xml:space="preserve"> overhead and power consumption. </w:t>
      </w:r>
    </w:p>
    <w:p w14:paraId="3794EF96" w14:textId="1F01AF24" w:rsidR="004F29BD" w:rsidRPr="00FB1014" w:rsidRDefault="004F29BD" w:rsidP="004F29BD">
      <w:pPr>
        <w:rPr>
          <w:b/>
          <w:bCs/>
        </w:rPr>
      </w:pPr>
      <w:r w:rsidRPr="00FB1014">
        <w:rPr>
          <w:b/>
          <w:bCs/>
        </w:rPr>
        <w:t xml:space="preserve">Proposal 1: </w:t>
      </w:r>
      <w:r w:rsidR="00AC4224" w:rsidRPr="00FB1014">
        <w:rPr>
          <w:b/>
          <w:bCs/>
        </w:rPr>
        <w:t xml:space="preserve">RAN plenary </w:t>
      </w:r>
      <w:r w:rsidR="00AC4224">
        <w:rPr>
          <w:b/>
          <w:bCs/>
        </w:rPr>
        <w:t>is recommended to</w:t>
      </w:r>
      <w:r w:rsidR="00AC4224" w:rsidRPr="00FB1014">
        <w:rPr>
          <w:b/>
          <w:bCs/>
        </w:rPr>
        <w:t xml:space="preserve"> approve </w:t>
      </w:r>
      <w:r w:rsidR="002B693D">
        <w:rPr>
          <w:b/>
          <w:bCs/>
        </w:rPr>
        <w:t>the</w:t>
      </w:r>
      <w:r w:rsidR="00AC4224" w:rsidRPr="00FB1014">
        <w:rPr>
          <w:b/>
          <w:bCs/>
        </w:rPr>
        <w:t xml:space="preserve"> WI to enable MT-SDT in Rel-18</w:t>
      </w:r>
    </w:p>
    <w:p w14:paraId="72A53AFF" w14:textId="77777777" w:rsidR="0048599B" w:rsidRDefault="00FA24B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7F535032" w14:textId="7324C88D" w:rsidR="0048599B" w:rsidRPr="00056EE7" w:rsidRDefault="00425892">
      <w:pPr>
        <w:widowControl/>
        <w:numPr>
          <w:ilvl w:val="0"/>
          <w:numId w:val="7"/>
        </w:numPr>
        <w:spacing w:before="75" w:after="75" w:line="315" w:lineRule="auto"/>
        <w:ind w:left="720" w:hanging="360"/>
        <w:jc w:val="left"/>
        <w:rPr>
          <w:rFonts w:ascii="Arial" w:eastAsia="Arial" w:hAnsi="Arial" w:cs="Arial"/>
          <w:color w:val="000000"/>
        </w:rPr>
      </w:pPr>
      <w:bookmarkStart w:id="3" w:name="_Ref88646127"/>
      <w:r>
        <w:rPr>
          <w:rFonts w:ascii="Arial" w:eastAsia="Arial" w:hAnsi="Arial" w:cs="Arial"/>
          <w:color w:val="000000"/>
        </w:rPr>
        <w:t>RP-212726</w:t>
      </w:r>
      <w:r>
        <w:rPr>
          <w:rFonts w:ascii="Arial" w:eastAsia="Arial" w:hAnsi="Arial" w:cs="Arial"/>
          <w:color w:val="000000"/>
        </w:rPr>
        <w:tab/>
      </w:r>
      <w:r w:rsidRPr="00425892">
        <w:rPr>
          <w:rFonts w:ascii="Arial" w:eastAsia="Arial" w:hAnsi="Arial" w:cs="Arial"/>
          <w:color w:val="000000"/>
        </w:rPr>
        <w:t>New WID on MT-SDT</w:t>
      </w:r>
      <w:r>
        <w:rPr>
          <w:rFonts w:ascii="Arial" w:eastAsia="Arial" w:hAnsi="Arial" w:cs="Arial"/>
          <w:color w:val="000000"/>
        </w:rPr>
        <w:tab/>
      </w:r>
      <w:r w:rsidRPr="00425892">
        <w:rPr>
          <w:rFonts w:ascii="Arial" w:eastAsia="Arial" w:hAnsi="Arial" w:cs="Arial"/>
          <w:color w:val="000000"/>
        </w:rPr>
        <w:t>RAN2 VC (Moderator)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RAN#94e</w:t>
      </w:r>
      <w:bookmarkEnd w:id="3"/>
    </w:p>
    <w:sectPr w:rsidR="0048599B" w:rsidRPr="00056EE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1C9F1" w14:textId="77777777" w:rsidR="002A5D06" w:rsidRDefault="002A5D06">
      <w:pPr>
        <w:spacing w:after="0" w:line="240" w:lineRule="auto"/>
      </w:pPr>
      <w:r>
        <w:separator/>
      </w:r>
    </w:p>
  </w:endnote>
  <w:endnote w:type="continuationSeparator" w:id="0">
    <w:p w14:paraId="501896FC" w14:textId="77777777" w:rsidR="002A5D06" w:rsidRDefault="002A5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9A0C" w14:textId="77777777" w:rsidR="0048599B" w:rsidRDefault="00FA24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DD6F11" w14:textId="77777777" w:rsidR="0048599B" w:rsidRDefault="004859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611D2" w14:textId="77777777" w:rsidR="0048599B" w:rsidRDefault="0048599B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203F" w14:textId="77777777" w:rsidR="00AC4224" w:rsidRDefault="00AC4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ADD51" w14:textId="77777777" w:rsidR="002A5D06" w:rsidRDefault="002A5D06">
      <w:pPr>
        <w:spacing w:after="0" w:line="240" w:lineRule="auto"/>
      </w:pPr>
      <w:r>
        <w:separator/>
      </w:r>
    </w:p>
  </w:footnote>
  <w:footnote w:type="continuationSeparator" w:id="0">
    <w:p w14:paraId="07E3E08C" w14:textId="77777777" w:rsidR="002A5D06" w:rsidRDefault="002A5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3C59F" w14:textId="77777777" w:rsidR="00AC4224" w:rsidRDefault="00AC42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3951" w14:textId="77777777" w:rsidR="0048599B" w:rsidRDefault="0048599B">
    <w:pPr>
      <w:jc w:val="distribute"/>
      <w:rPr>
        <w:rFonts w:eastAsia="STFangsong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E8BE1" w14:textId="77777777" w:rsidR="00AC4224" w:rsidRDefault="00AC42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2687C3"/>
    <w:multiLevelType w:val="singleLevel"/>
    <w:tmpl w:val="842687C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40E44B3"/>
    <w:multiLevelType w:val="multilevel"/>
    <w:tmpl w:val="040E44B3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33FA8"/>
    <w:multiLevelType w:val="multilevel"/>
    <w:tmpl w:val="06633F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831BF"/>
    <w:multiLevelType w:val="multilevel"/>
    <w:tmpl w:val="2EA831BF"/>
    <w:lvl w:ilvl="0">
      <w:start w:val="1"/>
      <w:numFmt w:val="decimal"/>
      <w:lvlText w:val="[%1]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9F6559"/>
    <w:multiLevelType w:val="hybridMultilevel"/>
    <w:tmpl w:val="F9E8C5DE"/>
    <w:lvl w:ilvl="0" w:tplc="2EC21E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E3574F"/>
    <w:multiLevelType w:val="hybridMultilevel"/>
    <w:tmpl w:val="28906A8A"/>
    <w:lvl w:ilvl="0" w:tplc="D3F60C8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0A7414"/>
    <w:multiLevelType w:val="multilevel"/>
    <w:tmpl w:val="FA08BA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10"/>
  </w:num>
  <w:num w:numId="9">
    <w:abstractNumId w:val="6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BC"/>
    <w:rsid w:val="00001366"/>
    <w:rsid w:val="0000394D"/>
    <w:rsid w:val="000055B1"/>
    <w:rsid w:val="0000703C"/>
    <w:rsid w:val="000103E7"/>
    <w:rsid w:val="000130CA"/>
    <w:rsid w:val="00013FAD"/>
    <w:rsid w:val="00017BA5"/>
    <w:rsid w:val="00017D3A"/>
    <w:rsid w:val="00020320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56EE7"/>
    <w:rsid w:val="000603D6"/>
    <w:rsid w:val="0007093A"/>
    <w:rsid w:val="0007205B"/>
    <w:rsid w:val="00073BCE"/>
    <w:rsid w:val="000755A8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D46DC"/>
    <w:rsid w:val="000E1125"/>
    <w:rsid w:val="000E1993"/>
    <w:rsid w:val="000E3B8A"/>
    <w:rsid w:val="000F099E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0D96"/>
    <w:rsid w:val="001413B6"/>
    <w:rsid w:val="00141835"/>
    <w:rsid w:val="00141EAA"/>
    <w:rsid w:val="00145AFF"/>
    <w:rsid w:val="00147740"/>
    <w:rsid w:val="00150BAB"/>
    <w:rsid w:val="00152BC7"/>
    <w:rsid w:val="001553CA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4CD0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C6081"/>
    <w:rsid w:val="001C7F10"/>
    <w:rsid w:val="001D2914"/>
    <w:rsid w:val="001D2FB0"/>
    <w:rsid w:val="001E0341"/>
    <w:rsid w:val="001E1C36"/>
    <w:rsid w:val="001E3B6E"/>
    <w:rsid w:val="001E3D8C"/>
    <w:rsid w:val="001E43EF"/>
    <w:rsid w:val="001E44CD"/>
    <w:rsid w:val="001E6F40"/>
    <w:rsid w:val="001E765D"/>
    <w:rsid w:val="001F31F0"/>
    <w:rsid w:val="001F3DF5"/>
    <w:rsid w:val="001F4346"/>
    <w:rsid w:val="001F5D05"/>
    <w:rsid w:val="00201FFE"/>
    <w:rsid w:val="00202C4B"/>
    <w:rsid w:val="002037AE"/>
    <w:rsid w:val="00203B88"/>
    <w:rsid w:val="00206380"/>
    <w:rsid w:val="00211F18"/>
    <w:rsid w:val="002155FA"/>
    <w:rsid w:val="002176DE"/>
    <w:rsid w:val="00223B64"/>
    <w:rsid w:val="0023029F"/>
    <w:rsid w:val="00231281"/>
    <w:rsid w:val="00231914"/>
    <w:rsid w:val="00231DC2"/>
    <w:rsid w:val="002333B7"/>
    <w:rsid w:val="002344F2"/>
    <w:rsid w:val="00235E04"/>
    <w:rsid w:val="002368E4"/>
    <w:rsid w:val="00241832"/>
    <w:rsid w:val="00242B85"/>
    <w:rsid w:val="00244D42"/>
    <w:rsid w:val="00246FFA"/>
    <w:rsid w:val="00247076"/>
    <w:rsid w:val="00252B94"/>
    <w:rsid w:val="00252BCC"/>
    <w:rsid w:val="00255E19"/>
    <w:rsid w:val="00256C2E"/>
    <w:rsid w:val="002570FB"/>
    <w:rsid w:val="00257233"/>
    <w:rsid w:val="00260716"/>
    <w:rsid w:val="0026193E"/>
    <w:rsid w:val="00261A9C"/>
    <w:rsid w:val="00261E11"/>
    <w:rsid w:val="00262518"/>
    <w:rsid w:val="00270A1C"/>
    <w:rsid w:val="00271ED8"/>
    <w:rsid w:val="002730ED"/>
    <w:rsid w:val="00281718"/>
    <w:rsid w:val="00283CFA"/>
    <w:rsid w:val="002855D0"/>
    <w:rsid w:val="00290E18"/>
    <w:rsid w:val="00291D54"/>
    <w:rsid w:val="00293A6E"/>
    <w:rsid w:val="00297A88"/>
    <w:rsid w:val="002A5BE1"/>
    <w:rsid w:val="002A5D06"/>
    <w:rsid w:val="002B1F00"/>
    <w:rsid w:val="002B24A3"/>
    <w:rsid w:val="002B2BBC"/>
    <w:rsid w:val="002B351B"/>
    <w:rsid w:val="002B3C48"/>
    <w:rsid w:val="002B434C"/>
    <w:rsid w:val="002B4F1D"/>
    <w:rsid w:val="002B693D"/>
    <w:rsid w:val="002B7EF3"/>
    <w:rsid w:val="002C0414"/>
    <w:rsid w:val="002C0864"/>
    <w:rsid w:val="002C0F12"/>
    <w:rsid w:val="002C302E"/>
    <w:rsid w:val="002C3ABE"/>
    <w:rsid w:val="002C4649"/>
    <w:rsid w:val="002D00AA"/>
    <w:rsid w:val="002D044D"/>
    <w:rsid w:val="002D0F0A"/>
    <w:rsid w:val="002D21D5"/>
    <w:rsid w:val="002D35FA"/>
    <w:rsid w:val="002D3797"/>
    <w:rsid w:val="002D37AB"/>
    <w:rsid w:val="002D6461"/>
    <w:rsid w:val="002D650F"/>
    <w:rsid w:val="002D6E18"/>
    <w:rsid w:val="002E002E"/>
    <w:rsid w:val="002E28F9"/>
    <w:rsid w:val="002E3447"/>
    <w:rsid w:val="002E5737"/>
    <w:rsid w:val="002E60A1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51"/>
    <w:rsid w:val="00312DD1"/>
    <w:rsid w:val="00313308"/>
    <w:rsid w:val="00313546"/>
    <w:rsid w:val="003144CA"/>
    <w:rsid w:val="003171FD"/>
    <w:rsid w:val="00321077"/>
    <w:rsid w:val="00322EDB"/>
    <w:rsid w:val="003268BB"/>
    <w:rsid w:val="00330072"/>
    <w:rsid w:val="00330B4E"/>
    <w:rsid w:val="0033176D"/>
    <w:rsid w:val="003335C5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591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2DBA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2EA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C7733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C95"/>
    <w:rsid w:val="003E7D68"/>
    <w:rsid w:val="003F1437"/>
    <w:rsid w:val="003F1631"/>
    <w:rsid w:val="003F3365"/>
    <w:rsid w:val="003F39E3"/>
    <w:rsid w:val="003F448B"/>
    <w:rsid w:val="003F58F6"/>
    <w:rsid w:val="003F6316"/>
    <w:rsid w:val="00401149"/>
    <w:rsid w:val="00402720"/>
    <w:rsid w:val="00402985"/>
    <w:rsid w:val="00404D92"/>
    <w:rsid w:val="00406593"/>
    <w:rsid w:val="004069B2"/>
    <w:rsid w:val="004079E3"/>
    <w:rsid w:val="00410408"/>
    <w:rsid w:val="00413229"/>
    <w:rsid w:val="00413D6F"/>
    <w:rsid w:val="004228A3"/>
    <w:rsid w:val="004229AC"/>
    <w:rsid w:val="00423D3B"/>
    <w:rsid w:val="004245A3"/>
    <w:rsid w:val="00424A48"/>
    <w:rsid w:val="00425892"/>
    <w:rsid w:val="004274EC"/>
    <w:rsid w:val="00427917"/>
    <w:rsid w:val="00436238"/>
    <w:rsid w:val="00441EB5"/>
    <w:rsid w:val="00442CB8"/>
    <w:rsid w:val="0044341B"/>
    <w:rsid w:val="00443D84"/>
    <w:rsid w:val="00444F7D"/>
    <w:rsid w:val="00445007"/>
    <w:rsid w:val="00446A9B"/>
    <w:rsid w:val="00453750"/>
    <w:rsid w:val="0045560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99B"/>
    <w:rsid w:val="00485AE4"/>
    <w:rsid w:val="00486111"/>
    <w:rsid w:val="0049176F"/>
    <w:rsid w:val="00492EA5"/>
    <w:rsid w:val="00493247"/>
    <w:rsid w:val="00496C42"/>
    <w:rsid w:val="00497922"/>
    <w:rsid w:val="004A0053"/>
    <w:rsid w:val="004A1B41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29BD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0688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680"/>
    <w:rsid w:val="0055689F"/>
    <w:rsid w:val="00561349"/>
    <w:rsid w:val="005657FC"/>
    <w:rsid w:val="00567054"/>
    <w:rsid w:val="00567A9A"/>
    <w:rsid w:val="00570FEC"/>
    <w:rsid w:val="00571A8C"/>
    <w:rsid w:val="0057377D"/>
    <w:rsid w:val="00576B9B"/>
    <w:rsid w:val="00585689"/>
    <w:rsid w:val="005859F9"/>
    <w:rsid w:val="00585E04"/>
    <w:rsid w:val="0058687D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138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56A6"/>
    <w:rsid w:val="005F6041"/>
    <w:rsid w:val="005F7E99"/>
    <w:rsid w:val="00600096"/>
    <w:rsid w:val="00601081"/>
    <w:rsid w:val="006012C6"/>
    <w:rsid w:val="00603239"/>
    <w:rsid w:val="0060473D"/>
    <w:rsid w:val="006053DC"/>
    <w:rsid w:val="00606C6B"/>
    <w:rsid w:val="0060767B"/>
    <w:rsid w:val="00607A61"/>
    <w:rsid w:val="0061078C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2509"/>
    <w:rsid w:val="0065579F"/>
    <w:rsid w:val="00666AE4"/>
    <w:rsid w:val="0066713A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35"/>
    <w:rsid w:val="006B0CBE"/>
    <w:rsid w:val="006B1969"/>
    <w:rsid w:val="006B2F1E"/>
    <w:rsid w:val="006B3DD7"/>
    <w:rsid w:val="006B48F1"/>
    <w:rsid w:val="006B539B"/>
    <w:rsid w:val="006C2D21"/>
    <w:rsid w:val="006C60A2"/>
    <w:rsid w:val="006C6193"/>
    <w:rsid w:val="006D0533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3A47"/>
    <w:rsid w:val="00736CDD"/>
    <w:rsid w:val="00736FEF"/>
    <w:rsid w:val="00737516"/>
    <w:rsid w:val="007411B7"/>
    <w:rsid w:val="00741230"/>
    <w:rsid w:val="0074310F"/>
    <w:rsid w:val="00745C1D"/>
    <w:rsid w:val="00746271"/>
    <w:rsid w:val="007479EB"/>
    <w:rsid w:val="007517C3"/>
    <w:rsid w:val="00751F23"/>
    <w:rsid w:val="0075278C"/>
    <w:rsid w:val="00754CA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49C0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55B8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2795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00EF"/>
    <w:rsid w:val="00822D4B"/>
    <w:rsid w:val="00823AF8"/>
    <w:rsid w:val="00824D5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B13"/>
    <w:rsid w:val="00856F99"/>
    <w:rsid w:val="008609B3"/>
    <w:rsid w:val="00860FE6"/>
    <w:rsid w:val="00864140"/>
    <w:rsid w:val="00864D17"/>
    <w:rsid w:val="00865486"/>
    <w:rsid w:val="008702BF"/>
    <w:rsid w:val="008719DB"/>
    <w:rsid w:val="00872250"/>
    <w:rsid w:val="008731B8"/>
    <w:rsid w:val="00873D16"/>
    <w:rsid w:val="008768D2"/>
    <w:rsid w:val="00880F6C"/>
    <w:rsid w:val="008850B6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A781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E2C"/>
    <w:rsid w:val="008D681A"/>
    <w:rsid w:val="008D6B1A"/>
    <w:rsid w:val="008D6D38"/>
    <w:rsid w:val="008E0617"/>
    <w:rsid w:val="008E5B71"/>
    <w:rsid w:val="008E5BBF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1740C"/>
    <w:rsid w:val="00922A9F"/>
    <w:rsid w:val="0092384D"/>
    <w:rsid w:val="00925478"/>
    <w:rsid w:val="00925748"/>
    <w:rsid w:val="00925A8F"/>
    <w:rsid w:val="00925D8E"/>
    <w:rsid w:val="009269F5"/>
    <w:rsid w:val="00930CAD"/>
    <w:rsid w:val="009400CF"/>
    <w:rsid w:val="00940533"/>
    <w:rsid w:val="009410AE"/>
    <w:rsid w:val="00942AD5"/>
    <w:rsid w:val="009432FE"/>
    <w:rsid w:val="009438F8"/>
    <w:rsid w:val="00944414"/>
    <w:rsid w:val="00945FA9"/>
    <w:rsid w:val="009467C2"/>
    <w:rsid w:val="0094691D"/>
    <w:rsid w:val="009544CE"/>
    <w:rsid w:val="00954F42"/>
    <w:rsid w:val="00957172"/>
    <w:rsid w:val="009578D1"/>
    <w:rsid w:val="00957A33"/>
    <w:rsid w:val="0096003B"/>
    <w:rsid w:val="0096081E"/>
    <w:rsid w:val="0096137E"/>
    <w:rsid w:val="0096159D"/>
    <w:rsid w:val="00961E92"/>
    <w:rsid w:val="0096459F"/>
    <w:rsid w:val="009647C5"/>
    <w:rsid w:val="0096604F"/>
    <w:rsid w:val="00966280"/>
    <w:rsid w:val="009663C5"/>
    <w:rsid w:val="00971DDC"/>
    <w:rsid w:val="00973464"/>
    <w:rsid w:val="00973DA2"/>
    <w:rsid w:val="009755AD"/>
    <w:rsid w:val="009757E0"/>
    <w:rsid w:val="009761F1"/>
    <w:rsid w:val="00976367"/>
    <w:rsid w:val="0097718E"/>
    <w:rsid w:val="009800B6"/>
    <w:rsid w:val="00985DB7"/>
    <w:rsid w:val="009861C6"/>
    <w:rsid w:val="00986B3C"/>
    <w:rsid w:val="009903A8"/>
    <w:rsid w:val="00991070"/>
    <w:rsid w:val="00992DCD"/>
    <w:rsid w:val="0099357C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184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E77F5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19E2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612"/>
    <w:rsid w:val="00A54719"/>
    <w:rsid w:val="00A5709E"/>
    <w:rsid w:val="00A612B9"/>
    <w:rsid w:val="00A65FFF"/>
    <w:rsid w:val="00A66B14"/>
    <w:rsid w:val="00A66CF8"/>
    <w:rsid w:val="00A67D68"/>
    <w:rsid w:val="00A70A2F"/>
    <w:rsid w:val="00A727DA"/>
    <w:rsid w:val="00A7440B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47AF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2B87"/>
    <w:rsid w:val="00AC4224"/>
    <w:rsid w:val="00AC4276"/>
    <w:rsid w:val="00AC464D"/>
    <w:rsid w:val="00AC51E8"/>
    <w:rsid w:val="00AD0CA9"/>
    <w:rsid w:val="00AD1C5F"/>
    <w:rsid w:val="00AD2407"/>
    <w:rsid w:val="00AD62D8"/>
    <w:rsid w:val="00AE5146"/>
    <w:rsid w:val="00AE55C5"/>
    <w:rsid w:val="00AE5A4F"/>
    <w:rsid w:val="00AE7B16"/>
    <w:rsid w:val="00AF0B65"/>
    <w:rsid w:val="00AF1B4F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26F"/>
    <w:rsid w:val="00B15903"/>
    <w:rsid w:val="00B166C8"/>
    <w:rsid w:val="00B16D3A"/>
    <w:rsid w:val="00B23604"/>
    <w:rsid w:val="00B243E6"/>
    <w:rsid w:val="00B247B7"/>
    <w:rsid w:val="00B2566A"/>
    <w:rsid w:val="00B2704A"/>
    <w:rsid w:val="00B40688"/>
    <w:rsid w:val="00B40810"/>
    <w:rsid w:val="00B41694"/>
    <w:rsid w:val="00B425D5"/>
    <w:rsid w:val="00B426BB"/>
    <w:rsid w:val="00B427B9"/>
    <w:rsid w:val="00B42907"/>
    <w:rsid w:val="00B43371"/>
    <w:rsid w:val="00B43891"/>
    <w:rsid w:val="00B44CA2"/>
    <w:rsid w:val="00B454AE"/>
    <w:rsid w:val="00B5008D"/>
    <w:rsid w:val="00B50D18"/>
    <w:rsid w:val="00B52464"/>
    <w:rsid w:val="00B55CF3"/>
    <w:rsid w:val="00B65BF6"/>
    <w:rsid w:val="00B670CE"/>
    <w:rsid w:val="00B67B79"/>
    <w:rsid w:val="00B67E74"/>
    <w:rsid w:val="00B716F8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F6E"/>
    <w:rsid w:val="00BA2E0C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D719C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1B15"/>
    <w:rsid w:val="00C11D21"/>
    <w:rsid w:val="00C11EFC"/>
    <w:rsid w:val="00C1675F"/>
    <w:rsid w:val="00C21F2D"/>
    <w:rsid w:val="00C23439"/>
    <w:rsid w:val="00C27213"/>
    <w:rsid w:val="00C278C2"/>
    <w:rsid w:val="00C32425"/>
    <w:rsid w:val="00C32C18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2471"/>
    <w:rsid w:val="00C72B4C"/>
    <w:rsid w:val="00C8086B"/>
    <w:rsid w:val="00C82D97"/>
    <w:rsid w:val="00C84D14"/>
    <w:rsid w:val="00C90169"/>
    <w:rsid w:val="00C910FD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08EB"/>
    <w:rsid w:val="00CB1749"/>
    <w:rsid w:val="00CB186B"/>
    <w:rsid w:val="00CB3A9F"/>
    <w:rsid w:val="00CB5048"/>
    <w:rsid w:val="00CB7850"/>
    <w:rsid w:val="00CC10DA"/>
    <w:rsid w:val="00CC156D"/>
    <w:rsid w:val="00CC58C3"/>
    <w:rsid w:val="00CD229F"/>
    <w:rsid w:val="00CE2D1F"/>
    <w:rsid w:val="00CE52F0"/>
    <w:rsid w:val="00CF18A3"/>
    <w:rsid w:val="00CF1CA1"/>
    <w:rsid w:val="00CF356A"/>
    <w:rsid w:val="00CF4A61"/>
    <w:rsid w:val="00D029CB"/>
    <w:rsid w:val="00D04274"/>
    <w:rsid w:val="00D05A8B"/>
    <w:rsid w:val="00D06659"/>
    <w:rsid w:val="00D0699D"/>
    <w:rsid w:val="00D07EE4"/>
    <w:rsid w:val="00D1447E"/>
    <w:rsid w:val="00D164B7"/>
    <w:rsid w:val="00D1747A"/>
    <w:rsid w:val="00D205D0"/>
    <w:rsid w:val="00D21306"/>
    <w:rsid w:val="00D2151A"/>
    <w:rsid w:val="00D22151"/>
    <w:rsid w:val="00D2400A"/>
    <w:rsid w:val="00D240AB"/>
    <w:rsid w:val="00D25CA2"/>
    <w:rsid w:val="00D26BCB"/>
    <w:rsid w:val="00D26CC6"/>
    <w:rsid w:val="00D275C6"/>
    <w:rsid w:val="00D27639"/>
    <w:rsid w:val="00D3216D"/>
    <w:rsid w:val="00D369E4"/>
    <w:rsid w:val="00D41A51"/>
    <w:rsid w:val="00D42DFD"/>
    <w:rsid w:val="00D45E14"/>
    <w:rsid w:val="00D4755C"/>
    <w:rsid w:val="00D4779C"/>
    <w:rsid w:val="00D52834"/>
    <w:rsid w:val="00D544FE"/>
    <w:rsid w:val="00D5596F"/>
    <w:rsid w:val="00D562BA"/>
    <w:rsid w:val="00D56F3F"/>
    <w:rsid w:val="00D61F13"/>
    <w:rsid w:val="00D672D6"/>
    <w:rsid w:val="00D67D4A"/>
    <w:rsid w:val="00D70B9D"/>
    <w:rsid w:val="00D72B46"/>
    <w:rsid w:val="00D72EEE"/>
    <w:rsid w:val="00D73122"/>
    <w:rsid w:val="00D75D2E"/>
    <w:rsid w:val="00D76990"/>
    <w:rsid w:val="00D806A3"/>
    <w:rsid w:val="00D81BAC"/>
    <w:rsid w:val="00D83149"/>
    <w:rsid w:val="00D83173"/>
    <w:rsid w:val="00D8380A"/>
    <w:rsid w:val="00D84ABB"/>
    <w:rsid w:val="00D85273"/>
    <w:rsid w:val="00D8755F"/>
    <w:rsid w:val="00D90CC5"/>
    <w:rsid w:val="00D92C6A"/>
    <w:rsid w:val="00D95330"/>
    <w:rsid w:val="00DA12AB"/>
    <w:rsid w:val="00DA7973"/>
    <w:rsid w:val="00DB3689"/>
    <w:rsid w:val="00DB3767"/>
    <w:rsid w:val="00DB39E0"/>
    <w:rsid w:val="00DB404E"/>
    <w:rsid w:val="00DB7729"/>
    <w:rsid w:val="00DC22BE"/>
    <w:rsid w:val="00DC5F62"/>
    <w:rsid w:val="00DC7FAF"/>
    <w:rsid w:val="00DD02BA"/>
    <w:rsid w:val="00DD100B"/>
    <w:rsid w:val="00DD42F9"/>
    <w:rsid w:val="00DD60D7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866"/>
    <w:rsid w:val="00E27FC2"/>
    <w:rsid w:val="00E31912"/>
    <w:rsid w:val="00E31B60"/>
    <w:rsid w:val="00E34D88"/>
    <w:rsid w:val="00E353DB"/>
    <w:rsid w:val="00E36375"/>
    <w:rsid w:val="00E40D48"/>
    <w:rsid w:val="00E40DBF"/>
    <w:rsid w:val="00E4280E"/>
    <w:rsid w:val="00E42C98"/>
    <w:rsid w:val="00E4333A"/>
    <w:rsid w:val="00E43798"/>
    <w:rsid w:val="00E43842"/>
    <w:rsid w:val="00E468CA"/>
    <w:rsid w:val="00E47D3F"/>
    <w:rsid w:val="00E521EE"/>
    <w:rsid w:val="00E62B3D"/>
    <w:rsid w:val="00E6315A"/>
    <w:rsid w:val="00E63986"/>
    <w:rsid w:val="00E65E86"/>
    <w:rsid w:val="00E66C3B"/>
    <w:rsid w:val="00E71B00"/>
    <w:rsid w:val="00E73C7F"/>
    <w:rsid w:val="00E740D9"/>
    <w:rsid w:val="00E8224F"/>
    <w:rsid w:val="00E83F18"/>
    <w:rsid w:val="00E853FB"/>
    <w:rsid w:val="00E85E3C"/>
    <w:rsid w:val="00E943EE"/>
    <w:rsid w:val="00EA0385"/>
    <w:rsid w:val="00EA0C29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EF7BA4"/>
    <w:rsid w:val="00F012FF"/>
    <w:rsid w:val="00F01A21"/>
    <w:rsid w:val="00F046E9"/>
    <w:rsid w:val="00F04831"/>
    <w:rsid w:val="00F12DA8"/>
    <w:rsid w:val="00F1322B"/>
    <w:rsid w:val="00F13339"/>
    <w:rsid w:val="00F13699"/>
    <w:rsid w:val="00F14E4E"/>
    <w:rsid w:val="00F16AB3"/>
    <w:rsid w:val="00F20E2B"/>
    <w:rsid w:val="00F25BEF"/>
    <w:rsid w:val="00F270BA"/>
    <w:rsid w:val="00F27B4B"/>
    <w:rsid w:val="00F308AF"/>
    <w:rsid w:val="00F32911"/>
    <w:rsid w:val="00F337F8"/>
    <w:rsid w:val="00F3440F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9E8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75D63"/>
    <w:rsid w:val="00F83593"/>
    <w:rsid w:val="00F837F7"/>
    <w:rsid w:val="00F83F72"/>
    <w:rsid w:val="00F854ED"/>
    <w:rsid w:val="00F90E30"/>
    <w:rsid w:val="00F917E4"/>
    <w:rsid w:val="00F91B00"/>
    <w:rsid w:val="00F9424D"/>
    <w:rsid w:val="00F94C3A"/>
    <w:rsid w:val="00F94D96"/>
    <w:rsid w:val="00F94DFC"/>
    <w:rsid w:val="00F96BAD"/>
    <w:rsid w:val="00FA24B9"/>
    <w:rsid w:val="00FA34B5"/>
    <w:rsid w:val="00FA663E"/>
    <w:rsid w:val="00FA7067"/>
    <w:rsid w:val="00FB0158"/>
    <w:rsid w:val="00FB06CF"/>
    <w:rsid w:val="00FB1014"/>
    <w:rsid w:val="00FB16BC"/>
    <w:rsid w:val="00FB25A0"/>
    <w:rsid w:val="00FB2D7C"/>
    <w:rsid w:val="00FB4F37"/>
    <w:rsid w:val="00FB79F1"/>
    <w:rsid w:val="00FB7E5A"/>
    <w:rsid w:val="00FC6E54"/>
    <w:rsid w:val="00FD1379"/>
    <w:rsid w:val="00FD1FB1"/>
    <w:rsid w:val="00FD33A2"/>
    <w:rsid w:val="00FD6206"/>
    <w:rsid w:val="00FE09E7"/>
    <w:rsid w:val="00FE0F51"/>
    <w:rsid w:val="00FE2161"/>
    <w:rsid w:val="00FE58B6"/>
    <w:rsid w:val="00FE7430"/>
    <w:rsid w:val="00FF0471"/>
    <w:rsid w:val="00FF0771"/>
    <w:rsid w:val="00FF0AAD"/>
    <w:rsid w:val="00FF27D2"/>
    <w:rsid w:val="00FF29CE"/>
    <w:rsid w:val="00FF2E7C"/>
    <w:rsid w:val="00FF33F4"/>
    <w:rsid w:val="00FF3FC8"/>
    <w:rsid w:val="0E9B0F0B"/>
    <w:rsid w:val="44C70D28"/>
    <w:rsid w:val="5BA32AD2"/>
    <w:rsid w:val="69797C2C"/>
    <w:rsid w:val="7A0E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A0D46"/>
  <w15:docId w15:val="{DA7D63CB-1DDE-48C9-BAB4-00DC0059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Normal Indent" w:semiHidden="1" w:unhideWhenUsed="1"/>
    <w:lsdException w:name="annotation text" w:unhideWhenUsed="1"/>
    <w:lsdException w:name="header" w:uiPriority="99"/>
    <w:lsdException w:name="footer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2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unhideWhenUsed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Normal"/>
    <w:next w:val="Normal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  <w:lang w:val="en-US" w:eastAsia="zh-CN"/>
    </w:rPr>
  </w:style>
  <w:style w:type="paragraph" w:styleId="FootnoteText">
    <w:name w:val="footnote text"/>
    <w:basedOn w:val="Normal"/>
    <w:link w:val="FootnoteTextChar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rPr>
      <w:rFonts w:eastAsia="MS Mincho"/>
      <w:lang w:val="en-GB"/>
    </w:rPr>
  </w:style>
  <w:style w:type="character" w:customStyle="1" w:styleId="B1Char1">
    <w:name w:val="B1 Char1"/>
    <w:link w:val="B1"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Pr>
      <w:rFonts w:ascii="SimSun"/>
      <w:sz w:val="21"/>
    </w:rPr>
  </w:style>
  <w:style w:type="character" w:customStyle="1" w:styleId="SubHeadingChar">
    <w:name w:val="SubHeading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</w:style>
  <w:style w:type="character" w:customStyle="1" w:styleId="Doc-titleChar">
    <w:name w:val="Doc-title Char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Pr>
      <w:kern w:val="2"/>
      <w:sz w:val="18"/>
      <w:szCs w:val="18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CharChar0">
    <w:name w:val="附录公式 Char Char"/>
    <w:basedOn w:val="CharChar"/>
    <w:link w:val="a0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pPr>
      <w:jc w:val="center"/>
    </w:pPr>
    <w:rPr>
      <w:rFonts w:ascii="SimSun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pPr>
      <w:widowControl w:val="0"/>
      <w:ind w:left="360" w:hanging="360"/>
      <w:jc w:val="both"/>
    </w:pPr>
    <w:rPr>
      <w:rFonts w:ascii="SimSun"/>
      <w:sz w:val="18"/>
      <w:szCs w:val="18"/>
      <w:lang w:val="en-US" w:eastAsia="zh-CN"/>
    </w:rPr>
  </w:style>
  <w:style w:type="paragraph" w:customStyle="1" w:styleId="a6">
    <w:name w:val="示例内容"/>
    <w:pPr>
      <w:ind w:firstLineChars="200" w:firstLine="200"/>
    </w:pPr>
    <w:rPr>
      <w:rFonts w:ascii="SimSun"/>
      <w:sz w:val="18"/>
      <w:szCs w:val="18"/>
      <w:lang w:val="en-US" w:eastAsia="zh-CN"/>
    </w:rPr>
  </w:style>
  <w:style w:type="paragraph" w:customStyle="1" w:styleId="a7">
    <w:name w:val="附录数字编号列项（二级）"/>
    <w:pPr>
      <w:tabs>
        <w:tab w:val="left" w:pos="363"/>
        <w:tab w:val="left" w:pos="840"/>
      </w:tabs>
      <w:ind w:firstLine="363"/>
    </w:pPr>
    <w:rPr>
      <w:rFonts w:ascii="SimSun"/>
      <w:sz w:val="21"/>
      <w:lang w:val="en-US" w:eastAsia="zh-CN"/>
    </w:rPr>
  </w:style>
  <w:style w:type="paragraph" w:customStyle="1" w:styleId="a8">
    <w:name w:val="标准书眉_奇数页"/>
    <w:next w:val="Normal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pPr>
      <w:outlineLvl w:val="4"/>
    </w:pPr>
  </w:style>
  <w:style w:type="paragraph" w:customStyle="1" w:styleId="ab">
    <w:name w:val="二级条标题"/>
    <w:basedOn w:val="ac"/>
    <w:next w:val="a"/>
    <w:pPr>
      <w:spacing w:beforeLines="0" w:afterLines="0"/>
      <w:outlineLvl w:val="3"/>
    </w:pPr>
  </w:style>
  <w:style w:type="paragraph" w:customStyle="1" w:styleId="ac">
    <w:name w:val="一级条标题"/>
    <w:next w:val="a"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pPr>
      <w:widowControl w:val="0"/>
      <w:autoSpaceDE w:val="0"/>
      <w:autoSpaceDN w:val="0"/>
      <w:jc w:val="both"/>
    </w:pPr>
    <w:rPr>
      <w:rFonts w:ascii="SimSun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pPr>
      <w:outlineLvl w:val="5"/>
    </w:pPr>
  </w:style>
  <w:style w:type="paragraph" w:customStyle="1" w:styleId="af5">
    <w:name w:val="附录三级条标题"/>
    <w:basedOn w:val="af6"/>
    <w:next w:val="a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pPr>
      <w:jc w:val="right"/>
    </w:pPr>
  </w:style>
  <w:style w:type="paragraph" w:customStyle="1" w:styleId="afb">
    <w:name w:val="发布日期"/>
    <w:rPr>
      <w:rFonts w:eastAsia="SimHei"/>
      <w:sz w:val="28"/>
      <w:lang w:val="en-US"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</w:style>
  <w:style w:type="paragraph" w:customStyle="1" w:styleId="afc">
    <w:name w:val="封面标准文稿类别"/>
    <w:basedOn w:val="afd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pPr>
      <w:outlineLvl w:val="6"/>
    </w:pPr>
  </w:style>
  <w:style w:type="paragraph" w:customStyle="1" w:styleId="aff1">
    <w:name w:val="封面标准代替信息"/>
    <w:pPr>
      <w:spacing w:before="57" w:line="280" w:lineRule="exact"/>
      <w:jc w:val="right"/>
    </w:pPr>
    <w:rPr>
      <w:rFonts w:ascii="SimSu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</w:style>
  <w:style w:type="paragraph" w:customStyle="1" w:styleId="21">
    <w:name w:val="封面标准号2"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</w:style>
  <w:style w:type="paragraph" w:customStyle="1" w:styleId="aff2">
    <w:name w:val="注×：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rPr>
      <w:kern w:val="2"/>
      <w:sz w:val="21"/>
      <w:szCs w:val="2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rPr>
      <w:rFonts w:ascii="SimSun" w:eastAsia="SimSun"/>
    </w:rPr>
  </w:style>
  <w:style w:type="paragraph" w:customStyle="1" w:styleId="aff4">
    <w:name w:val="条文脚注"/>
    <w:basedOn w:val="FootnoteText"/>
    <w:pPr>
      <w:jc w:val="both"/>
    </w:pPr>
  </w:style>
  <w:style w:type="paragraph" w:customStyle="1" w:styleId="aff5">
    <w:name w:val="其他标准标志"/>
    <w:basedOn w:val="aff6"/>
    <w:rPr>
      <w:w w:val="130"/>
    </w:rPr>
  </w:style>
  <w:style w:type="paragraph" w:customStyle="1" w:styleId="aff6">
    <w:name w:val="标准标志"/>
    <w:next w:val="Normal"/>
    <w:pPr>
      <w:shd w:val="solid" w:color="FFFFFF" w:fill="FFFFFF"/>
      <w:spacing w:line="0" w:lineRule="atLeast"/>
      <w:jc w:val="right"/>
    </w:pPr>
    <w:rPr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pPr>
      <w:jc w:val="both"/>
    </w:pPr>
    <w:rPr>
      <w:lang w:val="en-US" w:eastAsia="zh-CN"/>
    </w:rPr>
  </w:style>
  <w:style w:type="paragraph" w:customStyle="1" w:styleId="aff8">
    <w:name w:val="附录五级无"/>
    <w:basedOn w:val="af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pPr>
      <w:widowControl w:val="0"/>
      <w:ind w:leftChars="200" w:left="840" w:hangingChars="200" w:hanging="420"/>
      <w:jc w:val="both"/>
    </w:pPr>
    <w:rPr>
      <w:rFonts w:ascii="SimSun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rPr>
      <w:kern w:val="2"/>
      <w:sz w:val="21"/>
      <w:szCs w:val="24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rPr>
      <w:rFonts w:ascii="SimSun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pPr>
      <w:ind w:firstLine="360"/>
    </w:pPr>
    <w:rPr>
      <w:sz w:val="18"/>
    </w:rPr>
  </w:style>
  <w:style w:type="paragraph" w:customStyle="1" w:styleId="afff">
    <w:name w:val="图标脚注说明"/>
    <w:basedOn w:val="a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</w:style>
  <w:style w:type="paragraph" w:customStyle="1" w:styleId="afff4">
    <w:name w:val="附录标识"/>
    <w:basedOn w:val="Normal"/>
    <w:next w:val="a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rPr>
      <w:rFonts w:ascii="SimSun" w:eastAsia="SimSun"/>
    </w:rPr>
  </w:style>
  <w:style w:type="paragraph" w:customStyle="1" w:styleId="afff6">
    <w:name w:val="示例×："/>
    <w:basedOn w:val="af0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</w:style>
  <w:style w:type="paragraph" w:customStyle="1" w:styleId="afff7">
    <w:name w:val="其他发布日期"/>
    <w:basedOn w:val="afb"/>
  </w:style>
  <w:style w:type="paragraph" w:customStyle="1" w:styleId="B4">
    <w:name w:val="B4"/>
    <w:basedOn w:val="List4"/>
    <w:link w:val="B4Char"/>
  </w:style>
  <w:style w:type="paragraph" w:customStyle="1" w:styleId="NO">
    <w:name w:val="NO"/>
    <w:basedOn w:val="Normal"/>
    <w:link w:val="NOZchn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pPr>
      <w:ind w:firstLine="363"/>
      <w:jc w:val="both"/>
    </w:pPr>
    <w:rPr>
      <w:rFonts w:ascii="SimSun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pPr>
      <w:tabs>
        <w:tab w:val="left" w:pos="1260"/>
      </w:tabs>
      <w:ind w:left="1190" w:hanging="567"/>
      <w:jc w:val="both"/>
    </w:pPr>
    <w:rPr>
      <w:rFonts w:ascii="SimSun"/>
      <w:sz w:val="21"/>
      <w:lang w:val="en-US" w:eastAsia="zh-CN"/>
    </w:rPr>
  </w:style>
  <w:style w:type="paragraph" w:customStyle="1" w:styleId="TAC">
    <w:name w:val="TAC"/>
    <w:basedOn w:val="TAL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affff">
    <w:name w:val="字母编号列项（一级）"/>
    <w:pPr>
      <w:tabs>
        <w:tab w:val="left" w:pos="840"/>
      </w:tabs>
      <w:ind w:left="623" w:hanging="425"/>
      <w:jc w:val="both"/>
    </w:pPr>
    <w:rPr>
      <w:rFonts w:ascii="SimSun"/>
      <w:sz w:val="21"/>
      <w:lang w:val="en-US" w:eastAsia="zh-CN"/>
    </w:rPr>
  </w:style>
  <w:style w:type="paragraph" w:customStyle="1" w:styleId="affff0">
    <w:name w:val="附录字母编号列项（一级）"/>
    <w:pPr>
      <w:tabs>
        <w:tab w:val="left" w:pos="839"/>
      </w:tabs>
      <w:ind w:firstLine="363"/>
    </w:pPr>
    <w:rPr>
      <w:rFonts w:ascii="SimSun"/>
      <w:sz w:val="21"/>
      <w:lang w:val="en-US" w:eastAsia="zh-CN"/>
    </w:rPr>
  </w:style>
  <w:style w:type="paragraph" w:customStyle="1" w:styleId="NW">
    <w:name w:val="NW"/>
    <w:basedOn w:val="NO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pPr>
      <w:spacing w:line="320" w:lineRule="exact"/>
      <w:jc w:val="both"/>
    </w:pPr>
    <w:rPr>
      <w:rFonts w:ascii="SimSun"/>
      <w:sz w:val="21"/>
      <w:lang w:val="en-US" w:eastAsia="zh-CN"/>
    </w:rPr>
  </w:style>
  <w:style w:type="paragraph" w:customStyle="1" w:styleId="affff2">
    <w:name w:val="标准称谓"/>
    <w:next w:val="Normal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rPr>
      <w:rFonts w:ascii="SimSun" w:eastAsia="SimSun"/>
    </w:rPr>
  </w:style>
  <w:style w:type="paragraph" w:customStyle="1" w:styleId="affff4">
    <w:name w:val="列项说明"/>
    <w:basedOn w:val="Normal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</w:style>
  <w:style w:type="paragraph" w:customStyle="1" w:styleId="affff7">
    <w:name w:val="五级无"/>
    <w:basedOn w:val="aff0"/>
    <w:rPr>
      <w:rFonts w:ascii="SimSun" w:eastAsia="SimSun"/>
    </w:rPr>
  </w:style>
  <w:style w:type="paragraph" w:customStyle="1" w:styleId="affff8">
    <w:name w:val="正文公式编号制表符"/>
    <w:basedOn w:val="a"/>
    <w:next w:val="a"/>
    <w:pPr>
      <w:ind w:firstLineChars="0" w:firstLine="0"/>
    </w:pPr>
  </w:style>
  <w:style w:type="paragraph" w:customStyle="1" w:styleId="affff9">
    <w:name w:val="列项——（一级）"/>
    <w:pPr>
      <w:widowControl w:val="0"/>
      <w:tabs>
        <w:tab w:val="left" w:pos="839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3">
    <w:name w:val="封面标准文稿编辑信息2"/>
    <w:basedOn w:val="affffa"/>
  </w:style>
  <w:style w:type="paragraph" w:customStyle="1" w:styleId="affffa">
    <w:name w:val="封面标准文稿编辑信息"/>
    <w:basedOn w:val="afc"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rPr>
      <w:rFonts w:ascii="Arial" w:eastAsia="MS Mincho" w:hAnsi="Arial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pPr>
      <w:ind w:leftChars="400" w:left="600" w:hangingChars="200" w:hanging="200"/>
    </w:pPr>
    <w:rPr>
      <w:rFonts w:ascii="SimSun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pPr>
      <w:jc w:val="both"/>
    </w:pPr>
    <w:rPr>
      <w:lang w:val="en-US" w:eastAsia="zh-CN"/>
    </w:rPr>
  </w:style>
  <w:style w:type="paragraph" w:customStyle="1" w:styleId="2Char">
    <w:name w:val="2 Ch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pPr>
      <w:spacing w:before="120"/>
      <w:ind w:left="221"/>
    </w:pPr>
    <w:rPr>
      <w:rFonts w:ascii="SimSun"/>
      <w:sz w:val="18"/>
      <w:szCs w:val="18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rPr>
      <w:lang w:val="en-GB"/>
    </w:rPr>
  </w:style>
  <w:style w:type="character" w:customStyle="1" w:styleId="B4Char">
    <w:name w:val="B4 Char"/>
    <w:link w:val="B4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Pr>
      <w:lang w:eastAsia="en-US"/>
    </w:rPr>
  </w:style>
  <w:style w:type="character" w:customStyle="1" w:styleId="NOZchn">
    <w:name w:val="NO Zchn"/>
    <w:link w:val="NO"/>
    <w:rPr>
      <w:lang w:val="en-GB" w:eastAsia="ja-JP"/>
    </w:rPr>
  </w:style>
  <w:style w:type="character" w:customStyle="1" w:styleId="GuidanceChar">
    <w:name w:val="Guidance Char"/>
    <w:link w:val="Guidance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7C934DD-1A4B-4B03-A7AC-C1E87FDE88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R2#116</cp:lastModifiedBy>
  <cp:revision>10</cp:revision>
  <cp:lastPrinted>2113-01-01T00:00:00Z</cp:lastPrinted>
  <dcterms:created xsi:type="dcterms:W3CDTF">2021-11-24T11:09:00Z</dcterms:created>
  <dcterms:modified xsi:type="dcterms:W3CDTF">2021-11-29T10:39:00Z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