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7"/>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SA2, R1, etc.), and the previous agreements were made based </w:t>
            </w:r>
            <w:r>
              <w:rPr>
                <w:rFonts w:eastAsia="等线" w:hint="eastAsia"/>
                <w:lang w:eastAsia="zh-CN"/>
              </w:rPr>
              <w:lastRenderedPageBreak/>
              <w:t xml:space="preserve">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rFonts w:hint="eastAsia"/>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rFonts w:hint="eastAsia"/>
                <w:lang w:eastAsia="zh-CN"/>
              </w:rPr>
            </w:pPr>
            <w:r>
              <w:rPr>
                <w:rFonts w:eastAsia="等线" w:hint="eastAsia"/>
                <w:lang w:eastAsia="zh-CN"/>
              </w:rPr>
              <w:t>- the content of the LS might need to be reflected as a note to Rel-18 NR MBS in both SA/RAN, to take scalability into consideration, as in OB 3 and 4.</w:t>
            </w: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7"/>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7"/>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lastRenderedPageBreak/>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lastRenderedPageBreak/>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 xml:space="preserve">There are many issues remaining in order to complete MBS in Rel-17 and expanding the RAN1 scope at this time should be avoided. If any issue is </w:t>
            </w:r>
            <w:r>
              <w:rPr>
                <w:lang w:eastAsia="zh-CN"/>
              </w:rPr>
              <w:lastRenderedPageBreak/>
              <w:t>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等线"/>
                <w:lang w:val="en-CA" w:eastAsia="zh-CN"/>
              </w:rPr>
            </w:pPr>
            <w:r>
              <w:rPr>
                <w:rFonts w:eastAsia="等线" w:hint="eastAsia"/>
                <w:lang w:val="en-CA" w:eastAsia="zh-CN"/>
              </w:rPr>
              <w:lastRenderedPageBreak/>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等线"/>
                <w:lang w:val="en-CA" w:eastAsia="zh-CN"/>
              </w:rPr>
            </w:pPr>
            <w:r>
              <w:rPr>
                <w:rFonts w:eastAsia="等线" w:hint="eastAsia"/>
                <w:lang w:val="en-CA" w:eastAsia="zh-CN"/>
              </w:rPr>
              <w:t>C</w:t>
            </w:r>
            <w:r>
              <w:rPr>
                <w:rFonts w:eastAsia="等线"/>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t>Z</w:t>
            </w:r>
            <w:r>
              <w:rPr>
                <w:rFonts w:eastAsiaTheme="minorEastAsia"/>
                <w:lang w:eastAsia="zh-CN"/>
              </w:rPr>
              <w:t>TE</w:t>
            </w:r>
          </w:p>
        </w:tc>
        <w:tc>
          <w:tcPr>
            <w:tcW w:w="7924" w:type="dxa"/>
          </w:tcPr>
          <w:p w14:paraId="207D8169" w14:textId="66AEC0BE" w:rsidR="001D1BFF" w:rsidRDefault="001D1BFF" w:rsidP="001D1BFF">
            <w:pPr>
              <w:jc w:val="both"/>
              <w:rPr>
                <w:rFonts w:hint="eastAsia"/>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xml:space="preserve">: For a configured/defined CFR for GC-PDCCH/PDSCH carrying MCCH and MTCH for broadcast reception with UEs in RRC IDLE/INACTIVE state, Rel-17 MBS supports all of the following cases </w:t>
      </w:r>
      <w:r w:rsidRPr="002509C2">
        <w:rPr>
          <w:iCs/>
          <w:lang w:eastAsia="zh-CN"/>
        </w:rPr>
        <w:lastRenderedPageBreak/>
        <w:t>with a common configuration framework to accommodate different broadcast services with different requirements.</w:t>
      </w:r>
    </w:p>
    <w:p w14:paraId="2F5FB31A"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 xml:space="preserve">One additonal comment is we did not see the need to couple the CFR with initial BWP, even though the CFR should be overlapped with Coreset0. Then </w:t>
            </w:r>
            <w:r>
              <w:rPr>
                <w:lang w:eastAsia="zh-CN"/>
              </w:rPr>
              <w:lastRenderedPageBreak/>
              <w:t>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rFonts w:hint="eastAsia"/>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w:t>
            </w:r>
            <w:r>
              <w:rPr>
                <w:rFonts w:eastAsiaTheme="minorEastAsia"/>
                <w:lang w:eastAsia="zh-CN"/>
              </w:rPr>
              <w:lastRenderedPageBreak/>
              <w:t xml:space="preserve">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lastRenderedPageBreak/>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lastRenderedPageBreak/>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7"/>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w:t>
            </w:r>
            <w:r>
              <w:rPr>
                <w:rFonts w:eastAsia="等线" w:cs="Arial"/>
                <w:lang w:val="en-GB" w:eastAsia="zh-CN"/>
              </w:rPr>
              <w:lastRenderedPageBreak/>
              <w:t xml:space="preserve">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lastRenderedPageBreak/>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rFonts w:hint="eastAsia"/>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lastRenderedPageBreak/>
              <w:t># Lessons learnt from eMBMS</w:t>
            </w:r>
          </w:p>
          <w:p w14:paraId="1C760028" w14:textId="30BD3811" w:rsidR="001D1BFF" w:rsidRDefault="001D1BFF" w:rsidP="001D1BFF">
            <w:pPr>
              <w:rPr>
                <w:rFonts w:hint="eastAsia"/>
                <w:lang w:eastAsia="zh-CN"/>
              </w:rPr>
            </w:pPr>
            <w:r w:rsidRPr="00AE0FB4">
              <w:rPr>
                <w:rFonts w:eastAsia="等线"/>
                <w:lang w:eastAsia="zh-CN"/>
              </w:rPr>
              <w:t>It is more import</w:t>
            </w:r>
            <w:bookmarkStart w:id="2" w:name="_GoBack"/>
            <w:bookmarkEnd w:id="2"/>
            <w:r w:rsidRPr="00AE0FB4">
              <w:rPr>
                <w:rFonts w:eastAsia="等线"/>
                <w:lang w:eastAsia="zh-CN"/>
              </w:rPr>
              <w:t>ant to have an easily deployable technique, rather than perfecting the solution that only poses limitation in deployment.</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2E09B960" w14:textId="77777777" w:rsidR="00C56C85" w:rsidRPr="00C56C85" w:rsidRDefault="00942291" w:rsidP="00942291">
      <w:pPr>
        <w:pStyle w:val="21"/>
      </w:pPr>
      <w:r>
        <w:t>3.1</w:t>
      </w:r>
      <w:r w:rsidR="008D0064">
        <w:tab/>
      </w:r>
      <w:r>
        <w:t>Moderator summary</w:t>
      </w:r>
    </w:p>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7B4633FC"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4F4551B8"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315CCD65"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A78E" w14:textId="77777777" w:rsidR="005E17C3" w:rsidRDefault="005E17C3">
      <w:r>
        <w:separator/>
      </w:r>
    </w:p>
  </w:endnote>
  <w:endnote w:type="continuationSeparator" w:id="0">
    <w:p w14:paraId="23334989" w14:textId="77777777" w:rsidR="005E17C3" w:rsidRDefault="005E17C3">
      <w:r>
        <w:continuationSeparator/>
      </w:r>
    </w:p>
  </w:endnote>
  <w:endnote w:type="continuationNotice" w:id="1">
    <w:p w14:paraId="5F9A99F3" w14:textId="77777777" w:rsidR="005E17C3" w:rsidRDefault="005E1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AAB21" w14:textId="77777777" w:rsidR="00740ECD" w:rsidRDefault="00740EC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D1BFF">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D1BFF">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C4061" w14:textId="77777777" w:rsidR="005E17C3" w:rsidRDefault="005E17C3">
      <w:r>
        <w:separator/>
      </w:r>
    </w:p>
  </w:footnote>
  <w:footnote w:type="continuationSeparator" w:id="0">
    <w:p w14:paraId="01CB2506" w14:textId="77777777" w:rsidR="005E17C3" w:rsidRDefault="005E17C3">
      <w:r>
        <w:continuationSeparator/>
      </w:r>
    </w:p>
  </w:footnote>
  <w:footnote w:type="continuationNotice" w:id="1">
    <w:p w14:paraId="7186A1BD" w14:textId="77777777" w:rsidR="005E17C3" w:rsidRDefault="005E17C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66D4"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13.15pt;height:74.8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3"/>
  </w:num>
  <w:num w:numId="5">
    <w:abstractNumId w:val="15"/>
  </w:num>
  <w:num w:numId="6">
    <w:abstractNumId w:val="17"/>
  </w:num>
  <w:num w:numId="7">
    <w:abstractNumId w:val="5"/>
  </w:num>
  <w:num w:numId="8">
    <w:abstractNumId w:val="6"/>
  </w:num>
  <w:num w:numId="9">
    <w:abstractNumId w:val="4"/>
  </w:num>
  <w:num w:numId="10">
    <w:abstractNumId w:val="21"/>
  </w:num>
  <w:num w:numId="11">
    <w:abstractNumId w:val="7"/>
  </w:num>
  <w:num w:numId="12">
    <w:abstractNumId w:val="20"/>
  </w:num>
  <w:num w:numId="13">
    <w:abstractNumId w:val="19"/>
  </w:num>
  <w:num w:numId="14">
    <w:abstractNumId w:val="23"/>
  </w:num>
  <w:num w:numId="15">
    <w:abstractNumId w:val="14"/>
  </w:num>
  <w:num w:numId="16">
    <w:abstractNumId w:val="18"/>
  </w:num>
  <w:num w:numId="17">
    <w:abstractNumId w:val="22"/>
  </w:num>
  <w:num w:numId="18">
    <w:abstractNumId w:val="2"/>
  </w:num>
  <w:num w:numId="19">
    <w:abstractNumId w:val="16"/>
  </w:num>
  <w:num w:numId="20">
    <w:abstractNumId w:val="10"/>
  </w:num>
  <w:num w:numId="21">
    <w:abstractNumId w:val="1"/>
  </w:num>
  <w:num w:numId="22">
    <w:abstractNumId w:val="8"/>
  </w:num>
  <w:num w:numId="23">
    <w:abstractNumId w:val="3"/>
  </w:num>
  <w:num w:numId="24">
    <w:abstractNumId w:val="24"/>
  </w:num>
  <w:num w:numId="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2BB8"/>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99"/>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纯文本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6058670-AC2E-4B9F-9E07-AE469094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5594</Words>
  <Characters>31889</Characters>
  <Application>Microsoft Office Word</Application>
  <DocSecurity>0</DocSecurity>
  <Lines>265</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37409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ZTE-Xingguang</cp:lastModifiedBy>
  <cp:revision>11</cp:revision>
  <cp:lastPrinted>2008-01-31T07:09:00Z</cp:lastPrinted>
  <dcterms:created xsi:type="dcterms:W3CDTF">2021-09-14T06:58:00Z</dcterms:created>
  <dcterms:modified xsi:type="dcterms:W3CDTF">2021-09-14T08:03:00Z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