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r w:rsidRPr="000E2D14">
              <w:rPr>
                <w:rFonts w:cs="Arial"/>
                <w:lang w:val="en-GB"/>
              </w:rPr>
              <w:t>Spreadtrum</w:t>
            </w:r>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55422A">
        <w:tc>
          <w:tcPr>
            <w:tcW w:w="1705" w:type="dxa"/>
            <w:shd w:val="clear" w:color="auto" w:fill="auto"/>
          </w:tcPr>
          <w:p w:rsidR="005D15AA" w:rsidRDefault="005D15AA" w:rsidP="005D15AA">
            <w:pPr>
              <w:rPr>
                <w:lang w:eastAsia="zh-CN"/>
              </w:rPr>
            </w:pPr>
            <w:r w:rsidRPr="0055422A">
              <w:rPr>
                <w:rFonts w:eastAsia="Yu Mincho" w:hint="eastAsia"/>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w:t>
            </w:r>
            <w:r w:rsidRPr="00737069">
              <w:rPr>
                <w:lang w:eastAsia="zh-CN"/>
              </w:rPr>
              <w:lastRenderedPageBreak/>
              <w:t>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w:t>
            </w:r>
            <w:r>
              <w:rPr>
                <w:rFonts w:eastAsiaTheme="minorEastAsia"/>
                <w:lang w:eastAsia="zh-CN"/>
              </w:rPr>
              <w:lastRenderedPageBreak/>
              <w:t xml:space="preserve">transmission area. </w:t>
            </w:r>
          </w:p>
          <w:p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55422A">
              <w:rPr>
                <w:rFonts w:cs="Arial"/>
              </w:rPr>
              <w:t>Ericsson</w:t>
            </w:r>
          </w:p>
        </w:tc>
        <w:tc>
          <w:tcPr>
            <w:tcW w:w="7924" w:type="dxa"/>
          </w:tcPr>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r w:rsidRPr="00565406">
              <w:rPr>
                <w:rFonts w:cs="Arial"/>
                <w:lang w:val="en-GB"/>
              </w:rPr>
              <w:t>Spreadtrum</w:t>
            </w:r>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55422A">
              <w:rPr>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 xml:space="preserve">Configurable scrambling sequence initialization for PDCCH/PDSCH and DMRS sequence generator initialization for PDCCH/PDSCH for broadcast transmission for </w:t>
            </w:r>
            <w:r w:rsidRPr="00524F9D">
              <w:rPr>
                <w:rFonts w:eastAsiaTheme="minorEastAsia"/>
                <w:sz w:val="20"/>
                <w:szCs w:val="20"/>
                <w:lang w:val="en-US" w:eastAsia="zh-CN"/>
              </w:rPr>
              <w:lastRenderedPageBreak/>
              <w:t>broadcast (as supported for RRC_CONNECTED UE).</w:t>
            </w:r>
          </w:p>
          <w:p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55422A">
              <w:rPr>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55422A">
              <w:rPr>
                <w:rFonts w:eastAsia="等线"/>
                <w:lang w:val="en-CA" w:eastAsia="zh-CN"/>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The CFR is the same as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t xml:space="preserve">New Proposal: CFR can be configured with any size as long as it covers </w:t>
            </w:r>
            <w:r>
              <w:rPr>
                <w:b/>
                <w:lang w:eastAsia="zh-CN"/>
              </w:rPr>
              <w:lastRenderedPageBreak/>
              <w:t xml:space="preserve">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7"/>
              <w:ind w:left="360"/>
              <w:jc w:val="both"/>
              <w:rPr>
                <w:rFonts w:ascii="Arial" w:eastAsia="等线" w:hAnsi="Arial" w:cs="Arial"/>
                <w:lang w:val="en-US" w:eastAsia="zh-CN"/>
              </w:rPr>
            </w:pP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w:t>
            </w:r>
            <w:r w:rsidRPr="00545CFC">
              <w:rPr>
                <w:rFonts w:eastAsia="等线"/>
                <w:lang w:eastAsia="zh-CN"/>
              </w:rPr>
              <w:lastRenderedPageBreak/>
              <w:t>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r w:rsidRPr="007F22F8">
              <w:rPr>
                <w:rFonts w:hint="eastAsia"/>
                <w:lang w:val="en-GB"/>
              </w:rPr>
              <w:t>S</w:t>
            </w:r>
            <w:r w:rsidRPr="007F22F8">
              <w:rPr>
                <w:lang w:val="en-GB"/>
              </w:rPr>
              <w:t>preadtrum</w:t>
            </w:r>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 xml:space="preserve">necessary for some MBS </w:t>
            </w:r>
            <w:r w:rsidRPr="003E0070">
              <w:lastRenderedPageBreak/>
              <w:t>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r w:rsidR="00FE1621" w:rsidRPr="009810A1" w:rsidTr="003A3834">
        <w:tc>
          <w:tcPr>
            <w:tcW w:w="1745" w:type="dxa"/>
          </w:tcPr>
          <w:p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rsidR="00FE1621" w:rsidRDefault="00FE1621" w:rsidP="00FE1621">
            <w:pPr>
              <w:spacing w:after="0"/>
              <w:rPr>
                <w:iCs/>
                <w:lang w:val="en-US" w:eastAsia="ko-KR"/>
              </w:rPr>
            </w:pPr>
            <w:r>
              <w:rPr>
                <w:iCs/>
                <w:sz w:val="20"/>
                <w:szCs w:val="20"/>
                <w:lang w:val="en-US"/>
              </w:rPr>
              <w:t>Support moderator’s proposal</w:t>
            </w:r>
          </w:p>
        </w:tc>
      </w:tr>
      <w:tr w:rsidR="000A2109" w:rsidRPr="009810A1" w:rsidTr="000A2109">
        <w:tc>
          <w:tcPr>
            <w:tcW w:w="1745" w:type="dxa"/>
          </w:tcPr>
          <w:p w:rsidR="000A2109" w:rsidRDefault="000A2109" w:rsidP="0076667F">
            <w:r>
              <w:t>Vivo</w:t>
            </w:r>
          </w:p>
        </w:tc>
        <w:tc>
          <w:tcPr>
            <w:tcW w:w="7884" w:type="dxa"/>
          </w:tcPr>
          <w:p w:rsidR="000A2109" w:rsidRDefault="000A2109" w:rsidP="0076667F">
            <w:pPr>
              <w:spacing w:after="0"/>
              <w:rPr>
                <w:iCs/>
                <w:lang w:val="en-US"/>
              </w:rPr>
            </w:pPr>
            <w:r>
              <w:rPr>
                <w:iCs/>
                <w:lang w:val="en-US"/>
              </w:rPr>
              <w:t>Support the proposal.</w:t>
            </w:r>
          </w:p>
        </w:tc>
      </w:tr>
      <w:tr w:rsidR="008E440B" w:rsidRPr="009810A1" w:rsidTr="000A2109">
        <w:tc>
          <w:tcPr>
            <w:tcW w:w="1745" w:type="dxa"/>
          </w:tcPr>
          <w:p w:rsidR="008E440B" w:rsidRDefault="008E440B" w:rsidP="008E440B">
            <w:r>
              <w:rPr>
                <w:lang w:val="en-US" w:eastAsia="ko-KR"/>
              </w:rPr>
              <w:t>Apple</w:t>
            </w:r>
          </w:p>
        </w:tc>
        <w:tc>
          <w:tcPr>
            <w:tcW w:w="7884" w:type="dxa"/>
          </w:tcPr>
          <w:p w:rsidR="008E440B" w:rsidRDefault="008E440B" w:rsidP="008E440B">
            <w:pPr>
              <w:spacing w:after="0"/>
              <w:rPr>
                <w:iCs/>
                <w:lang w:val="en-US"/>
              </w:rPr>
            </w:pPr>
            <w:r>
              <w:rPr>
                <w:iCs/>
                <w:lang w:val="en-US" w:eastAsia="ko-KR"/>
              </w:rPr>
              <w:t xml:space="preserve">Support moderator’s proposal. </w:t>
            </w:r>
          </w:p>
        </w:tc>
      </w:tr>
      <w:tr w:rsidR="00361933" w:rsidRPr="009810A1" w:rsidTr="000A2109">
        <w:tc>
          <w:tcPr>
            <w:tcW w:w="1745" w:type="dxa"/>
          </w:tcPr>
          <w:p w:rsidR="00361933" w:rsidRPr="00361933" w:rsidRDefault="00361933" w:rsidP="008E440B">
            <w:pPr>
              <w:rPr>
                <w:rFonts w:eastAsia="等线"/>
                <w:lang w:val="en-US" w:eastAsia="zh-CN"/>
              </w:rPr>
            </w:pPr>
            <w:r>
              <w:rPr>
                <w:rFonts w:eastAsia="等线"/>
                <w:lang w:val="en-US" w:eastAsia="zh-CN"/>
              </w:rPr>
              <w:t>TCL</w:t>
            </w:r>
          </w:p>
        </w:tc>
        <w:tc>
          <w:tcPr>
            <w:tcW w:w="7884" w:type="dxa"/>
          </w:tcPr>
          <w:p w:rsidR="00361933" w:rsidRDefault="00361933" w:rsidP="008E440B">
            <w:pPr>
              <w:spacing w:after="0"/>
              <w:rPr>
                <w:iCs/>
                <w:lang w:val="en-US" w:eastAsia="ko-KR"/>
              </w:rPr>
            </w:pPr>
            <w:r>
              <w:rPr>
                <w:iCs/>
                <w:lang w:val="en-US"/>
              </w:rPr>
              <w:t>Support the proposal.</w:t>
            </w:r>
          </w:p>
        </w:tc>
      </w:tr>
      <w:tr w:rsidR="00D20AE7" w:rsidRPr="009810A1" w:rsidTr="000A2109">
        <w:tc>
          <w:tcPr>
            <w:tcW w:w="1745" w:type="dxa"/>
          </w:tcPr>
          <w:p w:rsidR="00D20AE7" w:rsidRDefault="00D20AE7" w:rsidP="00D20AE7">
            <w:pPr>
              <w:rPr>
                <w:rFonts w:eastAsia="等线"/>
                <w:lang w:val="en-US" w:eastAsia="zh-CN"/>
              </w:rPr>
            </w:pPr>
            <w:r>
              <w:rPr>
                <w:rFonts w:hint="eastAsia"/>
                <w:lang w:val="en-US" w:eastAsia="ko-KR"/>
              </w:rPr>
              <w:t>Huawei</w:t>
            </w:r>
            <w:r>
              <w:rPr>
                <w:lang w:val="en-US" w:eastAsia="ko-KR"/>
              </w:rPr>
              <w:t>, HiSilicon</w:t>
            </w:r>
          </w:p>
        </w:tc>
        <w:tc>
          <w:tcPr>
            <w:tcW w:w="7884" w:type="dxa"/>
          </w:tcPr>
          <w:p w:rsidR="00D20AE7" w:rsidRDefault="00D20AE7" w:rsidP="00D20AE7">
            <w:pPr>
              <w:spacing w:after="0"/>
              <w:rPr>
                <w:iCs/>
                <w:lang w:val="en-US"/>
              </w:rPr>
            </w:pPr>
            <w:r>
              <w:rPr>
                <w:rFonts w:eastAsia="等线"/>
                <w:iCs/>
                <w:lang w:val="en-US" w:eastAsia="zh-CN"/>
              </w:rPr>
              <w:t>We support moderator’s proposal</w:t>
            </w:r>
          </w:p>
        </w:tc>
      </w:tr>
      <w:tr w:rsidR="00751825" w:rsidRPr="009810A1" w:rsidTr="000A2109">
        <w:tc>
          <w:tcPr>
            <w:tcW w:w="1745" w:type="dxa"/>
          </w:tcPr>
          <w:p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rsidTr="000A2109">
        <w:tc>
          <w:tcPr>
            <w:tcW w:w="1745" w:type="dxa"/>
          </w:tcPr>
          <w:p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rsidTr="000A2109">
        <w:tc>
          <w:tcPr>
            <w:tcW w:w="1745" w:type="dxa"/>
          </w:tcPr>
          <w:p w:rsidR="00E3500A" w:rsidRDefault="00E3500A" w:rsidP="00E3500A">
            <w:pPr>
              <w:rPr>
                <w:rFonts w:eastAsia="等线"/>
                <w:lang w:val="en-US" w:eastAsia="zh-CN"/>
              </w:rPr>
            </w:pPr>
            <w:r>
              <w:t>Ericsson</w:t>
            </w:r>
          </w:p>
        </w:tc>
        <w:tc>
          <w:tcPr>
            <w:tcW w:w="7884" w:type="dxa"/>
          </w:tcPr>
          <w:p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rsidTr="000A2109">
        <w:tc>
          <w:tcPr>
            <w:tcW w:w="1745" w:type="dxa"/>
          </w:tcPr>
          <w:p w:rsidR="007A1293" w:rsidRDefault="007A1293" w:rsidP="007A1293">
            <w:r>
              <w:rPr>
                <w:rFonts w:eastAsia="等线"/>
                <w:lang w:val="en-US" w:eastAsia="zh-CN"/>
              </w:rPr>
              <w:t>Nokia, Nokia Shanghai Bell</w:t>
            </w:r>
          </w:p>
        </w:tc>
        <w:tc>
          <w:tcPr>
            <w:tcW w:w="7884" w:type="dxa"/>
          </w:tcPr>
          <w:p w:rsidR="007A1293" w:rsidRDefault="007A1293" w:rsidP="007A1293">
            <w:pPr>
              <w:spacing w:after="0"/>
              <w:rPr>
                <w:iCs/>
                <w:lang w:val="en-US"/>
              </w:rPr>
            </w:pPr>
            <w:r>
              <w:rPr>
                <w:rFonts w:eastAsia="等线"/>
                <w:iCs/>
                <w:lang w:val="en-US" w:eastAsia="zh-CN"/>
              </w:rPr>
              <w:t xml:space="preserve">We support the moderator’s proposal. </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lang w:eastAsia="zh-CN"/>
              </w:rPr>
            </w:pPr>
            <w:r>
              <w:rPr>
                <w:rFonts w:eastAsia="等线" w:hint="eastAsia"/>
                <w:lang w:eastAsia="zh-CN"/>
              </w:rPr>
              <w:t>CATT</w:t>
            </w:r>
          </w:p>
        </w:tc>
        <w:tc>
          <w:tcPr>
            <w:tcW w:w="7884" w:type="dxa"/>
          </w:tcPr>
          <w:p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rsidTr="000A2109">
        <w:tc>
          <w:tcPr>
            <w:tcW w:w="1745" w:type="dxa"/>
            <w:hideMark/>
          </w:tcPr>
          <w:p w:rsidR="000A2109" w:rsidRDefault="000A2109" w:rsidP="0076667F">
            <w:r>
              <w:rPr>
                <w:rFonts w:ascii="等线" w:eastAsia="等线" w:hAnsi="等线" w:hint="eastAsia"/>
                <w:lang w:eastAsia="zh-CN"/>
              </w:rPr>
              <w:t>Vivo</w:t>
            </w:r>
          </w:p>
        </w:tc>
        <w:tc>
          <w:tcPr>
            <w:tcW w:w="7884" w:type="dxa"/>
          </w:tcPr>
          <w:p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rsidR="000A2109" w:rsidRDefault="000A2109" w:rsidP="0076667F">
            <w:pPr>
              <w:pStyle w:val="af7"/>
              <w:numPr>
                <w:ilvl w:val="0"/>
                <w:numId w:val="31"/>
              </w:numPr>
              <w:textAlignment w:val="auto"/>
              <w:rPr>
                <w:lang w:val="de-DE" w:eastAsia="zh-CN"/>
              </w:rPr>
            </w:pPr>
            <w:r>
              <w:rPr>
                <w:lang w:val="de-DE" w:eastAsia="zh-CN"/>
              </w:rPr>
              <w:t xml:space="preserve">For scrambling issues, RAN1 is ongoing discussing potential search space design of MBS. </w:t>
            </w:r>
          </w:p>
          <w:p w:rsidR="000A2109" w:rsidRDefault="000A2109" w:rsidP="0076667F">
            <w:pPr>
              <w:pStyle w:val="af7"/>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rsidR="000A2109" w:rsidRDefault="000A2109" w:rsidP="0076667F">
            <w:pPr>
              <w:pStyle w:val="af7"/>
              <w:ind w:left="420"/>
              <w:rPr>
                <w:rFonts w:eastAsia="等线"/>
                <w:iCs/>
                <w:lang w:val="en-US" w:eastAsia="zh-CN"/>
              </w:rPr>
            </w:pPr>
          </w:p>
          <w:p w:rsidR="000A2109" w:rsidRDefault="000A2109" w:rsidP="0076667F">
            <w:pPr>
              <w:rPr>
                <w:lang w:eastAsia="zh-CN"/>
              </w:rPr>
            </w:pPr>
            <w:r>
              <w:rPr>
                <w:lang w:eastAsia="zh-CN"/>
              </w:rPr>
              <w:t>We suggest to update the proposal as below</w:t>
            </w:r>
          </w:p>
          <w:p w:rsidR="000A2109" w:rsidRDefault="000A2109" w:rsidP="0076667F">
            <w:pPr>
              <w:pStyle w:val="af7"/>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rsidR="000A2109" w:rsidRDefault="000A2109" w:rsidP="0076667F">
            <w:pPr>
              <w:pStyle w:val="af7"/>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rsidR="000A2109" w:rsidRDefault="000A2109" w:rsidP="0076667F">
            <w:pPr>
              <w:pStyle w:val="af7"/>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rsidTr="000A2109">
        <w:tc>
          <w:tcPr>
            <w:tcW w:w="1745" w:type="dxa"/>
          </w:tcPr>
          <w:p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rsidR="00410B77" w:rsidRDefault="00410B77" w:rsidP="0076667F">
            <w:r w:rsidRPr="00410B77">
              <w:t xml:space="preserve">We support </w:t>
            </w:r>
            <w:r>
              <w:t>the two items of Q5.2</w:t>
            </w:r>
            <w:r w:rsidRPr="00410B77">
              <w:t xml:space="preserve"> </w:t>
            </w:r>
            <w:r>
              <w:t>are clarified in the scope of the WID.</w:t>
            </w:r>
          </w:p>
        </w:tc>
      </w:tr>
      <w:tr w:rsidR="00F6148E" w:rsidTr="000A2109">
        <w:tc>
          <w:tcPr>
            <w:tcW w:w="1745" w:type="dxa"/>
          </w:tcPr>
          <w:p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rsidTr="000A2109">
        <w:tc>
          <w:tcPr>
            <w:tcW w:w="1745" w:type="dxa"/>
          </w:tcPr>
          <w:p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rsidR="00D20AE7" w:rsidRDefault="00D20AE7" w:rsidP="00D20AE7">
            <w:pPr>
              <w:rPr>
                <w:rFonts w:eastAsia="等线"/>
                <w:lang w:eastAsia="zh-CN"/>
              </w:rPr>
            </w:pPr>
            <w:r>
              <w:rPr>
                <w:rFonts w:eastAsia="等线"/>
                <w:lang w:eastAsia="zh-CN"/>
              </w:rPr>
              <w:t>Q5.2: We support RAN agreement to clarify the two bullets are within the scope of WID:</w:t>
            </w:r>
          </w:p>
          <w:p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rsidTr="000A2109">
        <w:tc>
          <w:tcPr>
            <w:tcW w:w="1745" w:type="dxa"/>
          </w:tcPr>
          <w:p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rsidTr="000A2109">
        <w:tc>
          <w:tcPr>
            <w:tcW w:w="1745" w:type="dxa"/>
          </w:tcPr>
          <w:p w:rsidR="00E3500A" w:rsidRPr="00E3500A" w:rsidRDefault="00E3500A" w:rsidP="00E3500A">
            <w:pPr>
              <w:rPr>
                <w:rFonts w:eastAsia="等线"/>
                <w:lang w:eastAsia="zh-CN"/>
              </w:rPr>
            </w:pPr>
            <w:r w:rsidRPr="00E3500A">
              <w:t xml:space="preserve"> Ericsson</w:t>
            </w:r>
          </w:p>
        </w:tc>
        <w:tc>
          <w:tcPr>
            <w:tcW w:w="7884" w:type="dxa"/>
          </w:tcPr>
          <w:p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rsidTr="000A2109">
        <w:tc>
          <w:tcPr>
            <w:tcW w:w="1745" w:type="dxa"/>
          </w:tcPr>
          <w:p w:rsidR="007A1293" w:rsidRPr="00E3500A" w:rsidRDefault="007A1293" w:rsidP="007A1293">
            <w:r>
              <w:rPr>
                <w:rFonts w:eastAsia="等线"/>
                <w:lang w:eastAsia="zh-CN"/>
              </w:rPr>
              <w:lastRenderedPageBreak/>
              <w:t>Nokia, Nokia Shanghai Bell</w:t>
            </w:r>
          </w:p>
        </w:tc>
        <w:tc>
          <w:tcPr>
            <w:tcW w:w="7884" w:type="dxa"/>
          </w:tcPr>
          <w:p w:rsidR="007A1293" w:rsidRPr="00AE08B0" w:rsidRDefault="007A1293" w:rsidP="007A1293">
            <w:pPr>
              <w:rPr>
                <w:rFonts w:eastAsia="Yu Mincho"/>
                <w:lang w:val="en-GB"/>
              </w:rPr>
            </w:pPr>
            <w:r w:rsidRPr="00AE08B0">
              <w:rPr>
                <w:rFonts w:eastAsia="Yu Mincho"/>
                <w:lang w:val="en-GB"/>
              </w:rPr>
              <w:t>The important question is 5.2.</w:t>
            </w:r>
          </w:p>
          <w:p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rsidR="00625676" w:rsidRPr="000A2109" w:rsidRDefault="00625676" w:rsidP="00935638"/>
    <w:p w:rsidR="00625676" w:rsidRDefault="00625676" w:rsidP="00935638"/>
    <w:p w:rsidR="00625676" w:rsidRDefault="00625676" w:rsidP="00935638"/>
    <w:p w:rsidR="00935638" w:rsidRDefault="00935638" w:rsidP="00935638">
      <w:pPr>
        <w:pStyle w:val="21"/>
      </w:pPr>
      <w:bookmarkStart w:id="3" w:name="_Hlk82581464"/>
      <w:r>
        <w:t>3.3</w:t>
      </w:r>
      <w:r>
        <w:tab/>
        <w:t>Common Frequency Resource (CFR) for Broadcast</w:t>
      </w:r>
      <w:bookmarkEnd w:id="3"/>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w:t>
            </w:r>
            <w:r w:rsidRPr="00077108">
              <w:rPr>
                <w:lang w:val="en-US"/>
              </w:rPr>
              <w:lastRenderedPageBreak/>
              <w:t xml:space="preserve">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76667F">
        <w:tc>
          <w:tcPr>
            <w:tcW w:w="1745" w:type="dxa"/>
          </w:tcPr>
          <w:p w:rsidR="00973E53" w:rsidRPr="00636AB0" w:rsidRDefault="00973E53" w:rsidP="0076667F">
            <w:pPr>
              <w:rPr>
                <w:rFonts w:eastAsia="等线"/>
                <w:lang w:eastAsia="zh-CN"/>
              </w:rPr>
            </w:pPr>
            <w:r>
              <w:rPr>
                <w:rFonts w:eastAsia="等线" w:hint="eastAsia"/>
                <w:lang w:eastAsia="zh-CN"/>
              </w:rPr>
              <w:t>CATT</w:t>
            </w:r>
          </w:p>
        </w:tc>
        <w:tc>
          <w:tcPr>
            <w:tcW w:w="7884" w:type="dxa"/>
          </w:tcPr>
          <w:p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rsidTr="003A3834">
        <w:tc>
          <w:tcPr>
            <w:tcW w:w="1745" w:type="dxa"/>
          </w:tcPr>
          <w:p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rsidTr="003A3834">
        <w:tc>
          <w:tcPr>
            <w:tcW w:w="1745" w:type="dxa"/>
          </w:tcPr>
          <w:p w:rsidR="00110256" w:rsidRPr="00971FE6" w:rsidRDefault="00110256" w:rsidP="00110256">
            <w:pPr>
              <w:rPr>
                <w:rFonts w:eastAsia="等线"/>
                <w:lang w:eastAsia="zh-CN"/>
              </w:rPr>
            </w:pPr>
            <w:r>
              <w:rPr>
                <w:rFonts w:eastAsia="等线"/>
                <w:lang w:eastAsia="zh-CN"/>
              </w:rPr>
              <w:t>Spreadtrum</w:t>
            </w:r>
          </w:p>
        </w:tc>
        <w:tc>
          <w:tcPr>
            <w:tcW w:w="7884" w:type="dxa"/>
          </w:tcPr>
          <w:p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rsidTr="000A2109">
        <w:tc>
          <w:tcPr>
            <w:tcW w:w="1745" w:type="dxa"/>
            <w:hideMark/>
          </w:tcPr>
          <w:p w:rsidR="000A2109" w:rsidRDefault="000A2109" w:rsidP="0076667F">
            <w:r>
              <w:t>vivo</w:t>
            </w:r>
          </w:p>
        </w:tc>
        <w:tc>
          <w:tcPr>
            <w:tcW w:w="7884" w:type="dxa"/>
          </w:tcPr>
          <w:p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rsidR="000A2109" w:rsidRDefault="000A2109" w:rsidP="0076667F">
            <w:pPr>
              <w:spacing w:after="0"/>
              <w:rPr>
                <w:rFonts w:eastAsia="Yu Mincho"/>
                <w:iCs/>
                <w:lang w:val="en-US"/>
              </w:rPr>
            </w:pPr>
          </w:p>
          <w:p w:rsidR="000A2109" w:rsidRDefault="000A2109" w:rsidP="0076667F">
            <w:pPr>
              <w:spacing w:after="0"/>
              <w:rPr>
                <w:lang w:val="en-US"/>
              </w:rPr>
            </w:pPr>
            <w:r>
              <w:rPr>
                <w:lang w:val="en-US"/>
              </w:rPr>
              <w:t>For a configured/defined CFR for GC-PDCCH/PDSCH carrying MCCH and MTCH for broadcast reception with UEs in RRC IDLE/INACTIVE state.</w:t>
            </w:r>
          </w:p>
          <w:p w:rsidR="000A2109" w:rsidRDefault="000A2109" w:rsidP="000A2109">
            <w:pPr>
              <w:numPr>
                <w:ilvl w:val="1"/>
                <w:numId w:val="16"/>
              </w:numPr>
              <w:spacing w:after="0"/>
              <w:textAlignment w:val="auto"/>
              <w:rPr>
                <w:lang w:val="en-US"/>
              </w:rPr>
            </w:pPr>
            <w:r>
              <w:rPr>
                <w:lang w:val="en-US"/>
              </w:rPr>
              <w:t>Support Case-C</w:t>
            </w:r>
          </w:p>
          <w:p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rsidR="000A2109" w:rsidRDefault="000A2109" w:rsidP="000A2109">
            <w:pPr>
              <w:numPr>
                <w:ilvl w:val="2"/>
                <w:numId w:val="16"/>
              </w:numPr>
              <w:spacing w:after="0"/>
              <w:textAlignment w:val="auto"/>
              <w:rPr>
                <w:lang w:val="en-US"/>
              </w:rPr>
            </w:pPr>
            <w:r>
              <w:rPr>
                <w:lang w:val="en-US"/>
              </w:rPr>
              <w:t>Down-selection to be made at RAN1#106b-e</w:t>
            </w:r>
          </w:p>
          <w:p w:rsidR="000A2109" w:rsidRDefault="000A2109" w:rsidP="000A2109">
            <w:pPr>
              <w:numPr>
                <w:ilvl w:val="1"/>
                <w:numId w:val="16"/>
              </w:numPr>
              <w:spacing w:after="0"/>
              <w:textAlignment w:val="auto"/>
              <w:rPr>
                <w:lang w:val="en-US"/>
              </w:rPr>
            </w:pPr>
            <w:r>
              <w:rPr>
                <w:lang w:val="en-US"/>
              </w:rPr>
              <w:t>Note: Case C, D and E are defined in previous agreements</w:t>
            </w:r>
          </w:p>
          <w:p w:rsidR="000A2109" w:rsidRDefault="000A2109" w:rsidP="0076667F">
            <w:pPr>
              <w:spacing w:after="0"/>
              <w:rPr>
                <w:iCs/>
                <w:lang w:val="en-US"/>
              </w:rPr>
            </w:pPr>
          </w:p>
        </w:tc>
      </w:tr>
      <w:tr w:rsidR="008E440B" w:rsidTr="000A2109">
        <w:tc>
          <w:tcPr>
            <w:tcW w:w="1745" w:type="dxa"/>
          </w:tcPr>
          <w:p w:rsidR="008E440B" w:rsidRPr="008E440B" w:rsidRDefault="008E440B" w:rsidP="008E440B">
            <w:pPr>
              <w:rPr>
                <w:lang w:val="en-GB"/>
              </w:rPr>
            </w:pPr>
            <w:r>
              <w:rPr>
                <w:lang w:eastAsia="ko-KR"/>
              </w:rPr>
              <w:t>Apple</w:t>
            </w:r>
          </w:p>
        </w:tc>
        <w:tc>
          <w:tcPr>
            <w:tcW w:w="7884" w:type="dxa"/>
          </w:tcPr>
          <w:p w:rsidR="008E440B" w:rsidRDefault="008E440B" w:rsidP="008E440B">
            <w:pPr>
              <w:spacing w:after="0"/>
              <w:rPr>
                <w:iCs/>
                <w:lang w:val="en-US"/>
              </w:rPr>
            </w:pPr>
            <w:r>
              <w:rPr>
                <w:iCs/>
                <w:lang w:val="en-US"/>
              </w:rPr>
              <w:t>We are ok with the proposal.</w:t>
            </w:r>
          </w:p>
        </w:tc>
      </w:tr>
      <w:tr w:rsidR="007C6066" w:rsidTr="000A2109">
        <w:tc>
          <w:tcPr>
            <w:tcW w:w="1745" w:type="dxa"/>
          </w:tcPr>
          <w:p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rsidTr="000A2109">
        <w:tc>
          <w:tcPr>
            <w:tcW w:w="1745" w:type="dxa"/>
          </w:tcPr>
          <w:p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rsidTr="000A2109">
        <w:tc>
          <w:tcPr>
            <w:tcW w:w="1745" w:type="dxa"/>
          </w:tcPr>
          <w:p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rsidTr="000A2109">
        <w:tc>
          <w:tcPr>
            <w:tcW w:w="1745" w:type="dxa"/>
          </w:tcPr>
          <w:p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rsidTr="000A2109">
        <w:tc>
          <w:tcPr>
            <w:tcW w:w="1745" w:type="dxa"/>
          </w:tcPr>
          <w:p w:rsidR="00E3500A" w:rsidRDefault="00E3500A" w:rsidP="00E3500A">
            <w:pPr>
              <w:rPr>
                <w:rFonts w:eastAsia="等线"/>
                <w:lang w:eastAsia="zh-CN"/>
              </w:rPr>
            </w:pPr>
            <w:r>
              <w:lastRenderedPageBreak/>
              <w:t>Ericsson</w:t>
            </w:r>
          </w:p>
        </w:tc>
        <w:tc>
          <w:tcPr>
            <w:tcW w:w="7884" w:type="dxa"/>
          </w:tcPr>
          <w:p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rsidTr="000A2109">
        <w:tc>
          <w:tcPr>
            <w:tcW w:w="1745" w:type="dxa"/>
          </w:tcPr>
          <w:p w:rsidR="007A1293" w:rsidRDefault="007A1293" w:rsidP="007A1293">
            <w:r>
              <w:rPr>
                <w:rFonts w:eastAsia="等线"/>
                <w:lang w:eastAsia="zh-CN"/>
              </w:rPr>
              <w:t>Nokia, Nokia Shanghai Bell</w:t>
            </w:r>
          </w:p>
        </w:tc>
        <w:tc>
          <w:tcPr>
            <w:tcW w:w="7884" w:type="dxa"/>
          </w:tcPr>
          <w:p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rsidR="00FC45B6" w:rsidRPr="000A2109"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76667F">
        <w:tc>
          <w:tcPr>
            <w:tcW w:w="1745" w:type="dxa"/>
          </w:tcPr>
          <w:p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rsidR="00973E53" w:rsidRDefault="00973E53" w:rsidP="0076667F">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rsidR="00973E53" w:rsidRDefault="00973E53" w:rsidP="00973E53">
            <w:pPr>
              <w:spacing w:after="0"/>
              <w:rPr>
                <w:rFonts w:eastAsia="宋体"/>
                <w:iCs/>
                <w:lang w:val="en-US" w:eastAsia="zh-CN"/>
              </w:rPr>
            </w:pPr>
            <w:r>
              <w:rPr>
                <w:rFonts w:eastAsia="宋体"/>
                <w:iCs/>
                <w:lang w:val="en-US" w:eastAsia="zh-CN"/>
              </w:rPr>
              <w:t>Support the proposal by moderator.</w:t>
            </w:r>
          </w:p>
          <w:p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rsidTr="003A3834">
        <w:tc>
          <w:tcPr>
            <w:tcW w:w="1745" w:type="dxa"/>
          </w:tcPr>
          <w:p w:rsidR="00F02855" w:rsidRDefault="00F02855" w:rsidP="00F02855">
            <w:pPr>
              <w:rPr>
                <w:iCs/>
                <w:lang w:val="en-US" w:eastAsia="ko-KR"/>
              </w:rPr>
            </w:pPr>
            <w:r>
              <w:rPr>
                <w:rFonts w:eastAsia="等线"/>
                <w:lang w:eastAsia="zh-CN"/>
              </w:rPr>
              <w:t>Spreadtrum</w:t>
            </w:r>
          </w:p>
        </w:tc>
        <w:tc>
          <w:tcPr>
            <w:tcW w:w="7884" w:type="dxa"/>
          </w:tcPr>
          <w:p w:rsidR="00F02855" w:rsidRDefault="00F02855" w:rsidP="00F02855">
            <w:pPr>
              <w:rPr>
                <w:iCs/>
                <w:lang w:val="en-US" w:eastAsia="ko-KR"/>
              </w:rPr>
            </w:pPr>
            <w:r w:rsidRPr="00E93D71">
              <w:rPr>
                <w:rFonts w:eastAsia="等线"/>
                <w:lang w:eastAsia="zh-CN"/>
              </w:rPr>
              <w:t>We agree that lossless HO should be kept in Rel-17 scope.</w:t>
            </w:r>
          </w:p>
        </w:tc>
      </w:tr>
      <w:tr w:rsidR="000A2109" w:rsidTr="000A2109">
        <w:tc>
          <w:tcPr>
            <w:tcW w:w="1745" w:type="dxa"/>
            <w:hideMark/>
          </w:tcPr>
          <w:p w:rsidR="000A2109" w:rsidRDefault="000A2109" w:rsidP="0076667F">
            <w:r>
              <w:t>Vivo</w:t>
            </w:r>
          </w:p>
        </w:tc>
        <w:tc>
          <w:tcPr>
            <w:tcW w:w="7884" w:type="dxa"/>
            <w:hideMark/>
          </w:tcPr>
          <w:p w:rsidR="000A2109" w:rsidRDefault="000A2109" w:rsidP="0076667F">
            <w:pPr>
              <w:spacing w:after="0"/>
              <w:rPr>
                <w:iCs/>
                <w:sz w:val="20"/>
                <w:szCs w:val="20"/>
                <w:lang w:val="en-US"/>
              </w:rPr>
            </w:pPr>
            <w:r>
              <w:rPr>
                <w:iCs/>
                <w:sz w:val="20"/>
                <w:szCs w:val="20"/>
                <w:lang w:val="en-US"/>
              </w:rPr>
              <w:t>support</w:t>
            </w:r>
          </w:p>
        </w:tc>
      </w:tr>
      <w:tr w:rsidR="003F160A" w:rsidTr="000A2109">
        <w:tc>
          <w:tcPr>
            <w:tcW w:w="1745" w:type="dxa"/>
          </w:tcPr>
          <w:p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rsidTr="000A2109">
        <w:tc>
          <w:tcPr>
            <w:tcW w:w="1745" w:type="dxa"/>
          </w:tcPr>
          <w:p w:rsidR="008E440B" w:rsidRDefault="008E440B" w:rsidP="008E440B">
            <w:pPr>
              <w:rPr>
                <w:rFonts w:eastAsia="等线"/>
                <w:lang w:eastAsia="zh-CN"/>
              </w:rPr>
            </w:pPr>
            <w:r>
              <w:rPr>
                <w:iCs/>
                <w:lang w:val="en-US" w:eastAsia="ko-KR"/>
              </w:rPr>
              <w:t>Apple</w:t>
            </w:r>
          </w:p>
        </w:tc>
        <w:tc>
          <w:tcPr>
            <w:tcW w:w="7884" w:type="dxa"/>
          </w:tcPr>
          <w:p w:rsidR="008E440B" w:rsidRPr="00D5478D" w:rsidRDefault="008E440B" w:rsidP="008E440B">
            <w:pPr>
              <w:rPr>
                <w:rFonts w:eastAsia="Yu Mincho"/>
              </w:rPr>
            </w:pPr>
            <w:r>
              <w:rPr>
                <w:iCs/>
                <w:lang w:val="en-US" w:eastAsia="ko-KR"/>
              </w:rPr>
              <w:t xml:space="preserve">We agree to keep lossless HO in R17 MBS scope. </w:t>
            </w:r>
          </w:p>
        </w:tc>
      </w:tr>
      <w:tr w:rsidR="003A2F04" w:rsidTr="000A2109">
        <w:tc>
          <w:tcPr>
            <w:tcW w:w="1745" w:type="dxa"/>
          </w:tcPr>
          <w:p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rsidR="003A2F04" w:rsidRPr="007376B0" w:rsidRDefault="003A2F04" w:rsidP="008E440B">
            <w:pPr>
              <w:rPr>
                <w:rFonts w:eastAsia="等线"/>
                <w:lang w:eastAsia="zh-CN"/>
              </w:rPr>
            </w:pPr>
            <w:r w:rsidRPr="007376B0">
              <w:rPr>
                <w:rFonts w:eastAsia="等线"/>
                <w:lang w:eastAsia="zh-CN"/>
              </w:rPr>
              <w:t xml:space="preserve">Support. </w:t>
            </w:r>
          </w:p>
        </w:tc>
      </w:tr>
      <w:tr w:rsidR="00D20AE7" w:rsidTr="000A2109">
        <w:tc>
          <w:tcPr>
            <w:tcW w:w="1745" w:type="dxa"/>
          </w:tcPr>
          <w:p w:rsidR="00D20AE7" w:rsidRPr="007376B0" w:rsidRDefault="00D20AE7" w:rsidP="00D20AE7">
            <w:pPr>
              <w:rPr>
                <w:rFonts w:eastAsia="等线"/>
                <w:lang w:eastAsia="zh-CN"/>
              </w:rPr>
            </w:pPr>
            <w:r>
              <w:rPr>
                <w:rFonts w:eastAsia="等线" w:hint="eastAsia"/>
                <w:iCs/>
                <w:lang w:val="en-US" w:eastAsia="zh-CN"/>
              </w:rPr>
              <w:t>H</w:t>
            </w:r>
            <w:r>
              <w:rPr>
                <w:rFonts w:eastAsia="等线"/>
                <w:iCs/>
                <w:lang w:val="en-US" w:eastAsia="zh-CN"/>
              </w:rPr>
              <w:t xml:space="preserve">uawei, </w:t>
            </w:r>
            <w:r>
              <w:rPr>
                <w:rFonts w:eastAsia="等线"/>
                <w:iCs/>
                <w:lang w:val="en-US" w:eastAsia="zh-CN"/>
              </w:rPr>
              <w:lastRenderedPageBreak/>
              <w:t>HiSilicon</w:t>
            </w:r>
          </w:p>
        </w:tc>
        <w:tc>
          <w:tcPr>
            <w:tcW w:w="7884" w:type="dxa"/>
          </w:tcPr>
          <w:p w:rsidR="00D20AE7" w:rsidRPr="007376B0" w:rsidRDefault="00D20AE7" w:rsidP="00D20AE7">
            <w:pPr>
              <w:rPr>
                <w:rFonts w:eastAsia="等线"/>
                <w:lang w:eastAsia="zh-CN"/>
              </w:rPr>
            </w:pPr>
            <w:r>
              <w:rPr>
                <w:rFonts w:eastAsia="等线" w:hint="eastAsia"/>
                <w:iCs/>
                <w:lang w:val="en-US" w:eastAsia="zh-CN"/>
              </w:rPr>
              <w:lastRenderedPageBreak/>
              <w:t>S</w:t>
            </w:r>
            <w:r>
              <w:rPr>
                <w:rFonts w:eastAsia="等线"/>
                <w:iCs/>
                <w:lang w:val="en-US" w:eastAsia="zh-CN"/>
              </w:rPr>
              <w:t>upport moderator’s proposal</w:t>
            </w:r>
          </w:p>
        </w:tc>
      </w:tr>
      <w:tr w:rsidR="00BE3969" w:rsidTr="000A2109">
        <w:tc>
          <w:tcPr>
            <w:tcW w:w="1745" w:type="dxa"/>
          </w:tcPr>
          <w:p w:rsidR="00BE3969" w:rsidRDefault="00BE3969" w:rsidP="00BE3969">
            <w:pPr>
              <w:rPr>
                <w:rFonts w:eastAsia="等线"/>
                <w:iCs/>
                <w:lang w:val="en-US" w:eastAsia="zh-CN"/>
              </w:rPr>
            </w:pPr>
            <w:r>
              <w:rPr>
                <w:rFonts w:eastAsiaTheme="minorEastAsia" w:hint="eastAsia"/>
                <w:iCs/>
                <w:lang w:val="en-US" w:eastAsia="ko-KR"/>
              </w:rPr>
              <w:lastRenderedPageBreak/>
              <w:t>C</w:t>
            </w:r>
            <w:r>
              <w:rPr>
                <w:rFonts w:eastAsiaTheme="minorEastAsia"/>
                <w:iCs/>
                <w:lang w:val="en-US" w:eastAsia="ko-KR"/>
              </w:rPr>
              <w:t>MCC</w:t>
            </w:r>
          </w:p>
        </w:tc>
        <w:tc>
          <w:tcPr>
            <w:tcW w:w="7884" w:type="dxa"/>
          </w:tcPr>
          <w:p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rsidTr="000A2109">
        <w:tc>
          <w:tcPr>
            <w:tcW w:w="1745" w:type="dxa"/>
          </w:tcPr>
          <w:p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rsidR="006A2666" w:rsidRDefault="006A2666" w:rsidP="00BE3969">
            <w:pPr>
              <w:rPr>
                <w:iCs/>
                <w:lang w:val="en-US" w:eastAsia="ko-KR"/>
              </w:rPr>
            </w:pPr>
            <w:r>
              <w:rPr>
                <w:iCs/>
                <w:sz w:val="20"/>
                <w:szCs w:val="20"/>
                <w:lang w:val="en-US"/>
              </w:rPr>
              <w:t>Support moderator’s proposal.</w:t>
            </w:r>
          </w:p>
        </w:tc>
      </w:tr>
      <w:tr w:rsidR="00E3500A" w:rsidTr="000A2109">
        <w:tc>
          <w:tcPr>
            <w:tcW w:w="1745" w:type="dxa"/>
          </w:tcPr>
          <w:p w:rsidR="00E3500A" w:rsidRDefault="00E3500A" w:rsidP="00E3500A">
            <w:pPr>
              <w:rPr>
                <w:rFonts w:eastAsia="等线"/>
                <w:iCs/>
                <w:lang w:val="en-US" w:eastAsia="zh-CN"/>
              </w:rPr>
            </w:pPr>
            <w:r>
              <w:t>Ericsson</w:t>
            </w:r>
          </w:p>
        </w:tc>
        <w:tc>
          <w:tcPr>
            <w:tcW w:w="7884" w:type="dxa"/>
          </w:tcPr>
          <w:p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rsidR="003B12EF" w:rsidRDefault="003B12EF" w:rsidP="003B12EF"/>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pPr>
      <w:r>
        <w:t>4.1</w:t>
      </w:r>
      <w:r w:rsidR="008D0064">
        <w:tab/>
      </w:r>
      <w:r w:rsidR="0076667F">
        <w:t>Rel-17 NR MBS Scalability Issues</w:t>
      </w:r>
    </w:p>
    <w:p w:rsidR="005317F6" w:rsidRDefault="005317F6" w:rsidP="005317F6">
      <w:r>
        <w:t>It seems that everyone is ok with the proposed conclusion. Hence, the following is captured in the Conclusions section</w:t>
      </w:r>
      <w:r w:rsidR="00DB4A76">
        <w:t xml:space="preserve"> (Section 5 below):</w:t>
      </w:r>
    </w:p>
    <w:p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rsidR="00C40F22" w:rsidRDefault="00C40F22" w:rsidP="00C40F22">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745"/>
        <w:gridCol w:w="7884"/>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2F28DB" w:rsidRDefault="002F28DB" w:rsidP="002F28DB">
            <w:pPr>
              <w:rPr>
                <w:rFonts w:eastAsia="等线" w:hint="eastAsia"/>
                <w:lang w:eastAsia="zh-CN"/>
              </w:rPr>
            </w:pPr>
            <w:r>
              <w:rPr>
                <w:rFonts w:eastAsia="等线" w:hint="eastAsia"/>
                <w:lang w:eastAsia="zh-CN"/>
              </w:rPr>
              <w:t>CATT</w:t>
            </w:r>
          </w:p>
        </w:tc>
        <w:tc>
          <w:tcPr>
            <w:tcW w:w="7884" w:type="dxa"/>
          </w:tcPr>
          <w:p w:rsidR="00C40F22" w:rsidRPr="002F28DB" w:rsidRDefault="002F28DB" w:rsidP="002F28DB">
            <w:pPr>
              <w:spacing w:after="0"/>
              <w:rPr>
                <w:rFonts w:eastAsia="等线" w:hint="eastAsia"/>
                <w:iCs/>
                <w:sz w:val="20"/>
                <w:szCs w:val="20"/>
                <w:lang w:val="en-US" w:eastAsia="zh-CN"/>
              </w:rPr>
            </w:pPr>
            <w:r>
              <w:rPr>
                <w:rFonts w:eastAsia="等线" w:hint="eastAsia"/>
                <w:iCs/>
                <w:sz w:val="20"/>
                <w:szCs w:val="20"/>
                <w:lang w:val="en-US" w:eastAsia="zh-CN"/>
              </w:rPr>
              <w:t xml:space="preserve">Agree with the proposed conclusion. </w:t>
            </w:r>
          </w:p>
        </w:tc>
      </w:tr>
      <w:tr w:rsidR="002F28DB" w:rsidRPr="000A13FD" w:rsidTr="002F28DB">
        <w:tc>
          <w:tcPr>
            <w:tcW w:w="1745" w:type="dxa"/>
          </w:tcPr>
          <w:p w:rsidR="002F28DB" w:rsidRDefault="002F28DB" w:rsidP="002F28DB">
            <w:pPr>
              <w:rPr>
                <w:rFonts w:eastAsia="等线" w:hint="eastAsia"/>
                <w:lang w:eastAsia="zh-CN"/>
              </w:rPr>
            </w:pPr>
          </w:p>
        </w:tc>
        <w:tc>
          <w:tcPr>
            <w:tcW w:w="7884" w:type="dxa"/>
          </w:tcPr>
          <w:p w:rsidR="002F28DB" w:rsidRDefault="002F28DB" w:rsidP="002F28DB">
            <w:pPr>
              <w:spacing w:after="0"/>
              <w:rPr>
                <w:rFonts w:eastAsia="等线" w:hint="eastAsia"/>
                <w:iCs/>
                <w:lang w:val="en-US" w:eastAsia="zh-CN"/>
              </w:rPr>
            </w:pPr>
          </w:p>
        </w:tc>
      </w:tr>
    </w:tbl>
    <w:p w:rsidR="0076667F" w:rsidRDefault="0076667F" w:rsidP="0076667F"/>
    <w:p w:rsidR="0076667F" w:rsidRPr="00D940E2" w:rsidRDefault="0076667F" w:rsidP="0076667F">
      <w:pPr>
        <w:pStyle w:val="21"/>
        <w:rPr>
          <w:lang w:val="fr-FR"/>
        </w:rPr>
      </w:pPr>
      <w:r>
        <w:rPr>
          <w:lang w:val="fr-FR"/>
        </w:rPr>
        <w:t>4</w:t>
      </w:r>
      <w:r w:rsidRPr="00D940E2">
        <w:rPr>
          <w:lang w:val="fr-FR"/>
        </w:rPr>
        <w:t>.2</w:t>
      </w:r>
      <w:r w:rsidRPr="00D940E2">
        <w:rPr>
          <w:lang w:val="fr-FR"/>
        </w:rPr>
        <w:tab/>
        <w:t>Intra-DU SFN for Rel-17 NR MBS</w:t>
      </w:r>
    </w:p>
    <w:p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rsidR="00A5477F" w:rsidRPr="00A5477F" w:rsidRDefault="00A5477F" w:rsidP="00A5477F">
      <w:pPr>
        <w:spacing w:after="0"/>
        <w:rPr>
          <w:b/>
          <w:bCs/>
        </w:rPr>
      </w:pPr>
      <w:r w:rsidRPr="00A5477F">
        <w:rPr>
          <w:b/>
          <w:bCs/>
        </w:rPr>
        <w:t>Proposal:</w:t>
      </w:r>
    </w:p>
    <w:p w:rsidR="008F29F8" w:rsidRPr="008F29F8" w:rsidRDefault="00A5477F" w:rsidP="008F29F8">
      <w:pPr>
        <w:pStyle w:val="af7"/>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rsidR="008F29F8"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rsidR="00A5477F"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rsidR="008F29F8" w:rsidRPr="00377878" w:rsidRDefault="008F29F8" w:rsidP="00377878">
      <w:pPr>
        <w:pStyle w:val="af7"/>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rsidR="008F29F8" w:rsidRPr="008F29F8" w:rsidRDefault="008F29F8" w:rsidP="00377878">
      <w:pPr>
        <w:pStyle w:val="af7"/>
        <w:ind w:left="1440"/>
        <w:rPr>
          <w:rFonts w:ascii="Arial" w:hAnsi="Arial" w:cs="Arial"/>
          <w:sz w:val="20"/>
          <w:szCs w:val="20"/>
        </w:rPr>
      </w:pPr>
    </w:p>
    <w:p w:rsidR="00DB4A76" w:rsidRDefault="00A5477F" w:rsidP="0076667F">
      <w:r>
        <w:lastRenderedPageBreak/>
        <w:br/>
        <w:t xml:space="preserve">Please </w:t>
      </w:r>
      <w:r w:rsidR="00D873CE">
        <w:t xml:space="preserve">provide any comments you may have </w:t>
      </w:r>
      <w:r>
        <w:t>on the proposal above in the table below.</w:t>
      </w:r>
    </w:p>
    <w:tbl>
      <w:tblPr>
        <w:tblStyle w:val="afa"/>
        <w:tblW w:w="0" w:type="auto"/>
        <w:tblLook w:val="04A0" w:firstRow="1" w:lastRow="0" w:firstColumn="1" w:lastColumn="0" w:noHBand="0" w:noVBand="1"/>
      </w:tblPr>
      <w:tblGrid>
        <w:gridCol w:w="1745"/>
        <w:gridCol w:w="7884"/>
      </w:tblGrid>
      <w:tr w:rsidR="00A5477F" w:rsidRPr="00B92E46" w:rsidTr="002F28DB">
        <w:tc>
          <w:tcPr>
            <w:tcW w:w="1745" w:type="dxa"/>
          </w:tcPr>
          <w:p w:rsidR="00A5477F" w:rsidRPr="00B92E46" w:rsidRDefault="00A5477F" w:rsidP="002F28DB">
            <w:pPr>
              <w:rPr>
                <w:b/>
                <w:bCs/>
              </w:rPr>
            </w:pPr>
            <w:r w:rsidRPr="00B92E46">
              <w:rPr>
                <w:b/>
                <w:bCs/>
              </w:rPr>
              <w:t>Company</w:t>
            </w:r>
          </w:p>
        </w:tc>
        <w:tc>
          <w:tcPr>
            <w:tcW w:w="7884" w:type="dxa"/>
          </w:tcPr>
          <w:p w:rsidR="00A5477F" w:rsidRPr="00B92E46" w:rsidRDefault="00A5477F" w:rsidP="002F28DB">
            <w:pPr>
              <w:rPr>
                <w:b/>
                <w:bCs/>
              </w:rPr>
            </w:pPr>
            <w:r w:rsidRPr="00B92E46">
              <w:rPr>
                <w:b/>
                <w:bCs/>
              </w:rPr>
              <w:t>Views</w:t>
            </w:r>
          </w:p>
        </w:tc>
      </w:tr>
      <w:tr w:rsidR="002F28DB" w:rsidRPr="000A13FD" w:rsidTr="002F28DB">
        <w:tc>
          <w:tcPr>
            <w:tcW w:w="1745" w:type="dxa"/>
          </w:tcPr>
          <w:p w:rsidR="002F28DB" w:rsidRPr="002F28DB" w:rsidRDefault="002F28DB" w:rsidP="002F28DB">
            <w:pPr>
              <w:rPr>
                <w:rFonts w:eastAsia="等线" w:hint="eastAsia"/>
                <w:lang w:eastAsia="zh-CN"/>
              </w:rPr>
            </w:pPr>
            <w:r>
              <w:rPr>
                <w:rFonts w:eastAsia="等线" w:hint="eastAsia"/>
                <w:lang w:eastAsia="zh-CN"/>
              </w:rPr>
              <w:t>CATT</w:t>
            </w:r>
          </w:p>
        </w:tc>
        <w:tc>
          <w:tcPr>
            <w:tcW w:w="7884" w:type="dxa"/>
          </w:tcPr>
          <w:p w:rsidR="002F28DB" w:rsidRPr="002F28DB" w:rsidRDefault="002F28DB" w:rsidP="002F28DB">
            <w:pPr>
              <w:spacing w:after="0"/>
              <w:rPr>
                <w:rFonts w:eastAsia="等线" w:hint="eastAsia"/>
                <w:iCs/>
                <w:sz w:val="20"/>
                <w:szCs w:val="20"/>
                <w:lang w:val="en-US" w:eastAsia="zh-CN"/>
              </w:rPr>
            </w:pPr>
            <w:r>
              <w:rPr>
                <w:rFonts w:eastAsia="等线" w:hint="eastAsia"/>
                <w:iCs/>
                <w:sz w:val="20"/>
                <w:szCs w:val="20"/>
                <w:lang w:val="en-US" w:eastAsia="zh-CN"/>
              </w:rPr>
              <w:t xml:space="preserve">Agree with the proposal. </w:t>
            </w:r>
          </w:p>
        </w:tc>
      </w:tr>
      <w:tr w:rsidR="002F28DB" w:rsidRPr="000A13FD" w:rsidTr="002F28DB">
        <w:tc>
          <w:tcPr>
            <w:tcW w:w="1745" w:type="dxa"/>
          </w:tcPr>
          <w:p w:rsidR="002F28DB" w:rsidRDefault="002F28DB" w:rsidP="002F28DB"/>
        </w:tc>
        <w:tc>
          <w:tcPr>
            <w:tcW w:w="7884" w:type="dxa"/>
          </w:tcPr>
          <w:p w:rsidR="002F28DB" w:rsidRPr="000A13FD" w:rsidRDefault="002F28DB" w:rsidP="002F28DB">
            <w:pPr>
              <w:spacing w:after="0"/>
              <w:rPr>
                <w:iCs/>
                <w:lang w:val="en-US"/>
              </w:rPr>
            </w:pPr>
          </w:p>
        </w:tc>
      </w:tr>
    </w:tbl>
    <w:p w:rsidR="00A5477F" w:rsidRDefault="00A5477F" w:rsidP="0076667F"/>
    <w:p w:rsidR="00A5477F" w:rsidRDefault="00A5477F" w:rsidP="0076667F"/>
    <w:p w:rsidR="0076667F" w:rsidRDefault="0076667F" w:rsidP="0076667F">
      <w:pPr>
        <w:pStyle w:val="21"/>
      </w:pPr>
      <w:r>
        <w:t>4.3</w:t>
      </w:r>
      <w:r>
        <w:tab/>
        <w:t>Common Frequency Resource (CFR) for Broadcast</w:t>
      </w:r>
    </w:p>
    <w:p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rsidR="00A90B5C" w:rsidRPr="00A90B5C" w:rsidRDefault="00A90B5C" w:rsidP="00A90B5C">
      <w:pPr>
        <w:spacing w:after="0"/>
        <w:rPr>
          <w:lang w:val="en-US"/>
        </w:rPr>
      </w:pPr>
    </w:p>
    <w:p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rsidR="00A90B5C" w:rsidRPr="00077108" w:rsidRDefault="00A90B5C" w:rsidP="00A90B5C">
      <w:pPr>
        <w:numPr>
          <w:ilvl w:val="1"/>
          <w:numId w:val="16"/>
        </w:numPr>
        <w:spacing w:after="0"/>
        <w:rPr>
          <w:lang w:val="en-US"/>
        </w:rPr>
      </w:pPr>
      <w:r w:rsidRPr="00077108">
        <w:rPr>
          <w:lang w:val="en-US"/>
        </w:rPr>
        <w:t>Support Case-C</w:t>
      </w:r>
    </w:p>
    <w:p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rsidR="00A90B5C" w:rsidRPr="00077108" w:rsidRDefault="00A90B5C" w:rsidP="00A90B5C">
      <w:pPr>
        <w:numPr>
          <w:ilvl w:val="2"/>
          <w:numId w:val="16"/>
        </w:numPr>
        <w:spacing w:after="0"/>
        <w:rPr>
          <w:lang w:val="en-US"/>
        </w:rPr>
      </w:pPr>
      <w:r w:rsidRPr="00077108">
        <w:rPr>
          <w:lang w:val="en-US"/>
        </w:rPr>
        <w:t>Down-selection to be made at RAN1#106b-e</w:t>
      </w:r>
    </w:p>
    <w:p w:rsidR="00A90B5C" w:rsidRDefault="00A90B5C" w:rsidP="00A90B5C">
      <w:pPr>
        <w:numPr>
          <w:ilvl w:val="1"/>
          <w:numId w:val="16"/>
        </w:numPr>
        <w:spacing w:after="0"/>
        <w:rPr>
          <w:lang w:val="en-US"/>
        </w:rPr>
      </w:pPr>
      <w:r w:rsidRPr="00077108">
        <w:rPr>
          <w:lang w:val="en-US"/>
        </w:rPr>
        <w:t>Note: Case C, D and E are defined in previous agreements</w:t>
      </w:r>
    </w:p>
    <w:p w:rsidR="0076667F" w:rsidRDefault="0076667F" w:rsidP="0076667F"/>
    <w:p w:rsidR="00A90B5C" w:rsidRDefault="00C40F22" w:rsidP="0076667F">
      <w:r>
        <w:t xml:space="preserve">Please indicate in the table below in case you have any concerns with the proposal above. </w:t>
      </w:r>
    </w:p>
    <w:tbl>
      <w:tblPr>
        <w:tblStyle w:val="afa"/>
        <w:tblW w:w="0" w:type="auto"/>
        <w:tblLook w:val="04A0" w:firstRow="1" w:lastRow="0" w:firstColumn="1" w:lastColumn="0" w:noHBand="0" w:noVBand="1"/>
      </w:tblPr>
      <w:tblGrid>
        <w:gridCol w:w="1745"/>
        <w:gridCol w:w="7884"/>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E8593B" w:rsidRDefault="00E8593B" w:rsidP="002F28DB">
            <w:pPr>
              <w:rPr>
                <w:rFonts w:eastAsia="等线" w:hint="eastAsia"/>
                <w:lang w:eastAsia="zh-CN"/>
              </w:rPr>
            </w:pPr>
            <w:r>
              <w:rPr>
                <w:rFonts w:eastAsia="等线" w:hint="eastAsia"/>
                <w:lang w:eastAsia="zh-CN"/>
              </w:rPr>
              <w:t>CATT</w:t>
            </w:r>
          </w:p>
        </w:tc>
        <w:tc>
          <w:tcPr>
            <w:tcW w:w="7884" w:type="dxa"/>
          </w:tcPr>
          <w:p w:rsidR="00C40F22" w:rsidRPr="00E8593B" w:rsidRDefault="00E8593B" w:rsidP="00E8593B">
            <w:pPr>
              <w:spacing w:after="0"/>
              <w:rPr>
                <w:rFonts w:eastAsia="等线" w:hint="eastAsia"/>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rsidTr="002F28DB">
        <w:tc>
          <w:tcPr>
            <w:tcW w:w="1745" w:type="dxa"/>
          </w:tcPr>
          <w:p w:rsidR="00E8593B" w:rsidRDefault="00E8593B" w:rsidP="002F28DB"/>
        </w:tc>
        <w:tc>
          <w:tcPr>
            <w:tcW w:w="7884" w:type="dxa"/>
          </w:tcPr>
          <w:p w:rsidR="00E8593B" w:rsidRPr="000A13FD" w:rsidRDefault="00E8593B" w:rsidP="002F28DB">
            <w:pPr>
              <w:spacing w:after="0"/>
              <w:rPr>
                <w:iCs/>
                <w:lang w:val="en-US"/>
              </w:rPr>
            </w:pPr>
          </w:p>
        </w:tc>
      </w:tr>
    </w:tbl>
    <w:p w:rsidR="00C40F22" w:rsidRDefault="00C40F22" w:rsidP="0076667F"/>
    <w:p w:rsidR="0076667F" w:rsidRDefault="0076667F" w:rsidP="0076667F">
      <w:pPr>
        <w:pStyle w:val="21"/>
      </w:pPr>
      <w:r>
        <w:t>4.4</w:t>
      </w:r>
      <w:r>
        <w:tab/>
        <w:t>Lossless HO for Rel-17 MBS</w:t>
      </w:r>
    </w:p>
    <w:p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rsidR="005317F6" w:rsidRDefault="005317F6" w:rsidP="0076667F">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745"/>
        <w:gridCol w:w="7884"/>
      </w:tblGrid>
      <w:tr w:rsidR="005317F6" w:rsidRPr="00B92E46" w:rsidTr="002F28DB">
        <w:tc>
          <w:tcPr>
            <w:tcW w:w="1745" w:type="dxa"/>
          </w:tcPr>
          <w:p w:rsidR="005317F6" w:rsidRPr="00B92E46" w:rsidRDefault="005317F6" w:rsidP="002F28DB">
            <w:pPr>
              <w:rPr>
                <w:b/>
                <w:bCs/>
              </w:rPr>
            </w:pPr>
            <w:r w:rsidRPr="00B92E46">
              <w:rPr>
                <w:b/>
                <w:bCs/>
              </w:rPr>
              <w:t>Company</w:t>
            </w:r>
          </w:p>
        </w:tc>
        <w:tc>
          <w:tcPr>
            <w:tcW w:w="7884" w:type="dxa"/>
          </w:tcPr>
          <w:p w:rsidR="005317F6" w:rsidRPr="00B92E46" w:rsidRDefault="005317F6" w:rsidP="002F28DB">
            <w:pPr>
              <w:rPr>
                <w:b/>
                <w:bCs/>
              </w:rPr>
            </w:pPr>
            <w:r w:rsidRPr="00B92E46">
              <w:rPr>
                <w:b/>
                <w:bCs/>
              </w:rPr>
              <w:t>Views</w:t>
            </w:r>
          </w:p>
        </w:tc>
      </w:tr>
      <w:tr w:rsidR="005317F6" w:rsidRPr="000A13FD" w:rsidTr="002F28DB">
        <w:tc>
          <w:tcPr>
            <w:tcW w:w="1745" w:type="dxa"/>
          </w:tcPr>
          <w:p w:rsidR="005317F6" w:rsidRPr="00E8593B" w:rsidRDefault="00E8593B" w:rsidP="002F28DB">
            <w:pPr>
              <w:rPr>
                <w:rFonts w:eastAsia="等线" w:hint="eastAsia"/>
                <w:lang w:eastAsia="zh-CN"/>
              </w:rPr>
            </w:pPr>
            <w:r>
              <w:rPr>
                <w:rFonts w:eastAsia="等线" w:hint="eastAsia"/>
                <w:lang w:eastAsia="zh-CN"/>
              </w:rPr>
              <w:t>CATT</w:t>
            </w:r>
          </w:p>
        </w:tc>
        <w:tc>
          <w:tcPr>
            <w:tcW w:w="7884" w:type="dxa"/>
          </w:tcPr>
          <w:p w:rsidR="005317F6" w:rsidRPr="00E8593B" w:rsidRDefault="00E8593B" w:rsidP="002F28DB">
            <w:pPr>
              <w:spacing w:after="0"/>
              <w:rPr>
                <w:rFonts w:eastAsia="等线" w:hint="eastAsia"/>
                <w:iCs/>
                <w:sz w:val="20"/>
                <w:szCs w:val="20"/>
                <w:lang w:val="en-US" w:eastAsia="zh-CN"/>
              </w:rPr>
            </w:pPr>
            <w:r>
              <w:rPr>
                <w:rFonts w:eastAsia="等线" w:hint="eastAsia"/>
                <w:iCs/>
                <w:sz w:val="20"/>
                <w:szCs w:val="20"/>
                <w:lang w:val="en-US" w:eastAsia="zh-CN"/>
              </w:rPr>
              <w:t xml:space="preserve">We agree with the proposed conclusion. </w:t>
            </w:r>
            <w:bookmarkStart w:id="4" w:name="_GoBack"/>
            <w:bookmarkEnd w:id="4"/>
          </w:p>
        </w:tc>
      </w:tr>
      <w:tr w:rsidR="00E8593B" w:rsidRPr="000A13FD" w:rsidTr="002F28DB">
        <w:tc>
          <w:tcPr>
            <w:tcW w:w="1745" w:type="dxa"/>
          </w:tcPr>
          <w:p w:rsidR="00E8593B" w:rsidRDefault="00E8593B" w:rsidP="002F28DB"/>
        </w:tc>
        <w:tc>
          <w:tcPr>
            <w:tcW w:w="7884" w:type="dxa"/>
          </w:tcPr>
          <w:p w:rsidR="00E8593B" w:rsidRPr="000A13FD" w:rsidRDefault="00E8593B" w:rsidP="002F28DB">
            <w:pPr>
              <w:spacing w:after="0"/>
              <w:rPr>
                <w:iCs/>
                <w:lang w:val="en-US"/>
              </w:rPr>
            </w:pPr>
          </w:p>
        </w:tc>
      </w:tr>
    </w:tbl>
    <w:p w:rsidR="005317F6" w:rsidRPr="0076667F" w:rsidRDefault="005317F6" w:rsidP="0076667F"/>
    <w:p w:rsidR="0076667F" w:rsidRPr="0076667F" w:rsidRDefault="0076667F" w:rsidP="0076667F"/>
    <w:p w:rsidR="00C01F33" w:rsidRDefault="007A6520" w:rsidP="00CE0424">
      <w:pPr>
        <w:pStyle w:val="1"/>
      </w:pPr>
      <w:r>
        <w:lastRenderedPageBreak/>
        <w:t>5</w:t>
      </w:r>
      <w:r w:rsidR="001778C3">
        <w:tab/>
      </w:r>
      <w:r w:rsidR="00C01F33" w:rsidRPr="00CE0424">
        <w:t>Conclusion</w:t>
      </w:r>
    </w:p>
    <w:p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rsidR="00585E69" w:rsidRPr="006D438A" w:rsidRDefault="00585E69"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8"/>
    </w:p>
    <w:p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9"/>
    </w:p>
    <w:sectPr w:rsidR="0014308E" w:rsidRPr="0025467A"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90" w:rsidRDefault="009A5E90">
      <w:r>
        <w:separator/>
      </w:r>
    </w:p>
  </w:endnote>
  <w:endnote w:type="continuationSeparator" w:id="0">
    <w:p w:rsidR="009A5E90" w:rsidRDefault="009A5E90">
      <w:r>
        <w:continuationSeparator/>
      </w:r>
    </w:p>
  </w:endnote>
  <w:endnote w:type="continuationNotice" w:id="1">
    <w:p w:rsidR="009A5E90" w:rsidRDefault="009A5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DB" w:rsidRDefault="002F28DB"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28DB" w:rsidRPr="00C60FCE" w:rsidRDefault="002F28D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3180EB73" w14:textId="77777777" w:rsidR="0076667F" w:rsidRPr="00C60FCE" w:rsidRDefault="0076667F"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E8593B">
      <w:rPr>
        <w:rStyle w:val="ae"/>
      </w:rPr>
      <w:t>26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8593B">
      <w:rPr>
        <w:rStyle w:val="ae"/>
      </w:rPr>
      <w:t>27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90" w:rsidRDefault="009A5E90">
      <w:r>
        <w:separator/>
      </w:r>
    </w:p>
  </w:footnote>
  <w:footnote w:type="continuationSeparator" w:id="0">
    <w:p w:rsidR="009A5E90" w:rsidRDefault="009A5E90">
      <w:r>
        <w:continuationSeparator/>
      </w:r>
    </w:p>
  </w:footnote>
  <w:footnote w:type="continuationNotice" w:id="1">
    <w:p w:rsidR="009A5E90" w:rsidRDefault="009A5E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8DB" w:rsidRDefault="002F28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15pt;height:74.95pt" o:bullet="t">
        <v:imagedata r:id="rId1" o:title="art150A"/>
      </v:shape>
    </w:pict>
  </w:numPicBullet>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20D4E64-E590-4B49-90AF-7DDFD506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10214</Words>
  <Characters>58226</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68304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CATT</cp:lastModifiedBy>
  <cp:revision>3</cp:revision>
  <cp:lastPrinted>2008-01-31T07:09:00Z</cp:lastPrinted>
  <dcterms:created xsi:type="dcterms:W3CDTF">2021-09-16T03:09:00Z</dcterms:created>
  <dcterms:modified xsi:type="dcterms:W3CDTF">2021-09-16T03:12:00Z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