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E9C" w:rsidRPr="00F36E9C" w:rsidRDefault="00F36E9C" w:rsidP="00F36E9C">
      <w:pPr>
        <w:tabs>
          <w:tab w:val="center" w:pos="4320"/>
          <w:tab w:val="right" w:pos="8640"/>
        </w:tabs>
        <w:spacing w:beforeLines="0" w:before="0" w:afterLines="0" w:after="0"/>
        <w:rPr>
          <w:rFonts w:eastAsia="宋体"/>
          <w:b/>
          <w:bCs/>
          <w:sz w:val="24"/>
          <w:szCs w:val="24"/>
          <w:lang w:val="en-AU"/>
        </w:rPr>
      </w:pPr>
      <w:r>
        <w:rPr>
          <w:rFonts w:eastAsia="宋体"/>
          <w:b/>
          <w:bCs/>
          <w:sz w:val="24"/>
          <w:szCs w:val="24"/>
          <w:lang w:val="en-AU"/>
        </w:rPr>
        <w:t xml:space="preserve">3GPP TSG </w:t>
      </w:r>
      <w:r w:rsidR="006E1B4F" w:rsidRPr="006E1B4F">
        <w:rPr>
          <w:rFonts w:eastAsia="宋体"/>
          <w:b/>
          <w:bCs/>
          <w:sz w:val="24"/>
          <w:szCs w:val="24"/>
          <w:lang w:val="en-AU"/>
        </w:rPr>
        <w:t>RAN</w:t>
      </w:r>
      <w:r w:rsidR="00F629C8">
        <w:rPr>
          <w:rFonts w:eastAsia="宋体"/>
          <w:b/>
          <w:bCs/>
          <w:sz w:val="24"/>
          <w:szCs w:val="24"/>
          <w:lang w:val="en-AU"/>
        </w:rPr>
        <w:t>#9</w:t>
      </w:r>
      <w:r w:rsidR="00572409">
        <w:rPr>
          <w:rFonts w:eastAsia="宋体"/>
          <w:b/>
          <w:bCs/>
          <w:sz w:val="24"/>
          <w:szCs w:val="24"/>
          <w:lang w:val="en-AU"/>
        </w:rPr>
        <w:t>3</w:t>
      </w:r>
      <w:r w:rsidR="00F629C8">
        <w:rPr>
          <w:rFonts w:eastAsia="宋体" w:hint="eastAsia"/>
          <w:b/>
          <w:bCs/>
          <w:sz w:val="24"/>
          <w:szCs w:val="24"/>
          <w:lang w:val="en-AU"/>
        </w:rPr>
        <w:t>e</w:t>
      </w:r>
      <w:r w:rsidR="00F629C8">
        <w:rPr>
          <w:rFonts w:eastAsia="宋体"/>
          <w:b/>
          <w:bCs/>
          <w:sz w:val="24"/>
          <w:szCs w:val="24"/>
          <w:lang w:val="en-AU"/>
        </w:rPr>
        <w:tab/>
      </w:r>
      <w:r>
        <w:rPr>
          <w:rFonts w:eastAsia="宋体"/>
          <w:b/>
          <w:bCs/>
          <w:sz w:val="24"/>
          <w:szCs w:val="24"/>
          <w:lang w:val="en-AU"/>
        </w:rPr>
        <w:t xml:space="preserve">         </w:t>
      </w:r>
      <w:r w:rsidR="00F629C8">
        <w:rPr>
          <w:rFonts w:eastAsia="宋体"/>
          <w:b/>
          <w:bCs/>
          <w:sz w:val="24"/>
          <w:szCs w:val="24"/>
          <w:lang w:val="en-AU"/>
        </w:rPr>
        <w:t xml:space="preserve">          </w:t>
      </w:r>
      <w:r>
        <w:rPr>
          <w:rFonts w:eastAsia="宋体"/>
          <w:b/>
          <w:bCs/>
          <w:sz w:val="24"/>
          <w:szCs w:val="24"/>
          <w:lang w:val="en-AU"/>
        </w:rPr>
        <w:t xml:space="preserve">                      </w:t>
      </w:r>
      <w:r w:rsidR="00F629C8">
        <w:rPr>
          <w:rFonts w:eastAsia="宋体"/>
          <w:b/>
          <w:bCs/>
          <w:sz w:val="24"/>
          <w:szCs w:val="24"/>
          <w:lang w:val="en-AU"/>
        </w:rPr>
        <w:t xml:space="preserve">          </w:t>
      </w:r>
      <w:r w:rsidR="00F629C8" w:rsidRPr="00F629C8">
        <w:rPr>
          <w:rFonts w:eastAsia="宋体" w:hint="eastAsia"/>
          <w:b/>
          <w:bCs/>
          <w:sz w:val="24"/>
          <w:szCs w:val="24"/>
          <w:lang w:val="en-AU"/>
        </w:rPr>
        <w:t>RP-212448</w:t>
      </w:r>
    </w:p>
    <w:p w:rsidR="00744470" w:rsidRPr="00F36E9C" w:rsidRDefault="00572409" w:rsidP="00F36E9C">
      <w:pPr>
        <w:tabs>
          <w:tab w:val="center" w:pos="4320"/>
          <w:tab w:val="right" w:pos="8640"/>
        </w:tabs>
        <w:spacing w:beforeLines="0" w:before="0" w:afterLines="0" w:after="0"/>
        <w:rPr>
          <w:rFonts w:eastAsia="宋体"/>
          <w:b/>
          <w:bCs/>
          <w:sz w:val="24"/>
          <w:szCs w:val="24"/>
        </w:rPr>
      </w:pPr>
      <w:r>
        <w:rPr>
          <w:rFonts w:eastAsia="宋体"/>
          <w:b/>
          <w:bCs/>
          <w:sz w:val="24"/>
          <w:szCs w:val="24"/>
          <w:lang w:val="en-AU"/>
        </w:rPr>
        <w:t>Electronic meeting,</w:t>
      </w:r>
      <w:r w:rsidR="006E1B4F" w:rsidRPr="006E1B4F">
        <w:rPr>
          <w:rFonts w:eastAsia="宋体"/>
          <w:b/>
          <w:bCs/>
          <w:sz w:val="24"/>
          <w:szCs w:val="24"/>
          <w:lang w:val="en-AU"/>
        </w:rPr>
        <w:t xml:space="preserve"> 2021</w:t>
      </w:r>
      <w:r w:rsidRPr="00572409">
        <w:rPr>
          <w:rFonts w:eastAsia="宋体"/>
          <w:b/>
          <w:bCs/>
          <w:sz w:val="24"/>
          <w:szCs w:val="24"/>
          <w:lang w:val="en-AU"/>
        </w:rPr>
        <w:t xml:space="preserve"> September 13 – 17, 2021</w:t>
      </w:r>
    </w:p>
    <w:p w:rsidR="005B5C44" w:rsidRDefault="005B5C44" w:rsidP="00744470">
      <w:pPr>
        <w:tabs>
          <w:tab w:val="left" w:pos="1820"/>
        </w:tabs>
        <w:spacing w:beforeLines="0" w:before="0" w:afterLines="0" w:after="60"/>
        <w:rPr>
          <w:rFonts w:eastAsia="宋体"/>
          <w:b/>
          <w:sz w:val="24"/>
          <w:szCs w:val="24"/>
          <w:lang w:val="en-AU"/>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6E1B4F">
        <w:rPr>
          <w:rFonts w:eastAsia="宋体"/>
          <w:b/>
          <w:bCs/>
          <w:sz w:val="24"/>
          <w:szCs w:val="24"/>
          <w:lang w:val="en-AU"/>
        </w:rPr>
        <w:tab/>
      </w:r>
      <w:r w:rsidR="00572409">
        <w:rPr>
          <w:rFonts w:eastAsia="宋体"/>
          <w:b/>
          <w:bCs/>
          <w:sz w:val="24"/>
          <w:szCs w:val="24"/>
          <w:lang w:val="en-AU"/>
        </w:rPr>
        <w:t>9</w:t>
      </w:r>
      <w:r w:rsidR="002C4DEB">
        <w:rPr>
          <w:rFonts w:eastAsia="宋体"/>
          <w:b/>
          <w:bCs/>
          <w:sz w:val="24"/>
          <w:szCs w:val="24"/>
          <w:lang w:val="en-AU"/>
        </w:rPr>
        <w:t>.</w:t>
      </w:r>
      <w:r w:rsidR="00572409">
        <w:rPr>
          <w:rFonts w:eastAsia="宋体"/>
          <w:b/>
          <w:bCs/>
          <w:sz w:val="24"/>
          <w:szCs w:val="24"/>
          <w:lang w:val="en-AU"/>
        </w:rPr>
        <w:t>0.3</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B120DB" w:rsidRDefault="00744470" w:rsidP="00B120DB">
      <w:pPr>
        <w:pBdr>
          <w:bottom w:val="single" w:sz="6" w:space="1" w:color="auto"/>
        </w:pBdr>
        <w:tabs>
          <w:tab w:val="left" w:pos="1820"/>
        </w:tabs>
        <w:spacing w:beforeLines="0" w:before="0" w:afterLines="0" w:after="60"/>
        <w:ind w:left="1820" w:hanging="1820"/>
        <w:rPr>
          <w:rFonts w:eastAsia="宋体"/>
          <w:b/>
          <w:bCs/>
          <w:sz w:val="24"/>
          <w:szCs w:val="24"/>
          <w:lang w:val="en-AU"/>
        </w:rPr>
      </w:pPr>
      <w:r w:rsidRPr="00C13304">
        <w:rPr>
          <w:rFonts w:eastAsia="宋体"/>
          <w:b/>
          <w:sz w:val="24"/>
          <w:szCs w:val="24"/>
          <w:lang w:val="en-AU"/>
        </w:rPr>
        <w:t>Title:</w:t>
      </w:r>
      <w:r w:rsidRPr="00C13304">
        <w:rPr>
          <w:rFonts w:eastAsia="宋体"/>
          <w:b/>
          <w:bCs/>
          <w:sz w:val="24"/>
          <w:szCs w:val="24"/>
          <w:lang w:val="en-AU"/>
        </w:rPr>
        <w:tab/>
      </w:r>
      <w:r w:rsidR="00572409" w:rsidRPr="00F629C8">
        <w:rPr>
          <w:rFonts w:eastAsia="宋体" w:hint="eastAsia"/>
          <w:b/>
          <w:bCs/>
          <w:sz w:val="24"/>
          <w:szCs w:val="24"/>
          <w:lang w:val="en-AU"/>
        </w:rPr>
        <w:t>Views on Rel-18 Mobile IAB</w:t>
      </w:r>
    </w:p>
    <w:p w:rsidR="006E1B4F" w:rsidRPr="0036071D" w:rsidRDefault="006E1B4F" w:rsidP="0036071D">
      <w:pPr>
        <w:pStyle w:val="a7"/>
        <w:numPr>
          <w:ilvl w:val="0"/>
          <w:numId w:val="37"/>
        </w:numPr>
        <w:spacing w:beforeLines="100" w:before="326" w:after="163"/>
        <w:ind w:left="357" w:firstLineChars="0" w:hanging="357"/>
        <w:rPr>
          <w:b/>
          <w:smallCaps/>
          <w:sz w:val="24"/>
          <w:szCs w:val="24"/>
        </w:rPr>
      </w:pPr>
      <w:r w:rsidRPr="0036071D">
        <w:rPr>
          <w:b/>
          <w:smallCaps/>
          <w:sz w:val="24"/>
          <w:szCs w:val="24"/>
        </w:rPr>
        <w:t>Introduction</w:t>
      </w:r>
    </w:p>
    <w:p w:rsidR="005260D8" w:rsidRPr="001B760B" w:rsidRDefault="00F629C8" w:rsidP="006879F2">
      <w:pPr>
        <w:spacing w:before="163" w:after="163"/>
        <w:rPr>
          <w:rFonts w:eastAsiaTheme="minorEastAsia"/>
        </w:rPr>
      </w:pPr>
      <w:r w:rsidRPr="00F629C8">
        <w:rPr>
          <w:rFonts w:eastAsiaTheme="minorEastAsia"/>
        </w:rPr>
        <w:t>In Rel</w:t>
      </w:r>
      <w:r w:rsidR="006879F2">
        <w:rPr>
          <w:rFonts w:eastAsiaTheme="minorEastAsia"/>
        </w:rPr>
        <w:t>_</w:t>
      </w:r>
      <w:r w:rsidRPr="00F629C8">
        <w:rPr>
          <w:rFonts w:eastAsiaTheme="minorEastAsia"/>
        </w:rPr>
        <w:t>16</w:t>
      </w:r>
      <w:r w:rsidR="006879F2">
        <w:rPr>
          <w:rFonts w:eastAsiaTheme="minorEastAsia"/>
        </w:rPr>
        <w:t xml:space="preserve"> IAB</w:t>
      </w:r>
      <w:r w:rsidRPr="00F629C8">
        <w:rPr>
          <w:rFonts w:eastAsiaTheme="minorEastAsia"/>
        </w:rPr>
        <w:t xml:space="preserve">, basic functionalities for IAB were defined, including IAB specific SSB, PRACH, synchronization, </w:t>
      </w:r>
      <w:r w:rsidR="005260D8" w:rsidRPr="001B760B">
        <w:rPr>
          <w:rFonts w:eastAsiaTheme="minorEastAsia"/>
        </w:rPr>
        <w:t xml:space="preserve">protocol stacks, </w:t>
      </w:r>
      <w:r w:rsidRPr="00F629C8">
        <w:rPr>
          <w:rFonts w:eastAsiaTheme="minorEastAsia"/>
        </w:rPr>
        <w:t>ba</w:t>
      </w:r>
      <w:r w:rsidRPr="001B760B">
        <w:rPr>
          <w:rFonts w:eastAsiaTheme="minorEastAsia"/>
        </w:rPr>
        <w:t xml:space="preserve">ckhaul link resource allocation, </w:t>
      </w:r>
      <w:r w:rsidR="005260D8" w:rsidRPr="001B760B">
        <w:rPr>
          <w:rFonts w:eastAsiaTheme="minorEastAsia"/>
        </w:rPr>
        <w:t xml:space="preserve">RLC channel configuration/mapping, </w:t>
      </w:r>
      <w:r w:rsidRPr="00F629C8">
        <w:rPr>
          <w:rFonts w:eastAsiaTheme="minorEastAsia"/>
        </w:rPr>
        <w:t>Routing,</w:t>
      </w:r>
      <w:r w:rsidR="005260D8" w:rsidRPr="001B760B">
        <w:rPr>
          <w:rFonts w:eastAsiaTheme="minorEastAsia"/>
        </w:rPr>
        <w:t xml:space="preserve"> DL</w:t>
      </w:r>
      <w:r w:rsidRPr="00F629C8">
        <w:rPr>
          <w:rFonts w:eastAsiaTheme="minorEastAsia"/>
        </w:rPr>
        <w:t xml:space="preserve"> flow control.</w:t>
      </w:r>
      <w:r w:rsidR="005260D8" w:rsidRPr="001B760B">
        <w:rPr>
          <w:rFonts w:eastAsiaTheme="minorEastAsia"/>
        </w:rPr>
        <w:t xml:space="preserve"> </w:t>
      </w:r>
    </w:p>
    <w:p w:rsidR="005260D8" w:rsidRPr="005260D8" w:rsidRDefault="006879F2" w:rsidP="006879F2">
      <w:pPr>
        <w:spacing w:before="163" w:after="163"/>
        <w:rPr>
          <w:rFonts w:eastAsiaTheme="minorEastAsia"/>
        </w:rPr>
      </w:pPr>
      <w:r>
        <w:rPr>
          <w:rFonts w:eastAsiaTheme="minorEastAsia"/>
        </w:rPr>
        <w:t>In ongoing Rel_</w:t>
      </w:r>
      <w:r w:rsidR="005260D8" w:rsidRPr="005260D8">
        <w:rPr>
          <w:rFonts w:eastAsiaTheme="minorEastAsia"/>
        </w:rPr>
        <w:t>17 IAB, the following are being discussed</w:t>
      </w:r>
      <w:r w:rsidR="001B760B">
        <w:rPr>
          <w:rFonts w:eastAsiaTheme="minorEastAsia"/>
        </w:rPr>
        <w:t xml:space="preserve"> including i</w:t>
      </w:r>
      <w:r w:rsidR="005260D8" w:rsidRPr="005260D8">
        <w:rPr>
          <w:rFonts w:eastAsiaTheme="minorEastAsia"/>
        </w:rPr>
        <w:t>ntra/inter-donor NR-DC</w:t>
      </w:r>
      <w:r w:rsidR="001B760B">
        <w:rPr>
          <w:rFonts w:eastAsiaTheme="minorEastAsia"/>
        </w:rPr>
        <w:t xml:space="preserve">, </w:t>
      </w:r>
      <w:r w:rsidR="005260D8" w:rsidRPr="005260D8">
        <w:rPr>
          <w:rFonts w:eastAsiaTheme="minorEastAsia"/>
        </w:rPr>
        <w:t>multiple hop latency, fairness</w:t>
      </w:r>
      <w:r w:rsidR="001B760B">
        <w:rPr>
          <w:rFonts w:eastAsiaTheme="minorEastAsia"/>
        </w:rPr>
        <w:t xml:space="preserve"> scheduling, </w:t>
      </w:r>
      <w:r w:rsidR="005260D8" w:rsidRPr="005260D8">
        <w:rPr>
          <w:rFonts w:eastAsiaTheme="minorEastAsia"/>
        </w:rPr>
        <w:t>flow control</w:t>
      </w:r>
      <w:r w:rsidR="001B760B">
        <w:rPr>
          <w:rFonts w:eastAsiaTheme="minorEastAsia"/>
        </w:rPr>
        <w:t xml:space="preserve"> enhancement, t</w:t>
      </w:r>
      <w:r w:rsidR="005260D8" w:rsidRPr="005260D8">
        <w:rPr>
          <w:rFonts w:eastAsiaTheme="minorEastAsia"/>
        </w:rPr>
        <w:t>opology adaptations,</w:t>
      </w:r>
      <w:r w:rsidR="001B760B">
        <w:rPr>
          <w:rFonts w:eastAsiaTheme="minorEastAsia"/>
        </w:rPr>
        <w:t xml:space="preserve"> </w:t>
      </w:r>
      <w:r w:rsidR="005260D8" w:rsidRPr="005260D8">
        <w:rPr>
          <w:rFonts w:eastAsiaTheme="minorEastAsia"/>
        </w:rPr>
        <w:t>including</w:t>
      </w:r>
      <w:r>
        <w:rPr>
          <w:rFonts w:eastAsiaTheme="minorEastAsia"/>
        </w:rPr>
        <w:t xml:space="preserve"> </w:t>
      </w:r>
      <w:r w:rsidR="005260D8" w:rsidRPr="005260D8">
        <w:rPr>
          <w:rFonts w:eastAsiaTheme="minorEastAsia"/>
        </w:rPr>
        <w:t>intra/inter-CU migration (partial/full migration, CHO and DAPS)</w:t>
      </w:r>
      <w:r>
        <w:rPr>
          <w:rFonts w:eastAsiaTheme="minorEastAsia"/>
        </w:rPr>
        <w:t xml:space="preserve">, </w:t>
      </w:r>
      <w:r w:rsidR="005260D8" w:rsidRPr="005260D8">
        <w:rPr>
          <w:rFonts w:eastAsiaTheme="minorEastAsia"/>
        </w:rPr>
        <w:t>intra</w:t>
      </w:r>
      <w:r>
        <w:rPr>
          <w:rFonts w:eastAsiaTheme="minorEastAsia"/>
        </w:rPr>
        <w:t xml:space="preserve">/inter-donor-DU local rerouting and </w:t>
      </w:r>
      <w:r w:rsidR="005260D8" w:rsidRPr="005260D8">
        <w:rPr>
          <w:rFonts w:eastAsiaTheme="minorEastAsia"/>
        </w:rPr>
        <w:t>Backhaul link RLF handling.</w:t>
      </w:r>
    </w:p>
    <w:p w:rsidR="006879F2" w:rsidRDefault="00953590" w:rsidP="006879F2">
      <w:pPr>
        <w:spacing w:before="163" w:after="163"/>
        <w:rPr>
          <w:rFonts w:eastAsiaTheme="minorEastAsia"/>
        </w:rPr>
      </w:pPr>
      <w:r>
        <w:rPr>
          <w:rFonts w:eastAsiaTheme="minorEastAsia"/>
        </w:rPr>
        <w:t>[1]</w:t>
      </w:r>
      <w:r w:rsidR="006879F2">
        <w:rPr>
          <w:rFonts w:eastAsiaTheme="minorEastAsia"/>
        </w:rPr>
        <w:t>In Rel_18, Mobile IAB/</w:t>
      </w:r>
      <w:r w:rsidR="006879F2" w:rsidRPr="00F629C8">
        <w:rPr>
          <w:rFonts w:eastAsiaTheme="minorEastAsia"/>
        </w:rPr>
        <w:t>VMR scenario denotes the moving vehicles equipped with small on board base station (BS) relays providing 5G coverage and communication to UEs (inside the vehicle and/or in its vicinity), and connected wirelessly to the 5G network via RAN (donor) nodes in outdoor environments. Those relays mounted on vehicles could offer better 5G coverage and capacity to neighboring UEs. In addition, the connectivity of users or devices inside in the vehicle can be improved</w:t>
      </w:r>
      <w:r w:rsidR="006879F2">
        <w:rPr>
          <w:rFonts w:eastAsiaTheme="minorEastAsia"/>
        </w:rPr>
        <w:t xml:space="preserve">. </w:t>
      </w:r>
    </w:p>
    <w:p w:rsidR="0040796E" w:rsidRPr="0036071D" w:rsidRDefault="00B120DB" w:rsidP="0036071D">
      <w:pPr>
        <w:pStyle w:val="a7"/>
        <w:numPr>
          <w:ilvl w:val="0"/>
          <w:numId w:val="37"/>
        </w:numPr>
        <w:spacing w:beforeLines="100" w:before="326" w:after="163"/>
        <w:ind w:left="357" w:firstLineChars="0" w:hanging="357"/>
        <w:rPr>
          <w:b/>
          <w:smallCaps/>
          <w:sz w:val="24"/>
          <w:szCs w:val="24"/>
        </w:rPr>
      </w:pPr>
      <w:r w:rsidRPr="0036071D">
        <w:rPr>
          <w:b/>
          <w:smallCaps/>
          <w:sz w:val="24"/>
          <w:szCs w:val="24"/>
        </w:rPr>
        <w:t>Discussion</w:t>
      </w:r>
    </w:p>
    <w:p w:rsidR="006879F2" w:rsidRPr="00C97D9D" w:rsidRDefault="006879F2" w:rsidP="00D94EBB">
      <w:pPr>
        <w:pStyle w:val="a7"/>
        <w:numPr>
          <w:ilvl w:val="1"/>
          <w:numId w:val="37"/>
        </w:numPr>
        <w:spacing w:beforeLines="100" w:before="326" w:after="163"/>
        <w:ind w:left="709" w:firstLineChars="0" w:hanging="709"/>
        <w:rPr>
          <w:b/>
          <w:smallCaps/>
          <w:sz w:val="24"/>
          <w:szCs w:val="24"/>
        </w:rPr>
      </w:pPr>
      <w:r w:rsidRPr="00C97D9D">
        <w:rPr>
          <w:b/>
          <w:smallCaps/>
          <w:sz w:val="24"/>
          <w:szCs w:val="24"/>
        </w:rPr>
        <w:t>Mobile-IAB/VMR should support the following use cases:</w:t>
      </w:r>
    </w:p>
    <w:p w:rsidR="006879F2" w:rsidRDefault="005B406E" w:rsidP="00572409">
      <w:pPr>
        <w:pStyle w:val="a7"/>
        <w:numPr>
          <w:ilvl w:val="0"/>
          <w:numId w:val="44"/>
        </w:numPr>
        <w:spacing w:before="163" w:after="163"/>
        <w:ind w:firstLineChars="0"/>
        <w:rPr>
          <w:rFonts w:eastAsiaTheme="minorEastAsia"/>
        </w:rPr>
      </w:pPr>
      <w:r>
        <w:rPr>
          <w:rFonts w:eastAsiaTheme="minorEastAsia"/>
        </w:rPr>
        <w:t>Mobile IAB/VMR mounted on high speed vehicles</w:t>
      </w:r>
    </w:p>
    <w:p w:rsidR="00C97D9D" w:rsidRPr="00C97D9D" w:rsidRDefault="005B406E" w:rsidP="006A10EA">
      <w:pPr>
        <w:pStyle w:val="a7"/>
        <w:numPr>
          <w:ilvl w:val="1"/>
          <w:numId w:val="44"/>
        </w:numPr>
        <w:spacing w:before="163" w:after="163"/>
        <w:ind w:firstLineChars="0"/>
        <w:rPr>
          <w:rFonts w:eastAsiaTheme="minorEastAsia"/>
        </w:rPr>
      </w:pPr>
      <w:r>
        <w:rPr>
          <w:rFonts w:eastAsiaTheme="minorEastAsia"/>
        </w:rPr>
        <w:t xml:space="preserve">The </w:t>
      </w:r>
      <w:r w:rsidR="00C97D9D">
        <w:rPr>
          <w:rFonts w:eastAsiaTheme="minorEastAsia"/>
        </w:rPr>
        <w:t xml:space="preserve">current </w:t>
      </w:r>
      <w:r>
        <w:rPr>
          <w:rFonts w:eastAsiaTheme="minorEastAsia"/>
        </w:rPr>
        <w:t>NR network can’t provide effective service for mobile terminals in high speed vehicle like high-speed-train due to the fast channel changing</w:t>
      </w:r>
      <w:r w:rsidR="00C97D9D">
        <w:rPr>
          <w:rFonts w:eastAsiaTheme="minorEastAsia"/>
        </w:rPr>
        <w:t xml:space="preserve">, </w:t>
      </w:r>
      <w:r w:rsidR="000943F7" w:rsidRPr="000943F7">
        <w:rPr>
          <w:rFonts w:eastAsiaTheme="minorEastAsia"/>
        </w:rPr>
        <w:t>e.g. Doppler shift caused by the high speed movement.</w:t>
      </w:r>
      <w:r>
        <w:rPr>
          <w:rFonts w:eastAsiaTheme="minorEastAsia"/>
        </w:rPr>
        <w:t xml:space="preserve"> Therefore mobile IAB should be able to build a connection between the mobile terminals in high speed train and the Donor </w:t>
      </w:r>
      <w:proofErr w:type="spellStart"/>
      <w:r>
        <w:rPr>
          <w:rFonts w:eastAsiaTheme="minorEastAsia"/>
        </w:rPr>
        <w:t>gNB</w:t>
      </w:r>
      <w:proofErr w:type="spellEnd"/>
      <w:r>
        <w:rPr>
          <w:rFonts w:eastAsiaTheme="minorEastAsia"/>
        </w:rPr>
        <w:t xml:space="preserve">. </w:t>
      </w:r>
      <w:r w:rsidR="00C97D9D" w:rsidRPr="00C97D9D">
        <w:rPr>
          <w:rFonts w:eastAsiaTheme="minorEastAsia"/>
        </w:rPr>
        <w:t xml:space="preserve">IAB has been developed with several enhancements for flexibility including flexible resource management, flexible and dynamic topology, and so on. This level of flexibility may not be all needed for VMR, as the focus of VMR is a single additional hop with possibly less flexibility needed for </w:t>
      </w:r>
      <w:r w:rsidR="00C97D9D">
        <w:rPr>
          <w:rFonts w:eastAsiaTheme="minorEastAsia"/>
        </w:rPr>
        <w:t xml:space="preserve">resource management and sharing. </w:t>
      </w:r>
    </w:p>
    <w:p w:rsidR="00572409" w:rsidRPr="00572409" w:rsidRDefault="00572409" w:rsidP="00572409">
      <w:pPr>
        <w:pStyle w:val="a7"/>
        <w:numPr>
          <w:ilvl w:val="0"/>
          <w:numId w:val="44"/>
        </w:numPr>
        <w:spacing w:before="163" w:after="163"/>
        <w:ind w:firstLineChars="0"/>
        <w:rPr>
          <w:rFonts w:eastAsiaTheme="minorEastAsia"/>
        </w:rPr>
      </w:pPr>
      <w:r w:rsidRPr="00572409">
        <w:rPr>
          <w:rFonts w:eastAsiaTheme="minorEastAsia"/>
        </w:rPr>
        <w:t xml:space="preserve">Legacy UEs </w:t>
      </w:r>
      <w:r>
        <w:rPr>
          <w:rFonts w:eastAsiaTheme="minorEastAsia"/>
        </w:rPr>
        <w:t>support</w:t>
      </w:r>
      <w:r w:rsidRPr="00572409">
        <w:rPr>
          <w:rFonts w:eastAsiaTheme="minorEastAsia"/>
        </w:rPr>
        <w:t xml:space="preserve"> via Mobile-IAB/VMR</w:t>
      </w:r>
    </w:p>
    <w:p w:rsidR="005B406E" w:rsidRPr="00572409" w:rsidRDefault="005B406E" w:rsidP="006A10EA">
      <w:pPr>
        <w:pStyle w:val="a7"/>
        <w:numPr>
          <w:ilvl w:val="1"/>
          <w:numId w:val="44"/>
        </w:numPr>
        <w:spacing w:before="163" w:after="163"/>
        <w:ind w:firstLineChars="0"/>
        <w:rPr>
          <w:rFonts w:eastAsiaTheme="minorEastAsia"/>
        </w:rPr>
      </w:pPr>
      <w:r w:rsidRPr="00572409">
        <w:rPr>
          <w:rFonts w:eastAsiaTheme="minorEastAsia"/>
        </w:rPr>
        <w:t xml:space="preserve">From LTE relay to NR IAB, legacy UE should be able to access the relay node is the fundamental requirement of relay. So even NR IAB is targeting the third release specification, the legacy Rel_15 UE should be able to be connected to mobile IAB/VMR. </w:t>
      </w:r>
    </w:p>
    <w:p w:rsidR="000943F7" w:rsidRPr="00572409" w:rsidRDefault="000943F7" w:rsidP="00572409">
      <w:pPr>
        <w:pStyle w:val="a7"/>
        <w:numPr>
          <w:ilvl w:val="0"/>
          <w:numId w:val="44"/>
        </w:numPr>
        <w:spacing w:before="163" w:after="163"/>
        <w:ind w:firstLineChars="0"/>
        <w:rPr>
          <w:rFonts w:eastAsiaTheme="minorEastAsia"/>
        </w:rPr>
      </w:pPr>
      <w:r w:rsidRPr="00572409">
        <w:rPr>
          <w:rFonts w:eastAsiaTheme="minorEastAsia"/>
        </w:rPr>
        <w:t>coverage extension</w:t>
      </w:r>
    </w:p>
    <w:p w:rsidR="000943F7" w:rsidRPr="00572409" w:rsidRDefault="000943F7" w:rsidP="006A10EA">
      <w:pPr>
        <w:pStyle w:val="a7"/>
        <w:numPr>
          <w:ilvl w:val="1"/>
          <w:numId w:val="44"/>
        </w:numPr>
        <w:spacing w:before="163" w:after="163"/>
        <w:ind w:firstLineChars="0"/>
        <w:rPr>
          <w:rFonts w:eastAsiaTheme="minorEastAsia"/>
        </w:rPr>
      </w:pPr>
      <w:r w:rsidRPr="00572409">
        <w:rPr>
          <w:rFonts w:eastAsiaTheme="minorEastAsia"/>
        </w:rPr>
        <w:lastRenderedPageBreak/>
        <w:t>Mobile IAB nodes mounted on terrestrial vehicles or UAVs to provide temporary capacity and coverage extension for scenarios such as traffic hotspots, sports game concert events, disaster recovery, etc.</w:t>
      </w:r>
    </w:p>
    <w:p w:rsidR="000943F7" w:rsidRPr="00572409" w:rsidRDefault="000943F7" w:rsidP="006A10EA">
      <w:pPr>
        <w:pStyle w:val="a7"/>
        <w:numPr>
          <w:ilvl w:val="1"/>
          <w:numId w:val="44"/>
        </w:numPr>
        <w:spacing w:before="163" w:after="163"/>
        <w:ind w:firstLineChars="0"/>
        <w:rPr>
          <w:rFonts w:eastAsiaTheme="minorEastAsia"/>
        </w:rPr>
      </w:pPr>
      <w:r w:rsidRPr="00572409">
        <w:rPr>
          <w:rFonts w:eastAsiaTheme="minorEastAsia"/>
        </w:rPr>
        <w:t>Support for backhauling via NTN or to locally deployed core to support disaster recovery, military or maritime operation scenarios. But we identified that the mobile IAB mounted on NTN should not be the access IAB node for UE, in order to minimize the impact to UE. The objectives of any release IAB should stick to no impact to UE.</w:t>
      </w:r>
    </w:p>
    <w:p w:rsidR="00C97D9D" w:rsidRDefault="00572409" w:rsidP="000943F7">
      <w:pPr>
        <w:widowControl w:val="0"/>
        <w:autoSpaceDE w:val="0"/>
        <w:autoSpaceDN w:val="0"/>
        <w:adjustRightInd w:val="0"/>
        <w:spacing w:beforeLines="0" w:before="0" w:afterLines="0" w:after="0"/>
        <w:jc w:val="left"/>
        <w:rPr>
          <w:rFonts w:eastAsiaTheme="minorEastAsia"/>
          <w:b/>
        </w:rPr>
      </w:pPr>
      <w:r w:rsidRPr="00572409">
        <w:rPr>
          <w:rFonts w:eastAsiaTheme="minorEastAsia" w:hint="eastAsia"/>
          <w:b/>
        </w:rPr>
        <w:t>P</w:t>
      </w:r>
      <w:r w:rsidRPr="00572409">
        <w:rPr>
          <w:rFonts w:eastAsiaTheme="minorEastAsia"/>
          <w:b/>
        </w:rPr>
        <w:t xml:space="preserve">roposal 1: </w:t>
      </w:r>
      <w:r>
        <w:rPr>
          <w:rFonts w:eastAsiaTheme="minorEastAsia"/>
          <w:b/>
        </w:rPr>
        <w:t>the following use case should be supported in Rel_18 IAB enhancement:</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Mobile IAB/VMR mounted on high speed vehicles:</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Legacy UEs support via Mobile-IAB/VMR</w:t>
      </w:r>
    </w:p>
    <w:p w:rsidR="00572409" w:rsidRPr="00572409" w:rsidRDefault="00572409" w:rsidP="00572409">
      <w:pPr>
        <w:pStyle w:val="a7"/>
        <w:numPr>
          <w:ilvl w:val="1"/>
          <w:numId w:val="44"/>
        </w:numPr>
        <w:spacing w:before="163" w:after="163"/>
        <w:ind w:firstLineChars="0"/>
        <w:rPr>
          <w:rFonts w:eastAsiaTheme="minorEastAsia"/>
        </w:rPr>
      </w:pPr>
      <w:r w:rsidRPr="00572409">
        <w:rPr>
          <w:rFonts w:eastAsiaTheme="minorEastAsia"/>
          <w:b/>
        </w:rPr>
        <w:t>coverage extension</w:t>
      </w:r>
    </w:p>
    <w:p w:rsidR="00572409" w:rsidRPr="00572409" w:rsidRDefault="00572409" w:rsidP="000943F7">
      <w:pPr>
        <w:widowControl w:val="0"/>
        <w:autoSpaceDE w:val="0"/>
        <w:autoSpaceDN w:val="0"/>
        <w:adjustRightInd w:val="0"/>
        <w:spacing w:beforeLines="0" w:before="0" w:afterLines="0" w:after="0"/>
        <w:jc w:val="left"/>
        <w:rPr>
          <w:rFonts w:eastAsiaTheme="minorEastAsia"/>
          <w:b/>
        </w:rPr>
      </w:pPr>
    </w:p>
    <w:p w:rsidR="00C97D9D" w:rsidRPr="00C97D9D" w:rsidRDefault="00C97D9D" w:rsidP="00D94EBB">
      <w:pPr>
        <w:pStyle w:val="a7"/>
        <w:numPr>
          <w:ilvl w:val="1"/>
          <w:numId w:val="37"/>
        </w:numPr>
        <w:spacing w:beforeLines="100" w:before="326" w:after="163"/>
        <w:ind w:left="709" w:firstLineChars="0" w:hanging="709"/>
        <w:rPr>
          <w:b/>
          <w:smallCaps/>
          <w:sz w:val="24"/>
          <w:szCs w:val="24"/>
        </w:rPr>
      </w:pPr>
      <w:r w:rsidRPr="00C97D9D">
        <w:rPr>
          <w:b/>
          <w:smallCaps/>
          <w:sz w:val="24"/>
          <w:szCs w:val="24"/>
        </w:rPr>
        <w:t>Objectives</w:t>
      </w:r>
    </w:p>
    <w:p w:rsidR="00C97D9D" w:rsidRPr="00E11855" w:rsidRDefault="00E11855" w:rsidP="00E11855">
      <w:pPr>
        <w:spacing w:before="163" w:after="163"/>
        <w:rPr>
          <w:rFonts w:eastAsiaTheme="minorEastAsia"/>
        </w:rPr>
      </w:pPr>
      <w:r w:rsidRPr="00E11855">
        <w:rPr>
          <w:rFonts w:eastAsiaTheme="minorEastAsia"/>
        </w:rPr>
        <w:t>In order to support the above use cases, we think the following objectives should be supported for Rel_18 IAB enhancement:</w:t>
      </w:r>
    </w:p>
    <w:p w:rsidR="00E11855" w:rsidRPr="00E11855" w:rsidRDefault="00E11855" w:rsidP="00E11855">
      <w:pPr>
        <w:pStyle w:val="a7"/>
        <w:numPr>
          <w:ilvl w:val="0"/>
          <w:numId w:val="44"/>
        </w:numPr>
        <w:spacing w:before="163" w:after="163"/>
        <w:ind w:firstLineChars="0"/>
        <w:rPr>
          <w:rFonts w:eastAsiaTheme="minorEastAsia"/>
        </w:rPr>
      </w:pPr>
      <w:r w:rsidRPr="00E11855">
        <w:rPr>
          <w:rFonts w:eastAsiaTheme="minorEastAsia"/>
        </w:rPr>
        <w:t>Mobility enhancement due to the frequent handover cause by high speed.</w:t>
      </w:r>
    </w:p>
    <w:p w:rsidR="00E11855" w:rsidRDefault="00E11855" w:rsidP="00E11855">
      <w:pPr>
        <w:pStyle w:val="a7"/>
        <w:numPr>
          <w:ilvl w:val="1"/>
          <w:numId w:val="44"/>
        </w:numPr>
        <w:spacing w:before="163" w:after="163"/>
        <w:ind w:firstLineChars="0"/>
        <w:rPr>
          <w:rFonts w:eastAsiaTheme="minorEastAsia"/>
        </w:rPr>
      </w:pPr>
      <w:r>
        <w:rPr>
          <w:rFonts w:eastAsiaTheme="minorEastAsia"/>
        </w:rPr>
        <w:t xml:space="preserve">The mobile IAB deployed on the high speed train may cause frequency handover. This frequency handover significantly impacts the end user experience. </w:t>
      </w:r>
      <w:r w:rsidR="00D95B90">
        <w:rPr>
          <w:rFonts w:eastAsiaTheme="minorEastAsia"/>
        </w:rPr>
        <w:t xml:space="preserve">Partial migration can anchor the UE in the same Donor CU but the </w:t>
      </w:r>
      <w:r w:rsidR="00A90C2A">
        <w:rPr>
          <w:rFonts w:eastAsiaTheme="minorEastAsia"/>
        </w:rPr>
        <w:t xml:space="preserve">boundary IAB node still suffers the service interruption caused by frequent handover. Some mechanisms can be considered, </w:t>
      </w:r>
      <w:r w:rsidR="005A062C">
        <w:rPr>
          <w:rFonts w:eastAsiaTheme="minorEastAsia"/>
        </w:rPr>
        <w:t xml:space="preserve">e.g. </w:t>
      </w:r>
      <w:r w:rsidR="00A90C2A">
        <w:rPr>
          <w:rFonts w:eastAsiaTheme="minorEastAsia"/>
        </w:rPr>
        <w:t xml:space="preserve">boundary IAB node exchange of master parent node and secondary parent node. </w:t>
      </w:r>
    </w:p>
    <w:p w:rsidR="005A062C" w:rsidRPr="00E11855" w:rsidRDefault="005A062C" w:rsidP="005A062C">
      <w:pPr>
        <w:pStyle w:val="a7"/>
        <w:numPr>
          <w:ilvl w:val="0"/>
          <w:numId w:val="44"/>
        </w:numPr>
        <w:spacing w:before="163" w:after="163"/>
        <w:ind w:firstLineChars="0"/>
        <w:rPr>
          <w:rFonts w:eastAsiaTheme="minorEastAsia"/>
        </w:rPr>
      </w:pPr>
      <w:r>
        <w:rPr>
          <w:rFonts w:eastAsiaTheme="minorEastAsia"/>
        </w:rPr>
        <w:t>A</w:t>
      </w:r>
      <w:r w:rsidRPr="005A062C">
        <w:rPr>
          <w:rFonts w:eastAsiaTheme="minorEastAsia"/>
        </w:rPr>
        <w:t>void the unnecessary ping-pong handover of surrounding UEs from a fast moving mobile IAB</w:t>
      </w:r>
    </w:p>
    <w:p w:rsidR="005A062C" w:rsidRPr="005A062C" w:rsidRDefault="005A062C" w:rsidP="005A062C">
      <w:pPr>
        <w:pStyle w:val="a7"/>
        <w:numPr>
          <w:ilvl w:val="1"/>
          <w:numId w:val="44"/>
        </w:numPr>
        <w:spacing w:before="163" w:after="163"/>
        <w:ind w:firstLineChars="0"/>
        <w:rPr>
          <w:rFonts w:eastAsiaTheme="minorEastAsia"/>
        </w:rPr>
      </w:pPr>
      <w:r w:rsidRPr="005A062C">
        <w:rPr>
          <w:rFonts w:eastAsiaTheme="minorEastAsia"/>
        </w:rPr>
        <w:t xml:space="preserve">We also have concerns about the necessity of supporting surround UEs during the movement of mobile IAB where the local surrounding UEs are compelled to handover to mobile IAB. After the mobile moves out of the coverage of a still local UE, the UEs will have to handover back to the previous serving </w:t>
      </w:r>
      <w:proofErr w:type="spellStart"/>
      <w:r w:rsidRPr="005A062C">
        <w:rPr>
          <w:rFonts w:eastAsiaTheme="minorEastAsia"/>
        </w:rPr>
        <w:t>gNB</w:t>
      </w:r>
      <w:proofErr w:type="spellEnd"/>
      <w:r w:rsidRPr="005A062C">
        <w:rPr>
          <w:rFonts w:eastAsiaTheme="minorEastAsia"/>
        </w:rPr>
        <w:t>, which causes a large number of unnecessary signaling overhead and ping-pong handover. As such, we believe this scenario need a comprehensive and careful study. We have to reiterate hereby that the legacy UE should not be impacted to this scenario.</w:t>
      </w:r>
      <w:r>
        <w:rPr>
          <w:rFonts w:eastAsiaTheme="minorEastAsia"/>
        </w:rPr>
        <w:t xml:space="preserve"> </w:t>
      </w:r>
    </w:p>
    <w:p w:rsidR="00D95B90" w:rsidRPr="005A062C" w:rsidRDefault="005A062C" w:rsidP="005A062C">
      <w:pPr>
        <w:pStyle w:val="a7"/>
        <w:numPr>
          <w:ilvl w:val="1"/>
          <w:numId w:val="44"/>
        </w:numPr>
        <w:spacing w:before="163" w:after="163"/>
        <w:ind w:firstLineChars="0"/>
        <w:rPr>
          <w:rFonts w:eastAsiaTheme="minorEastAsia"/>
        </w:rPr>
      </w:pPr>
      <w:r w:rsidRPr="005A062C">
        <w:rPr>
          <w:rFonts w:eastAsiaTheme="minorEastAsia"/>
        </w:rPr>
        <w:t>The only case scenario to allow local still UE to be accessed to mobile IAB is in an emergency circumstance or coverage enhancement. This mobile IAB mustn’t be fast moving one, but a temporally fixed one. The serving CU of this temporally fixed mobile IAB should be aware of the presence of this IAB and make decision which UE should be offloaded to this temporally fixed mobile IAB.</w:t>
      </w:r>
    </w:p>
    <w:p w:rsidR="00E11855" w:rsidRDefault="00E11855" w:rsidP="00E11855">
      <w:pPr>
        <w:pStyle w:val="a7"/>
        <w:numPr>
          <w:ilvl w:val="0"/>
          <w:numId w:val="44"/>
        </w:numPr>
        <w:spacing w:before="163" w:after="163"/>
        <w:ind w:firstLineChars="0"/>
        <w:rPr>
          <w:rFonts w:eastAsiaTheme="minorEastAsia"/>
        </w:rPr>
      </w:pPr>
      <w:r w:rsidRPr="00E11855">
        <w:rPr>
          <w:rFonts w:eastAsiaTheme="minorEastAsia"/>
        </w:rPr>
        <w:t>Group handover in order to avoid significant signaling overhead for a large number of UE connected to the migrating IAB node and the descendant IAB node.</w:t>
      </w:r>
    </w:p>
    <w:p w:rsidR="005A062C" w:rsidRPr="00E11855" w:rsidRDefault="005A062C" w:rsidP="005A062C">
      <w:pPr>
        <w:pStyle w:val="a7"/>
        <w:numPr>
          <w:ilvl w:val="1"/>
          <w:numId w:val="44"/>
        </w:numPr>
        <w:spacing w:before="163" w:after="163"/>
        <w:ind w:firstLineChars="0"/>
        <w:rPr>
          <w:rFonts w:eastAsiaTheme="minorEastAsia"/>
        </w:rPr>
      </w:pPr>
      <w:r>
        <w:rPr>
          <w:rFonts w:eastAsiaTheme="minorEastAsia"/>
        </w:rPr>
        <w:lastRenderedPageBreak/>
        <w:t xml:space="preserve">For full migration scenario, all UEs will change Donor CU during the handover, in resulting a large number of signaling </w:t>
      </w:r>
      <w:r w:rsidR="00572409">
        <w:rPr>
          <w:rFonts w:eastAsiaTheme="minorEastAsia"/>
        </w:rPr>
        <w:t xml:space="preserve">over the interface throughout the IAB backhaul/UE access link. So it is necessary to optimize the group handover signaling in full migration scenario. </w:t>
      </w:r>
    </w:p>
    <w:p w:rsidR="00572409" w:rsidRDefault="00E11855" w:rsidP="00E11855">
      <w:pPr>
        <w:pStyle w:val="a7"/>
        <w:numPr>
          <w:ilvl w:val="0"/>
          <w:numId w:val="44"/>
        </w:numPr>
        <w:spacing w:before="163" w:after="163"/>
        <w:ind w:firstLineChars="0"/>
        <w:rPr>
          <w:rFonts w:eastAsiaTheme="minorEastAsia"/>
        </w:rPr>
      </w:pPr>
      <w:r w:rsidRPr="00E11855">
        <w:rPr>
          <w:rFonts w:eastAsiaTheme="minorEastAsia"/>
        </w:rPr>
        <w:t xml:space="preserve">Quick joining and leaving the running IAB system for temporary capacity and overage extension purpose IAB. </w:t>
      </w:r>
    </w:p>
    <w:p w:rsidR="00E11855" w:rsidRPr="00E11855" w:rsidRDefault="00E11855" w:rsidP="00572409">
      <w:pPr>
        <w:pStyle w:val="a7"/>
        <w:numPr>
          <w:ilvl w:val="1"/>
          <w:numId w:val="44"/>
        </w:numPr>
        <w:spacing w:before="163" w:after="163"/>
        <w:ind w:firstLineChars="0"/>
        <w:rPr>
          <w:rFonts w:eastAsiaTheme="minorEastAsia"/>
        </w:rPr>
      </w:pPr>
      <w:r w:rsidRPr="00E11855">
        <w:rPr>
          <w:rFonts w:eastAsiaTheme="minorEastAsia"/>
        </w:rPr>
        <w:t xml:space="preserve">This requires some UEs to be quickly offloaded to the new coming IAB node as </w:t>
      </w:r>
      <w:r w:rsidR="005A062C" w:rsidRPr="00E11855">
        <w:rPr>
          <w:rFonts w:eastAsiaTheme="minorEastAsia"/>
        </w:rPr>
        <w:t>either access IAB node or</w:t>
      </w:r>
      <w:r w:rsidRPr="00E11855">
        <w:rPr>
          <w:rFonts w:eastAsiaTheme="minorEastAsia"/>
        </w:rPr>
        <w:t xml:space="preserve"> intermediate IAB node. After the temporary IAB is switched off, large number of UEs should be transferred to other IAB/</w:t>
      </w:r>
      <w:proofErr w:type="spellStart"/>
      <w:r w:rsidRPr="00E11855">
        <w:rPr>
          <w:rFonts w:eastAsiaTheme="minorEastAsia"/>
        </w:rPr>
        <w:t>gNB</w:t>
      </w:r>
      <w:proofErr w:type="spellEnd"/>
      <w:r w:rsidRPr="00E11855">
        <w:rPr>
          <w:rFonts w:eastAsiaTheme="minorEastAsia"/>
        </w:rPr>
        <w:t xml:space="preserve"> without service interruption.</w:t>
      </w:r>
    </w:p>
    <w:p w:rsidR="00E11855" w:rsidRPr="00572409" w:rsidRDefault="00572409" w:rsidP="00572409">
      <w:pPr>
        <w:spacing w:before="163" w:after="163"/>
        <w:rPr>
          <w:b/>
        </w:rPr>
      </w:pPr>
      <w:r w:rsidRPr="00572409">
        <w:rPr>
          <w:rFonts w:hint="eastAsia"/>
          <w:b/>
        </w:rPr>
        <w:t>P</w:t>
      </w:r>
      <w:r w:rsidRPr="00572409">
        <w:rPr>
          <w:b/>
        </w:rPr>
        <w:t xml:space="preserve">roposal </w:t>
      </w:r>
      <w:r>
        <w:rPr>
          <w:b/>
        </w:rPr>
        <w:t>2</w:t>
      </w:r>
      <w:r w:rsidRPr="00572409">
        <w:rPr>
          <w:b/>
        </w:rPr>
        <w:t xml:space="preserve">: the following objectives should be supported in Rel_18 IAB topology improvement: </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Avoid the unnecessary ping-pong handover of surrounding UEs from a fast moving mobile IAB</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Group handover in order to avoid significant signaling overhead for a large number of UE connected to the migrating IAB node and the descendant IAB node.</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Mobility enhancement due to the frequent handover cause by high speed.</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 xml:space="preserve">Quick joining and leaving the running IAB system for temporary capacity and overage extension purpose IAB. </w:t>
      </w:r>
    </w:p>
    <w:p w:rsidR="00C97D9D" w:rsidRPr="000943F7" w:rsidRDefault="00C97D9D" w:rsidP="000943F7">
      <w:pPr>
        <w:widowControl w:val="0"/>
        <w:autoSpaceDE w:val="0"/>
        <w:autoSpaceDN w:val="0"/>
        <w:adjustRightInd w:val="0"/>
        <w:spacing w:beforeLines="0" w:before="0" w:afterLines="0" w:after="0"/>
        <w:jc w:val="left"/>
        <w:rPr>
          <w:rFonts w:ascii="TimesNewRomanPSMT" w:eastAsia="TimesNewRomanPSMT" w:cs="TimesNewRomanPSMT"/>
          <w:sz w:val="22"/>
          <w:szCs w:val="22"/>
        </w:rPr>
      </w:pPr>
    </w:p>
    <w:p w:rsidR="0036071D" w:rsidRDefault="0036071D" w:rsidP="0036071D">
      <w:pPr>
        <w:pStyle w:val="a7"/>
        <w:numPr>
          <w:ilvl w:val="0"/>
          <w:numId w:val="37"/>
        </w:numPr>
        <w:spacing w:beforeLines="100" w:before="326" w:after="163"/>
        <w:ind w:left="357" w:firstLineChars="0" w:hanging="357"/>
        <w:rPr>
          <w:b/>
          <w:smallCaps/>
          <w:sz w:val="24"/>
          <w:szCs w:val="24"/>
        </w:rPr>
      </w:pPr>
      <w:r w:rsidRPr="0036071D">
        <w:rPr>
          <w:b/>
          <w:smallCaps/>
          <w:sz w:val="24"/>
          <w:szCs w:val="24"/>
        </w:rPr>
        <w:t xml:space="preserve">Conclusion </w:t>
      </w:r>
    </w:p>
    <w:p w:rsidR="000F22CC" w:rsidRDefault="009B293D" w:rsidP="000F22CC">
      <w:pPr>
        <w:spacing w:before="163" w:after="163"/>
      </w:pPr>
      <w:r>
        <w:t>In this paper, we introduced Rel_1</w:t>
      </w:r>
      <w:r w:rsidR="00572409">
        <w:t>8</w:t>
      </w:r>
      <w:r>
        <w:t xml:space="preserve"> </w:t>
      </w:r>
      <w:r w:rsidR="00572409">
        <w:t>IAB use cases and discussed objectives of Rel_18</w:t>
      </w:r>
      <w:r w:rsidR="002D01F2">
        <w:t xml:space="preserve"> IAB enhancement</w:t>
      </w:r>
      <w:bookmarkStart w:id="0" w:name="_GoBack"/>
      <w:bookmarkEnd w:id="0"/>
      <w:r>
        <w:t>,</w:t>
      </w:r>
      <w:r w:rsidR="00572409">
        <w:t xml:space="preserve"> which are market motivated. And hereby</w:t>
      </w:r>
      <w:r w:rsidR="002530A8">
        <w:t xml:space="preserve"> we propose the following </w:t>
      </w:r>
      <w:r w:rsidR="00572409">
        <w:t>use cases and objectives</w:t>
      </w:r>
      <w:r w:rsidR="002530A8">
        <w:t xml:space="preserve"> to be supported in Rel_18 </w:t>
      </w:r>
      <w:r w:rsidR="00572409">
        <w:t>IAB enhancement</w:t>
      </w:r>
      <w:r w:rsidR="000F22CC">
        <w:t>:</w:t>
      </w:r>
    </w:p>
    <w:p w:rsidR="00572409" w:rsidRPr="00572409" w:rsidRDefault="00572409" w:rsidP="00572409">
      <w:pPr>
        <w:widowControl w:val="0"/>
        <w:autoSpaceDE w:val="0"/>
        <w:autoSpaceDN w:val="0"/>
        <w:adjustRightInd w:val="0"/>
        <w:spacing w:beforeLines="0" w:before="0" w:afterLines="0" w:after="0"/>
        <w:jc w:val="left"/>
        <w:rPr>
          <w:rFonts w:eastAsiaTheme="minorEastAsia"/>
          <w:b/>
        </w:rPr>
      </w:pPr>
      <w:r w:rsidRPr="00572409">
        <w:rPr>
          <w:rFonts w:eastAsiaTheme="minorEastAsia" w:hint="eastAsia"/>
          <w:b/>
        </w:rPr>
        <w:t>P</w:t>
      </w:r>
      <w:r w:rsidRPr="00572409">
        <w:rPr>
          <w:rFonts w:eastAsiaTheme="minorEastAsia"/>
          <w:b/>
        </w:rPr>
        <w:t>roposal 1: the following use case should be supported in Rel_18 IAB enhancement:</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Mobile IAB/VMR mounted on high speed vehicles:</w:t>
      </w:r>
    </w:p>
    <w:p w:rsidR="00572409" w:rsidRP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Legacy UEs support via Mobile-IAB/VMR</w:t>
      </w:r>
    </w:p>
    <w:p w:rsidR="00572409" w:rsidRDefault="00572409" w:rsidP="00572409">
      <w:pPr>
        <w:pStyle w:val="a7"/>
        <w:numPr>
          <w:ilvl w:val="1"/>
          <w:numId w:val="44"/>
        </w:numPr>
        <w:spacing w:before="163" w:after="163"/>
        <w:ind w:firstLineChars="0"/>
        <w:rPr>
          <w:rFonts w:eastAsiaTheme="minorEastAsia"/>
          <w:b/>
        </w:rPr>
      </w:pPr>
      <w:r w:rsidRPr="00572409">
        <w:rPr>
          <w:rFonts w:eastAsiaTheme="minorEastAsia"/>
          <w:b/>
        </w:rPr>
        <w:t>coverage extension</w:t>
      </w:r>
    </w:p>
    <w:p w:rsidR="002D01F2" w:rsidRPr="00572409" w:rsidRDefault="002D01F2" w:rsidP="002D01F2">
      <w:pPr>
        <w:spacing w:before="163" w:after="163"/>
        <w:rPr>
          <w:b/>
        </w:rPr>
      </w:pPr>
      <w:r w:rsidRPr="00572409">
        <w:rPr>
          <w:rFonts w:hint="eastAsia"/>
          <w:b/>
        </w:rPr>
        <w:t>P</w:t>
      </w:r>
      <w:r w:rsidRPr="00572409">
        <w:rPr>
          <w:b/>
        </w:rPr>
        <w:t xml:space="preserve">roposal </w:t>
      </w:r>
      <w:r>
        <w:rPr>
          <w:b/>
        </w:rPr>
        <w:t>2</w:t>
      </w:r>
      <w:r w:rsidRPr="00572409">
        <w:rPr>
          <w:b/>
        </w:rPr>
        <w:t xml:space="preserve">: the following objectives should be supported in Rel_18 IAB topology improvement: </w:t>
      </w:r>
    </w:p>
    <w:p w:rsidR="002D01F2" w:rsidRPr="00572409" w:rsidRDefault="002D01F2" w:rsidP="002D01F2">
      <w:pPr>
        <w:pStyle w:val="a7"/>
        <w:numPr>
          <w:ilvl w:val="1"/>
          <w:numId w:val="44"/>
        </w:numPr>
        <w:spacing w:before="163" w:after="163"/>
        <w:ind w:firstLineChars="0"/>
        <w:rPr>
          <w:rFonts w:eastAsiaTheme="minorEastAsia"/>
          <w:b/>
        </w:rPr>
      </w:pPr>
      <w:r w:rsidRPr="00572409">
        <w:rPr>
          <w:rFonts w:eastAsiaTheme="minorEastAsia"/>
          <w:b/>
        </w:rPr>
        <w:t>Avoid the unnecessary ping-pong handover of surrounding UEs from a fast moving mobile IAB</w:t>
      </w:r>
    </w:p>
    <w:p w:rsidR="002D01F2" w:rsidRPr="00572409" w:rsidRDefault="002D01F2" w:rsidP="002D01F2">
      <w:pPr>
        <w:pStyle w:val="a7"/>
        <w:numPr>
          <w:ilvl w:val="1"/>
          <w:numId w:val="44"/>
        </w:numPr>
        <w:spacing w:before="163" w:after="163"/>
        <w:ind w:firstLineChars="0"/>
        <w:rPr>
          <w:rFonts w:eastAsiaTheme="minorEastAsia"/>
          <w:b/>
        </w:rPr>
      </w:pPr>
      <w:r w:rsidRPr="00572409">
        <w:rPr>
          <w:rFonts w:eastAsiaTheme="minorEastAsia"/>
          <w:b/>
        </w:rPr>
        <w:t>Group handover in order to avoid significant signaling overhead for a large number of UE connected to the migrating IAB node and the descendant IAB node.</w:t>
      </w:r>
    </w:p>
    <w:p w:rsidR="002D01F2" w:rsidRPr="00572409" w:rsidRDefault="002D01F2" w:rsidP="002D01F2">
      <w:pPr>
        <w:pStyle w:val="a7"/>
        <w:numPr>
          <w:ilvl w:val="1"/>
          <w:numId w:val="44"/>
        </w:numPr>
        <w:spacing w:before="163" w:after="163"/>
        <w:ind w:firstLineChars="0"/>
        <w:rPr>
          <w:rFonts w:eastAsiaTheme="minorEastAsia"/>
          <w:b/>
        </w:rPr>
      </w:pPr>
      <w:r w:rsidRPr="00572409">
        <w:rPr>
          <w:rFonts w:eastAsiaTheme="minorEastAsia"/>
          <w:b/>
        </w:rPr>
        <w:t>Mobility enhancement due to the frequent handover cause by high speed.</w:t>
      </w:r>
    </w:p>
    <w:p w:rsidR="002D01F2" w:rsidRPr="002D01F2" w:rsidRDefault="002D01F2" w:rsidP="00BA7649">
      <w:pPr>
        <w:pStyle w:val="a7"/>
        <w:numPr>
          <w:ilvl w:val="1"/>
          <w:numId w:val="44"/>
        </w:numPr>
        <w:spacing w:before="163" w:after="163"/>
        <w:ind w:firstLineChars="0"/>
        <w:rPr>
          <w:rFonts w:eastAsiaTheme="minorEastAsia"/>
          <w:b/>
        </w:rPr>
      </w:pPr>
      <w:r w:rsidRPr="002D01F2">
        <w:rPr>
          <w:rFonts w:eastAsiaTheme="minorEastAsia"/>
          <w:b/>
        </w:rPr>
        <w:t xml:space="preserve">Quick joining and leaving the running IAB system for temporary capacity and overage extension purpose IAB. </w:t>
      </w:r>
    </w:p>
    <w:p w:rsidR="0036071D" w:rsidRDefault="0036071D" w:rsidP="0036071D">
      <w:pPr>
        <w:pStyle w:val="a7"/>
        <w:numPr>
          <w:ilvl w:val="0"/>
          <w:numId w:val="37"/>
        </w:numPr>
        <w:spacing w:beforeLines="100" w:before="326" w:after="163"/>
        <w:ind w:left="357" w:firstLineChars="0" w:hanging="357"/>
        <w:rPr>
          <w:b/>
          <w:smallCaps/>
          <w:sz w:val="24"/>
          <w:szCs w:val="24"/>
        </w:rPr>
      </w:pPr>
      <w:r w:rsidRPr="0036071D">
        <w:rPr>
          <w:b/>
          <w:smallCaps/>
          <w:sz w:val="24"/>
          <w:szCs w:val="24"/>
        </w:rPr>
        <w:lastRenderedPageBreak/>
        <w:t xml:space="preserve">Reference </w:t>
      </w:r>
    </w:p>
    <w:p w:rsidR="00572409" w:rsidRPr="00572409" w:rsidRDefault="005E3CBD" w:rsidP="00572409">
      <w:pPr>
        <w:spacing w:before="163" w:after="163"/>
      </w:pPr>
      <w:r w:rsidRPr="005E3CBD">
        <w:rPr>
          <w:rFonts w:hint="eastAsia"/>
        </w:rPr>
        <w:t>[</w:t>
      </w:r>
      <w:r w:rsidRPr="005E3CBD">
        <w:t xml:space="preserve">1] </w:t>
      </w:r>
      <w:r w:rsidR="00572409" w:rsidRPr="00572409">
        <w:t>[RAN93e-R18Prep-04] Additional topological improvements</w:t>
      </w:r>
    </w:p>
    <w:p w:rsidR="005E3CBD" w:rsidRDefault="005E3CBD" w:rsidP="005E3CBD">
      <w:pPr>
        <w:spacing w:before="163" w:after="163"/>
      </w:pPr>
      <w:r>
        <w:t>.</w:t>
      </w:r>
    </w:p>
    <w:sectPr w:rsidR="005E3CBD" w:rsidSect="0074447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B64" w:rsidRDefault="001E0B64" w:rsidP="00744470">
      <w:pPr>
        <w:spacing w:before="120" w:after="120"/>
      </w:pPr>
      <w:r>
        <w:separator/>
      </w:r>
    </w:p>
    <w:p w:rsidR="001E0B64" w:rsidRDefault="001E0B64">
      <w:pPr>
        <w:spacing w:before="120" w:after="120"/>
      </w:pPr>
    </w:p>
  </w:endnote>
  <w:endnote w:type="continuationSeparator" w:id="0">
    <w:p w:rsidR="001E0B64" w:rsidRDefault="001E0B64" w:rsidP="00744470">
      <w:pPr>
        <w:spacing w:before="120" w:after="120"/>
      </w:pPr>
      <w:r>
        <w:continuationSeparator/>
      </w:r>
    </w:p>
    <w:p w:rsidR="001E0B64" w:rsidRDefault="001E0B6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NewRomanPSMT">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2A" w:rsidRDefault="00A90C2A">
    <w:pPr>
      <w:pStyle w:val="a5"/>
      <w:spacing w:before="120" w:after="120"/>
    </w:pPr>
  </w:p>
  <w:p w:rsidR="00A90C2A" w:rsidRDefault="00A90C2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A90C2A" w:rsidRDefault="00A90C2A">
            <w:pPr>
              <w:pStyle w:val="a5"/>
              <w:spacing w:before="120" w:after="120"/>
              <w:jc w:val="center"/>
            </w:pPr>
            <w:r>
              <w:rPr>
                <w:b/>
                <w:bCs/>
                <w:sz w:val="24"/>
                <w:szCs w:val="24"/>
              </w:rPr>
              <w:fldChar w:fldCharType="begin"/>
            </w:r>
            <w:r>
              <w:rPr>
                <w:b/>
                <w:bCs/>
              </w:rPr>
              <w:instrText>PAGE</w:instrText>
            </w:r>
            <w:r>
              <w:rPr>
                <w:b/>
                <w:bCs/>
                <w:sz w:val="24"/>
                <w:szCs w:val="24"/>
              </w:rPr>
              <w:fldChar w:fldCharType="separate"/>
            </w:r>
            <w:r w:rsidR="002D01F2">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D01F2">
              <w:rPr>
                <w:b/>
                <w:bCs/>
                <w:noProof/>
              </w:rPr>
              <w:t>4</w:t>
            </w:r>
            <w:r>
              <w:rPr>
                <w:b/>
                <w:bCs/>
                <w:sz w:val="24"/>
                <w:szCs w:val="24"/>
              </w:rPr>
              <w:fldChar w:fldCharType="end"/>
            </w:r>
          </w:p>
        </w:sdtContent>
      </w:sdt>
    </w:sdtContent>
  </w:sdt>
  <w:p w:rsidR="00A90C2A" w:rsidRDefault="00A90C2A">
    <w:pPr>
      <w:pStyle w:val="a5"/>
      <w:spacing w:before="120" w:after="120"/>
    </w:pPr>
  </w:p>
  <w:p w:rsidR="00A90C2A" w:rsidRDefault="00A90C2A">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2A" w:rsidRDefault="00A90C2A">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B64" w:rsidRDefault="001E0B64" w:rsidP="00744470">
      <w:pPr>
        <w:spacing w:before="120" w:after="120"/>
      </w:pPr>
      <w:r>
        <w:separator/>
      </w:r>
    </w:p>
    <w:p w:rsidR="001E0B64" w:rsidRDefault="001E0B64">
      <w:pPr>
        <w:spacing w:before="120" w:after="120"/>
      </w:pPr>
    </w:p>
  </w:footnote>
  <w:footnote w:type="continuationSeparator" w:id="0">
    <w:p w:rsidR="001E0B64" w:rsidRDefault="001E0B64" w:rsidP="00744470">
      <w:pPr>
        <w:spacing w:before="120" w:after="120"/>
      </w:pPr>
      <w:r>
        <w:continuationSeparator/>
      </w:r>
    </w:p>
    <w:p w:rsidR="001E0B64" w:rsidRDefault="001E0B6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2A" w:rsidRDefault="00A90C2A">
    <w:pPr>
      <w:pStyle w:val="a3"/>
      <w:spacing w:before="120" w:after="120"/>
    </w:pPr>
  </w:p>
  <w:p w:rsidR="00A90C2A" w:rsidRDefault="00A90C2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2A" w:rsidRDefault="00A90C2A" w:rsidP="00744470">
    <w:pPr>
      <w:pStyle w:val="a3"/>
      <w:pBdr>
        <w:bottom w:val="none" w:sz="0" w:space="0" w:color="auto"/>
      </w:pBdr>
      <w:spacing w:before="120" w:after="120"/>
    </w:pPr>
  </w:p>
  <w:p w:rsidR="00A90C2A" w:rsidRDefault="00A90C2A">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C2A" w:rsidRDefault="00A90C2A">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BE56E4"/>
    <w:multiLevelType w:val="hybridMultilevel"/>
    <w:tmpl w:val="EF36A51E"/>
    <w:lvl w:ilvl="0" w:tplc="FB024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3" w15:restartNumberingAfterBreak="0">
    <w:nsid w:val="0B6A170A"/>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5156"/>
    <w:multiLevelType w:val="hybridMultilevel"/>
    <w:tmpl w:val="DD4085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110F4"/>
    <w:multiLevelType w:val="multilevel"/>
    <w:tmpl w:val="5C4652C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EC6EE3"/>
    <w:multiLevelType w:val="hybridMultilevel"/>
    <w:tmpl w:val="725C9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7796D"/>
    <w:multiLevelType w:val="hybridMultilevel"/>
    <w:tmpl w:val="1930BAA6"/>
    <w:lvl w:ilvl="0" w:tplc="5628ADB0">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290E7D"/>
    <w:multiLevelType w:val="hybridMultilevel"/>
    <w:tmpl w:val="0486FB9C"/>
    <w:lvl w:ilvl="0" w:tplc="6C627A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EF7A05"/>
    <w:multiLevelType w:val="hybridMultilevel"/>
    <w:tmpl w:val="E2383932"/>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561FF1"/>
    <w:multiLevelType w:val="hybridMultilevel"/>
    <w:tmpl w:val="8EB2D8FE"/>
    <w:lvl w:ilvl="0" w:tplc="04090001">
      <w:start w:val="1"/>
      <w:numFmt w:val="bullet"/>
      <w:lvlText w:val=""/>
      <w:lvlJc w:val="left"/>
      <w:pPr>
        <w:ind w:left="420" w:hanging="420"/>
      </w:pPr>
      <w:rPr>
        <w:rFonts w:ascii="Wingdings" w:hAnsi="Wingdings" w:hint="default"/>
      </w:rPr>
    </w:lvl>
    <w:lvl w:ilvl="1" w:tplc="5628ADB0">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7ED167F"/>
    <w:multiLevelType w:val="hybridMultilevel"/>
    <w:tmpl w:val="9BC8B9BE"/>
    <w:lvl w:ilvl="0" w:tplc="D68AE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BAF3D02"/>
    <w:multiLevelType w:val="hybridMultilevel"/>
    <w:tmpl w:val="90F22336"/>
    <w:lvl w:ilvl="0" w:tplc="5628ADB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3EA0650"/>
    <w:multiLevelType w:val="hybridMultilevel"/>
    <w:tmpl w:val="B5C6DAB2"/>
    <w:lvl w:ilvl="0" w:tplc="081A18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27"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38C339C"/>
    <w:multiLevelType w:val="hybridMultilevel"/>
    <w:tmpl w:val="58B6A8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38F354C"/>
    <w:multiLevelType w:val="multilevel"/>
    <w:tmpl w:val="83886FCE"/>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C5D0382"/>
    <w:multiLevelType w:val="hybridMultilevel"/>
    <w:tmpl w:val="8D7683B0"/>
    <w:lvl w:ilvl="0" w:tplc="0C6627DC">
      <w:numFmt w:val="bullet"/>
      <w:lvlText w:val="−"/>
      <w:lvlJc w:val="left"/>
      <w:pPr>
        <w:ind w:left="1347" w:hanging="360"/>
      </w:pPr>
      <w:rPr>
        <w:rFonts w:ascii="Verdana" w:eastAsiaTheme="minorEastAsia" w:hAnsi="Verdana" w:cstheme="minorBidi"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B3C3C"/>
    <w:multiLevelType w:val="multilevel"/>
    <w:tmpl w:val="BB2AC8E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59C2608"/>
    <w:multiLevelType w:val="hybridMultilevel"/>
    <w:tmpl w:val="69F0BC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C615A3A"/>
    <w:multiLevelType w:val="multilevel"/>
    <w:tmpl w:val="564C0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882EC2"/>
    <w:multiLevelType w:val="hybridMultilevel"/>
    <w:tmpl w:val="B374F54A"/>
    <w:lvl w:ilvl="0" w:tplc="0D946B6A">
      <w:start w:val="1"/>
      <w:numFmt w:val="bullet"/>
      <w:lvlText w:val=""/>
      <w:lvlJc w:val="left"/>
      <w:pPr>
        <w:tabs>
          <w:tab w:val="num" w:pos="720"/>
        </w:tabs>
        <w:ind w:left="720" w:hanging="360"/>
      </w:pPr>
      <w:rPr>
        <w:rFonts w:ascii="Wingdings" w:hAnsi="Wingdings" w:hint="default"/>
      </w:rPr>
    </w:lvl>
    <w:lvl w:ilvl="1" w:tplc="E1C602D2">
      <w:start w:val="78"/>
      <w:numFmt w:val="bullet"/>
      <w:lvlText w:val=""/>
      <w:lvlJc w:val="left"/>
      <w:pPr>
        <w:tabs>
          <w:tab w:val="num" w:pos="1440"/>
        </w:tabs>
        <w:ind w:left="1440" w:hanging="360"/>
      </w:pPr>
      <w:rPr>
        <w:rFonts w:ascii="Wingdings" w:hAnsi="Wingdings" w:hint="default"/>
        <w:color w:val="000000" w:themeColor="text1"/>
      </w:rPr>
    </w:lvl>
    <w:lvl w:ilvl="2" w:tplc="E8BE5414">
      <w:start w:val="1"/>
      <w:numFmt w:val="bullet"/>
      <w:lvlText w:val=""/>
      <w:lvlJc w:val="left"/>
      <w:pPr>
        <w:tabs>
          <w:tab w:val="num" w:pos="2160"/>
        </w:tabs>
        <w:ind w:left="2160" w:hanging="360"/>
      </w:pPr>
      <w:rPr>
        <w:rFonts w:ascii="Wingdings" w:hAnsi="Wingdings" w:hint="default"/>
      </w:rPr>
    </w:lvl>
    <w:lvl w:ilvl="3" w:tplc="D7A6778C">
      <w:start w:val="1"/>
      <w:numFmt w:val="bullet"/>
      <w:lvlText w:val=""/>
      <w:lvlJc w:val="left"/>
      <w:pPr>
        <w:tabs>
          <w:tab w:val="num" w:pos="2880"/>
        </w:tabs>
        <w:ind w:left="2880" w:hanging="360"/>
      </w:pPr>
      <w:rPr>
        <w:rFonts w:ascii="Wingdings" w:hAnsi="Wingdings" w:hint="default"/>
      </w:rPr>
    </w:lvl>
    <w:lvl w:ilvl="4" w:tplc="BE962184" w:tentative="1">
      <w:start w:val="1"/>
      <w:numFmt w:val="bullet"/>
      <w:lvlText w:val=""/>
      <w:lvlJc w:val="left"/>
      <w:pPr>
        <w:tabs>
          <w:tab w:val="num" w:pos="3600"/>
        </w:tabs>
        <w:ind w:left="3600" w:hanging="360"/>
      </w:pPr>
      <w:rPr>
        <w:rFonts w:ascii="Wingdings" w:hAnsi="Wingdings" w:hint="default"/>
      </w:rPr>
    </w:lvl>
    <w:lvl w:ilvl="5" w:tplc="27A2E27E" w:tentative="1">
      <w:start w:val="1"/>
      <w:numFmt w:val="bullet"/>
      <w:lvlText w:val=""/>
      <w:lvlJc w:val="left"/>
      <w:pPr>
        <w:tabs>
          <w:tab w:val="num" w:pos="4320"/>
        </w:tabs>
        <w:ind w:left="4320" w:hanging="360"/>
      </w:pPr>
      <w:rPr>
        <w:rFonts w:ascii="Wingdings" w:hAnsi="Wingdings" w:hint="default"/>
      </w:rPr>
    </w:lvl>
    <w:lvl w:ilvl="6" w:tplc="7FDEDEFC" w:tentative="1">
      <w:start w:val="1"/>
      <w:numFmt w:val="bullet"/>
      <w:lvlText w:val=""/>
      <w:lvlJc w:val="left"/>
      <w:pPr>
        <w:tabs>
          <w:tab w:val="num" w:pos="5040"/>
        </w:tabs>
        <w:ind w:left="5040" w:hanging="360"/>
      </w:pPr>
      <w:rPr>
        <w:rFonts w:ascii="Wingdings" w:hAnsi="Wingdings" w:hint="default"/>
      </w:rPr>
    </w:lvl>
    <w:lvl w:ilvl="7" w:tplc="155CBF82" w:tentative="1">
      <w:start w:val="1"/>
      <w:numFmt w:val="bullet"/>
      <w:lvlText w:val=""/>
      <w:lvlJc w:val="left"/>
      <w:pPr>
        <w:tabs>
          <w:tab w:val="num" w:pos="5760"/>
        </w:tabs>
        <w:ind w:left="5760" w:hanging="360"/>
      </w:pPr>
      <w:rPr>
        <w:rFonts w:ascii="Wingdings" w:hAnsi="Wingdings" w:hint="default"/>
      </w:rPr>
    </w:lvl>
    <w:lvl w:ilvl="8" w:tplc="85185B8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A3034D"/>
    <w:multiLevelType w:val="hybridMultilevel"/>
    <w:tmpl w:val="3D44E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DC1477"/>
    <w:multiLevelType w:val="hybridMultilevel"/>
    <w:tmpl w:val="2BDE3B86"/>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F3D1B59"/>
    <w:multiLevelType w:val="multilevel"/>
    <w:tmpl w:val="AFA2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
  </w:num>
  <w:num w:numId="3">
    <w:abstractNumId w:val="0"/>
  </w:num>
  <w:num w:numId="4">
    <w:abstractNumId w:val="16"/>
  </w:num>
  <w:num w:numId="5">
    <w:abstractNumId w:val="12"/>
  </w:num>
  <w:num w:numId="6">
    <w:abstractNumId w:val="11"/>
  </w:num>
  <w:num w:numId="7">
    <w:abstractNumId w:val="7"/>
  </w:num>
  <w:num w:numId="8">
    <w:abstractNumId w:val="18"/>
  </w:num>
  <w:num w:numId="9">
    <w:abstractNumId w:val="17"/>
  </w:num>
  <w:num w:numId="10">
    <w:abstractNumId w:val="35"/>
  </w:num>
  <w:num w:numId="11">
    <w:abstractNumId w:val="33"/>
  </w:num>
  <w:num w:numId="12">
    <w:abstractNumId w:val="27"/>
  </w:num>
  <w:num w:numId="13">
    <w:abstractNumId w:val="22"/>
  </w:num>
  <w:num w:numId="14">
    <w:abstractNumId w:val="20"/>
  </w:num>
  <w:num w:numId="15">
    <w:abstractNumId w:val="36"/>
  </w:num>
  <w:num w:numId="16">
    <w:abstractNumId w:val="38"/>
  </w:num>
  <w:num w:numId="17">
    <w:abstractNumId w:val="4"/>
  </w:num>
  <w:num w:numId="18">
    <w:abstractNumId w:val="37"/>
  </w:num>
  <w:num w:numId="19">
    <w:abstractNumId w:val="2"/>
  </w:num>
  <w:num w:numId="20">
    <w:abstractNumId w:val="5"/>
  </w:num>
  <w:num w:numId="21">
    <w:abstractNumId w:val="26"/>
  </w:num>
  <w:num w:numId="22">
    <w:abstractNumId w:val="42"/>
  </w:num>
  <w:num w:numId="23">
    <w:abstractNumId w:val="34"/>
  </w:num>
  <w:num w:numId="24">
    <w:abstractNumId w:val="14"/>
  </w:num>
  <w:num w:numId="25">
    <w:abstractNumId w:val="21"/>
  </w:num>
  <w:num w:numId="26">
    <w:abstractNumId w:val="9"/>
  </w:num>
  <w:num w:numId="27">
    <w:abstractNumId w:val="10"/>
  </w:num>
  <w:num w:numId="28">
    <w:abstractNumId w:val="25"/>
  </w:num>
  <w:num w:numId="29">
    <w:abstractNumId w:val="29"/>
  </w:num>
  <w:num w:numId="30">
    <w:abstractNumId w:val="32"/>
  </w:num>
  <w:num w:numId="31">
    <w:abstractNumId w:val="28"/>
  </w:num>
  <w:num w:numId="32">
    <w:abstractNumId w:val="40"/>
  </w:num>
  <w:num w:numId="33">
    <w:abstractNumId w:val="13"/>
  </w:num>
  <w:num w:numId="34">
    <w:abstractNumId w:val="30"/>
  </w:num>
  <w:num w:numId="35">
    <w:abstractNumId w:val="23"/>
  </w:num>
  <w:num w:numId="36">
    <w:abstractNumId w:val="41"/>
  </w:num>
  <w:num w:numId="37">
    <w:abstractNumId w:val="3"/>
  </w:num>
  <w:num w:numId="38">
    <w:abstractNumId w:val="8"/>
  </w:num>
  <w:num w:numId="39">
    <w:abstractNumId w:val="24"/>
  </w:num>
  <w:num w:numId="40">
    <w:abstractNumId w:val="31"/>
  </w:num>
  <w:num w:numId="41">
    <w:abstractNumId w:val="1"/>
  </w:num>
  <w:num w:numId="42">
    <w:abstractNumId w:val="43"/>
  </w:num>
  <w:num w:numId="43">
    <w:abstractNumId w:val="39"/>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1543B"/>
    <w:rsid w:val="00017313"/>
    <w:rsid w:val="000246C9"/>
    <w:rsid w:val="000318A5"/>
    <w:rsid w:val="00042BC4"/>
    <w:rsid w:val="000443EE"/>
    <w:rsid w:val="000805D9"/>
    <w:rsid w:val="00085B20"/>
    <w:rsid w:val="000943F7"/>
    <w:rsid w:val="0009624F"/>
    <w:rsid w:val="000A641D"/>
    <w:rsid w:val="000B0D78"/>
    <w:rsid w:val="000B72B9"/>
    <w:rsid w:val="000C0895"/>
    <w:rsid w:val="000C18EC"/>
    <w:rsid w:val="000C3641"/>
    <w:rsid w:val="000D1EBF"/>
    <w:rsid w:val="000D6E7A"/>
    <w:rsid w:val="000E37BF"/>
    <w:rsid w:val="000F22CC"/>
    <w:rsid w:val="00115E2D"/>
    <w:rsid w:val="00133CA2"/>
    <w:rsid w:val="001409D7"/>
    <w:rsid w:val="00147624"/>
    <w:rsid w:val="001631F2"/>
    <w:rsid w:val="00163279"/>
    <w:rsid w:val="00170017"/>
    <w:rsid w:val="00175C81"/>
    <w:rsid w:val="00193B2B"/>
    <w:rsid w:val="00196403"/>
    <w:rsid w:val="001971FE"/>
    <w:rsid w:val="001B4592"/>
    <w:rsid w:val="001B490A"/>
    <w:rsid w:val="001B760B"/>
    <w:rsid w:val="001C1A6E"/>
    <w:rsid w:val="001C2548"/>
    <w:rsid w:val="001C6535"/>
    <w:rsid w:val="001D07A0"/>
    <w:rsid w:val="001E0B64"/>
    <w:rsid w:val="00211748"/>
    <w:rsid w:val="002130AF"/>
    <w:rsid w:val="00221A7F"/>
    <w:rsid w:val="00224BC6"/>
    <w:rsid w:val="0024712D"/>
    <w:rsid w:val="00247483"/>
    <w:rsid w:val="002530A8"/>
    <w:rsid w:val="00267752"/>
    <w:rsid w:val="002A6BAB"/>
    <w:rsid w:val="002B607D"/>
    <w:rsid w:val="002B6E33"/>
    <w:rsid w:val="002C1252"/>
    <w:rsid w:val="002C4DEB"/>
    <w:rsid w:val="002D01F2"/>
    <w:rsid w:val="002D72CE"/>
    <w:rsid w:val="002E59A2"/>
    <w:rsid w:val="002E668F"/>
    <w:rsid w:val="00330D4E"/>
    <w:rsid w:val="003315FA"/>
    <w:rsid w:val="003521A5"/>
    <w:rsid w:val="0036071D"/>
    <w:rsid w:val="00367266"/>
    <w:rsid w:val="003769A2"/>
    <w:rsid w:val="003930D7"/>
    <w:rsid w:val="0039647E"/>
    <w:rsid w:val="0039735C"/>
    <w:rsid w:val="00397539"/>
    <w:rsid w:val="003A3CDF"/>
    <w:rsid w:val="003B09FD"/>
    <w:rsid w:val="003B1E16"/>
    <w:rsid w:val="003C5E57"/>
    <w:rsid w:val="003E1842"/>
    <w:rsid w:val="003F79B2"/>
    <w:rsid w:val="00405F6E"/>
    <w:rsid w:val="0040796E"/>
    <w:rsid w:val="0042335B"/>
    <w:rsid w:val="00442F88"/>
    <w:rsid w:val="00460B0C"/>
    <w:rsid w:val="004665CE"/>
    <w:rsid w:val="00472C45"/>
    <w:rsid w:val="004803C0"/>
    <w:rsid w:val="004974F7"/>
    <w:rsid w:val="004A0324"/>
    <w:rsid w:val="004A17A9"/>
    <w:rsid w:val="004A6A60"/>
    <w:rsid w:val="004B7B6B"/>
    <w:rsid w:val="004D3DB4"/>
    <w:rsid w:val="004F0766"/>
    <w:rsid w:val="00506408"/>
    <w:rsid w:val="00521DAC"/>
    <w:rsid w:val="005260D8"/>
    <w:rsid w:val="005310C1"/>
    <w:rsid w:val="005431F2"/>
    <w:rsid w:val="005513E4"/>
    <w:rsid w:val="00572409"/>
    <w:rsid w:val="00573587"/>
    <w:rsid w:val="005A062C"/>
    <w:rsid w:val="005B3761"/>
    <w:rsid w:val="005B406E"/>
    <w:rsid w:val="005B5C44"/>
    <w:rsid w:val="005C3AEB"/>
    <w:rsid w:val="005D16CB"/>
    <w:rsid w:val="005E3CBD"/>
    <w:rsid w:val="005E5E61"/>
    <w:rsid w:val="005E7D4F"/>
    <w:rsid w:val="005F6971"/>
    <w:rsid w:val="00603CF8"/>
    <w:rsid w:val="006123D1"/>
    <w:rsid w:val="00614C7C"/>
    <w:rsid w:val="006224E1"/>
    <w:rsid w:val="00625D9F"/>
    <w:rsid w:val="006329CE"/>
    <w:rsid w:val="00641131"/>
    <w:rsid w:val="006417B7"/>
    <w:rsid w:val="00641D6D"/>
    <w:rsid w:val="00665835"/>
    <w:rsid w:val="00683081"/>
    <w:rsid w:val="006879F2"/>
    <w:rsid w:val="00696649"/>
    <w:rsid w:val="006A10EA"/>
    <w:rsid w:val="006A24E3"/>
    <w:rsid w:val="006D5201"/>
    <w:rsid w:val="006D7953"/>
    <w:rsid w:val="006E1B4F"/>
    <w:rsid w:val="006F226C"/>
    <w:rsid w:val="006F4AD7"/>
    <w:rsid w:val="006F5852"/>
    <w:rsid w:val="00701094"/>
    <w:rsid w:val="00716E94"/>
    <w:rsid w:val="007241DF"/>
    <w:rsid w:val="00730588"/>
    <w:rsid w:val="00744470"/>
    <w:rsid w:val="007448BE"/>
    <w:rsid w:val="007510CA"/>
    <w:rsid w:val="00751F26"/>
    <w:rsid w:val="007676AA"/>
    <w:rsid w:val="007B0641"/>
    <w:rsid w:val="007B7A84"/>
    <w:rsid w:val="007C323A"/>
    <w:rsid w:val="007C64B2"/>
    <w:rsid w:val="007D3D3C"/>
    <w:rsid w:val="007F2664"/>
    <w:rsid w:val="007F59DE"/>
    <w:rsid w:val="00804DD0"/>
    <w:rsid w:val="00815146"/>
    <w:rsid w:val="00827C9E"/>
    <w:rsid w:val="0083118A"/>
    <w:rsid w:val="00831263"/>
    <w:rsid w:val="00843A0A"/>
    <w:rsid w:val="00845938"/>
    <w:rsid w:val="00845EDE"/>
    <w:rsid w:val="00853D6D"/>
    <w:rsid w:val="00856DC4"/>
    <w:rsid w:val="008642D1"/>
    <w:rsid w:val="00864FD3"/>
    <w:rsid w:val="00872582"/>
    <w:rsid w:val="008763DB"/>
    <w:rsid w:val="00876F03"/>
    <w:rsid w:val="008A0D36"/>
    <w:rsid w:val="008A3A0C"/>
    <w:rsid w:val="00917E66"/>
    <w:rsid w:val="00923C59"/>
    <w:rsid w:val="00927EAA"/>
    <w:rsid w:val="00940849"/>
    <w:rsid w:val="009413FD"/>
    <w:rsid w:val="00942595"/>
    <w:rsid w:val="00952FAC"/>
    <w:rsid w:val="00953590"/>
    <w:rsid w:val="00960A10"/>
    <w:rsid w:val="009643A4"/>
    <w:rsid w:val="00970C29"/>
    <w:rsid w:val="00970FC9"/>
    <w:rsid w:val="00983F62"/>
    <w:rsid w:val="009A49FA"/>
    <w:rsid w:val="009A5CB2"/>
    <w:rsid w:val="009A5D55"/>
    <w:rsid w:val="009B293D"/>
    <w:rsid w:val="009B299F"/>
    <w:rsid w:val="009B32F7"/>
    <w:rsid w:val="009B35B0"/>
    <w:rsid w:val="009C3313"/>
    <w:rsid w:val="009E5E44"/>
    <w:rsid w:val="009E6D4A"/>
    <w:rsid w:val="009F51A9"/>
    <w:rsid w:val="00A129C5"/>
    <w:rsid w:val="00A152E9"/>
    <w:rsid w:val="00A16FDF"/>
    <w:rsid w:val="00A3196E"/>
    <w:rsid w:val="00A34BF1"/>
    <w:rsid w:val="00A42A2D"/>
    <w:rsid w:val="00A46836"/>
    <w:rsid w:val="00A479F8"/>
    <w:rsid w:val="00A52232"/>
    <w:rsid w:val="00A7426A"/>
    <w:rsid w:val="00A90C2A"/>
    <w:rsid w:val="00AC6096"/>
    <w:rsid w:val="00AD44AE"/>
    <w:rsid w:val="00AE4C89"/>
    <w:rsid w:val="00AE5666"/>
    <w:rsid w:val="00AF281C"/>
    <w:rsid w:val="00B120DB"/>
    <w:rsid w:val="00B16E53"/>
    <w:rsid w:val="00B17559"/>
    <w:rsid w:val="00B33054"/>
    <w:rsid w:val="00B4309E"/>
    <w:rsid w:val="00B5679C"/>
    <w:rsid w:val="00B6705B"/>
    <w:rsid w:val="00B80CC7"/>
    <w:rsid w:val="00B86B1A"/>
    <w:rsid w:val="00B87EC9"/>
    <w:rsid w:val="00BB0893"/>
    <w:rsid w:val="00BB3008"/>
    <w:rsid w:val="00BB41A2"/>
    <w:rsid w:val="00BC590B"/>
    <w:rsid w:val="00BD37DF"/>
    <w:rsid w:val="00BE6985"/>
    <w:rsid w:val="00C11155"/>
    <w:rsid w:val="00C13304"/>
    <w:rsid w:val="00C2575C"/>
    <w:rsid w:val="00C25C3B"/>
    <w:rsid w:val="00C3020B"/>
    <w:rsid w:val="00C435F1"/>
    <w:rsid w:val="00C45DCB"/>
    <w:rsid w:val="00C465F6"/>
    <w:rsid w:val="00C61C8B"/>
    <w:rsid w:val="00C90D29"/>
    <w:rsid w:val="00C914C5"/>
    <w:rsid w:val="00C96D34"/>
    <w:rsid w:val="00C97D9D"/>
    <w:rsid w:val="00CA46DC"/>
    <w:rsid w:val="00CB5955"/>
    <w:rsid w:val="00CC1D35"/>
    <w:rsid w:val="00CE2AD5"/>
    <w:rsid w:val="00CE409E"/>
    <w:rsid w:val="00CF1EE9"/>
    <w:rsid w:val="00D055CF"/>
    <w:rsid w:val="00D24211"/>
    <w:rsid w:val="00D33F13"/>
    <w:rsid w:val="00D62B58"/>
    <w:rsid w:val="00D63231"/>
    <w:rsid w:val="00D82700"/>
    <w:rsid w:val="00D838C3"/>
    <w:rsid w:val="00D94EB7"/>
    <w:rsid w:val="00D94EBB"/>
    <w:rsid w:val="00D95B90"/>
    <w:rsid w:val="00DB31A6"/>
    <w:rsid w:val="00DC1C46"/>
    <w:rsid w:val="00DC1F6A"/>
    <w:rsid w:val="00DD123C"/>
    <w:rsid w:val="00DE30F3"/>
    <w:rsid w:val="00DF70C3"/>
    <w:rsid w:val="00E03A33"/>
    <w:rsid w:val="00E0774C"/>
    <w:rsid w:val="00E11855"/>
    <w:rsid w:val="00E203D6"/>
    <w:rsid w:val="00E345A2"/>
    <w:rsid w:val="00E55B3F"/>
    <w:rsid w:val="00E56832"/>
    <w:rsid w:val="00E763F3"/>
    <w:rsid w:val="00E76AA4"/>
    <w:rsid w:val="00E919DD"/>
    <w:rsid w:val="00E970F7"/>
    <w:rsid w:val="00EA43A6"/>
    <w:rsid w:val="00EA6787"/>
    <w:rsid w:val="00EB0206"/>
    <w:rsid w:val="00EB1031"/>
    <w:rsid w:val="00EC1996"/>
    <w:rsid w:val="00EC2E3C"/>
    <w:rsid w:val="00ED17F0"/>
    <w:rsid w:val="00EE3A41"/>
    <w:rsid w:val="00F16AAD"/>
    <w:rsid w:val="00F17D94"/>
    <w:rsid w:val="00F22899"/>
    <w:rsid w:val="00F31F66"/>
    <w:rsid w:val="00F36E9C"/>
    <w:rsid w:val="00F42BBE"/>
    <w:rsid w:val="00F5338C"/>
    <w:rsid w:val="00F560CB"/>
    <w:rsid w:val="00F629C8"/>
    <w:rsid w:val="00F64520"/>
    <w:rsid w:val="00F67CFA"/>
    <w:rsid w:val="00F74EA5"/>
    <w:rsid w:val="00F82921"/>
    <w:rsid w:val="00FB2F90"/>
    <w:rsid w:val="00FB6062"/>
    <w:rsid w:val="00FD3018"/>
    <w:rsid w:val="00FD6973"/>
    <w:rsid w:val="00FD7DEF"/>
    <w:rsid w:val="00FE11AE"/>
    <w:rsid w:val="00FF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973FC"/>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F6A"/>
    <w:pPr>
      <w:spacing w:line="240" w:lineRule="auto"/>
    </w:pPr>
    <w:rPr>
      <w:rFonts w:eastAsia="Times New Roman"/>
      <w:sz w:val="20"/>
      <w:szCs w:val="20"/>
    </w:rPr>
  </w:style>
  <w:style w:type="paragraph" w:styleId="1">
    <w:name w:val="heading 1"/>
    <w:basedOn w:val="a"/>
    <w:next w:val="a"/>
    <w:link w:val="10"/>
    <w:uiPriority w:val="9"/>
    <w:qFormat/>
    <w:rsid w:val="006E1B4F"/>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0796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6452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23C5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4470"/>
    <w:rPr>
      <w:sz w:val="18"/>
      <w:szCs w:val="18"/>
    </w:rPr>
  </w:style>
  <w:style w:type="paragraph" w:styleId="a5">
    <w:name w:val="footer"/>
    <w:basedOn w:val="a"/>
    <w:link w:val="a6"/>
    <w:uiPriority w:val="99"/>
    <w:unhideWhenUsed/>
    <w:rsid w:val="00744470"/>
    <w:pPr>
      <w:tabs>
        <w:tab w:val="center" w:pos="4153"/>
        <w:tab w:val="right" w:pos="8306"/>
      </w:tabs>
      <w:snapToGrid w:val="0"/>
    </w:pPr>
    <w:rPr>
      <w:sz w:val="18"/>
      <w:szCs w:val="18"/>
    </w:rPr>
  </w:style>
  <w:style w:type="character" w:customStyle="1" w:styleId="a6">
    <w:name w:val="页脚 字符"/>
    <w:basedOn w:val="a0"/>
    <w:link w:val="a5"/>
    <w:uiPriority w:val="99"/>
    <w:rsid w:val="00744470"/>
    <w:rPr>
      <w:sz w:val="18"/>
      <w:szCs w:val="18"/>
    </w:rPr>
  </w:style>
  <w:style w:type="paragraph" w:styleId="a7">
    <w:name w:val="List Paragraph"/>
    <w:basedOn w:val="a"/>
    <w:uiPriority w:val="34"/>
    <w:qFormat/>
    <w:rsid w:val="009413FD"/>
    <w:pPr>
      <w:ind w:firstLineChars="200" w:firstLine="420"/>
    </w:pPr>
  </w:style>
  <w:style w:type="table" w:styleId="a8">
    <w:name w:val="Table Grid"/>
    <w:basedOn w:val="a1"/>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970FC9"/>
    <w:pPr>
      <w:snapToGrid w:val="0"/>
    </w:pPr>
  </w:style>
  <w:style w:type="character" w:customStyle="1" w:styleId="aa">
    <w:name w:val="尾注文本 字符"/>
    <w:basedOn w:val="a0"/>
    <w:link w:val="a9"/>
    <w:uiPriority w:val="99"/>
    <w:semiHidden/>
    <w:rsid w:val="00970FC9"/>
  </w:style>
  <w:style w:type="character" w:styleId="ab">
    <w:name w:val="endnote reference"/>
    <w:basedOn w:val="a0"/>
    <w:uiPriority w:val="99"/>
    <w:semiHidden/>
    <w:unhideWhenUsed/>
    <w:rsid w:val="00970FC9"/>
    <w:rPr>
      <w:vertAlign w:val="superscript"/>
    </w:rPr>
  </w:style>
  <w:style w:type="character" w:customStyle="1" w:styleId="20">
    <w:name w:val="标题 2 字符"/>
    <w:basedOn w:val="a0"/>
    <w:link w:val="2"/>
    <w:uiPriority w:val="9"/>
    <w:semiHidden/>
    <w:rsid w:val="0040796E"/>
    <w:rPr>
      <w:rFonts w:asciiTheme="majorHAnsi" w:eastAsiaTheme="majorEastAsia" w:hAnsiTheme="majorHAnsi" w:cstheme="majorBidi"/>
      <w:b/>
      <w:bCs/>
      <w:sz w:val="32"/>
      <w:szCs w:val="32"/>
    </w:rPr>
  </w:style>
  <w:style w:type="character" w:styleId="ac">
    <w:name w:val="Placeholder Text"/>
    <w:basedOn w:val="a0"/>
    <w:uiPriority w:val="99"/>
    <w:semiHidden/>
    <w:rsid w:val="009E6D4A"/>
    <w:rPr>
      <w:color w:val="808080"/>
    </w:rPr>
  </w:style>
  <w:style w:type="character" w:customStyle="1" w:styleId="30">
    <w:name w:val="标题 3 字符"/>
    <w:basedOn w:val="a0"/>
    <w:link w:val="3"/>
    <w:uiPriority w:val="9"/>
    <w:semiHidden/>
    <w:rsid w:val="00F64520"/>
    <w:rPr>
      <w:rFonts w:eastAsia="Times New Roman"/>
      <w:b/>
      <w:bCs/>
      <w:sz w:val="32"/>
      <w:szCs w:val="32"/>
    </w:rPr>
  </w:style>
  <w:style w:type="paragraph" w:styleId="ad">
    <w:name w:val="Balloon Text"/>
    <w:basedOn w:val="a"/>
    <w:link w:val="ae"/>
    <w:uiPriority w:val="99"/>
    <w:semiHidden/>
    <w:unhideWhenUsed/>
    <w:rsid w:val="00F64520"/>
    <w:pPr>
      <w:spacing w:before="0" w:after="0"/>
    </w:pPr>
    <w:rPr>
      <w:sz w:val="18"/>
      <w:szCs w:val="18"/>
    </w:rPr>
  </w:style>
  <w:style w:type="character" w:customStyle="1" w:styleId="ae">
    <w:name w:val="批注框文本 字符"/>
    <w:basedOn w:val="a0"/>
    <w:link w:val="ad"/>
    <w:uiPriority w:val="99"/>
    <w:semiHidden/>
    <w:rsid w:val="00F64520"/>
    <w:rPr>
      <w:rFonts w:eastAsia="Times New Roman"/>
      <w:sz w:val="18"/>
      <w:szCs w:val="18"/>
    </w:rPr>
  </w:style>
  <w:style w:type="character" w:customStyle="1" w:styleId="40">
    <w:name w:val="标题 4 字符"/>
    <w:basedOn w:val="a0"/>
    <w:link w:val="4"/>
    <w:uiPriority w:val="9"/>
    <w:semiHidden/>
    <w:rsid w:val="00C2575C"/>
    <w:rPr>
      <w:rFonts w:asciiTheme="majorHAnsi" w:eastAsiaTheme="majorEastAsia" w:hAnsiTheme="majorHAnsi" w:cstheme="majorBidi"/>
      <w:b/>
      <w:bCs/>
      <w:sz w:val="28"/>
      <w:szCs w:val="28"/>
    </w:rPr>
  </w:style>
  <w:style w:type="paragraph" w:customStyle="1" w:styleId="Style1">
    <w:name w:val="Style1"/>
    <w:basedOn w:val="a"/>
    <w:link w:val="Style1Char"/>
    <w:qFormat/>
    <w:rsid w:val="00C465F6"/>
    <w:pPr>
      <w:spacing w:beforeLines="0" w:before="0" w:afterLines="0" w:after="100" w:afterAutospacing="1" w:line="300" w:lineRule="auto"/>
      <w:ind w:firstLine="360"/>
      <w:contextualSpacing/>
    </w:pPr>
    <w:rPr>
      <w:rFonts w:eastAsia="宋体"/>
    </w:rPr>
  </w:style>
  <w:style w:type="character" w:customStyle="1" w:styleId="Style1Char">
    <w:name w:val="Style1 Char"/>
    <w:link w:val="Style1"/>
    <w:qFormat/>
    <w:rsid w:val="00C465F6"/>
    <w:rPr>
      <w:rFonts w:eastAsia="宋体"/>
      <w:sz w:val="20"/>
      <w:szCs w:val="20"/>
    </w:rPr>
  </w:style>
  <w:style w:type="character" w:customStyle="1" w:styleId="50">
    <w:name w:val="标题 5 字符"/>
    <w:basedOn w:val="a0"/>
    <w:link w:val="5"/>
    <w:uiPriority w:val="9"/>
    <w:semiHidden/>
    <w:rsid w:val="00923C59"/>
    <w:rPr>
      <w:rFonts w:eastAsia="Times New Roman"/>
      <w:b/>
      <w:bCs/>
      <w:sz w:val="28"/>
      <w:szCs w:val="28"/>
    </w:rPr>
  </w:style>
  <w:style w:type="character" w:styleId="af">
    <w:name w:val="Hyperlink"/>
    <w:uiPriority w:val="99"/>
    <w:qFormat/>
    <w:rsid w:val="00923C59"/>
    <w:rPr>
      <w:color w:val="0000FF"/>
      <w:u w:val="single"/>
    </w:rPr>
  </w:style>
  <w:style w:type="character" w:customStyle="1" w:styleId="10">
    <w:name w:val="标题 1 字符"/>
    <w:basedOn w:val="a0"/>
    <w:link w:val="1"/>
    <w:uiPriority w:val="9"/>
    <w:rsid w:val="006E1B4F"/>
    <w:rPr>
      <w:rFonts w:eastAsia="Times New Roman"/>
      <w:b/>
      <w:bCs/>
      <w:kern w:val="44"/>
      <w:sz w:val="44"/>
      <w:szCs w:val="44"/>
    </w:rPr>
  </w:style>
  <w:style w:type="paragraph" w:customStyle="1" w:styleId="Agreement">
    <w:name w:val="Agreement"/>
    <w:basedOn w:val="a"/>
    <w:next w:val="a"/>
    <w:uiPriority w:val="99"/>
    <w:rsid w:val="00F16AAD"/>
    <w:pPr>
      <w:numPr>
        <w:numId w:val="40"/>
      </w:numPr>
      <w:spacing w:beforeLines="0" w:before="60" w:afterLines="0" w:after="0"/>
      <w:jc w:val="left"/>
    </w:pPr>
    <w:rPr>
      <w:rFonts w:ascii="Arial" w:eastAsia="MS Mincho" w:hAnsi="Arial"/>
      <w:b/>
      <w:szCs w:val="24"/>
      <w:lang w:val="en-GB" w:eastAsia="en-GB"/>
    </w:rPr>
  </w:style>
  <w:style w:type="paragraph" w:customStyle="1" w:styleId="Doc-title">
    <w:name w:val="Doc-title"/>
    <w:basedOn w:val="a"/>
    <w:next w:val="a"/>
    <w:link w:val="Doc-titleChar"/>
    <w:qFormat/>
    <w:rsid w:val="00F16AAD"/>
    <w:pPr>
      <w:spacing w:beforeLines="0" w:before="60" w:afterLines="0" w:after="0"/>
      <w:ind w:left="1259" w:hanging="1259"/>
      <w:jc w:val="left"/>
    </w:pPr>
    <w:rPr>
      <w:rFonts w:ascii="Arial" w:eastAsia="MS Mincho" w:hAnsi="Arial"/>
      <w:noProof/>
      <w:szCs w:val="24"/>
      <w:lang w:val="en-GB" w:eastAsia="en-GB"/>
    </w:rPr>
  </w:style>
  <w:style w:type="character" w:customStyle="1" w:styleId="Doc-titleChar">
    <w:name w:val="Doc-title Char"/>
    <w:link w:val="Doc-title"/>
    <w:qFormat/>
    <w:rsid w:val="00F16AAD"/>
    <w:rPr>
      <w:rFonts w:ascii="Arial" w:eastAsia="MS Mincho" w:hAnsi="Arial"/>
      <w:noProof/>
      <w:sz w:val="20"/>
      <w:lang w:val="en-GB" w:eastAsia="en-GB"/>
    </w:rPr>
  </w:style>
  <w:style w:type="paragraph" w:customStyle="1" w:styleId="Default">
    <w:name w:val="Default"/>
    <w:rsid w:val="00F629C8"/>
    <w:pPr>
      <w:widowControl w:val="0"/>
      <w:autoSpaceDE w:val="0"/>
      <w:autoSpaceDN w:val="0"/>
      <w:adjustRightInd w:val="0"/>
      <w:spacing w:beforeLines="0" w:before="0" w:afterLines="0" w:after="0" w:line="240" w:lineRule="auto"/>
      <w:jc w:val="left"/>
    </w:pPr>
    <w:rPr>
      <w:rFonts w:ascii="Calibri" w:hAnsi="Calibri" w:cs="Calibri"/>
      <w:color w:val="000000"/>
    </w:rPr>
  </w:style>
  <w:style w:type="paragraph" w:styleId="af0">
    <w:name w:val="Normal (Web)"/>
    <w:basedOn w:val="a"/>
    <w:uiPriority w:val="99"/>
    <w:semiHidden/>
    <w:unhideWhenUsed/>
    <w:rsid w:val="000943F7"/>
    <w:pPr>
      <w:spacing w:beforeLines="0" w:before="100" w:beforeAutospacing="1" w:afterLines="0" w:after="100" w:afterAutospacing="1"/>
      <w:jc w:val="left"/>
    </w:pPr>
    <w:rPr>
      <w:rFonts w:ascii="宋体" w:eastAsia="宋体" w:hAnsi="宋体" w:cs="宋体"/>
      <w:sz w:val="24"/>
      <w:szCs w:val="24"/>
    </w:rPr>
  </w:style>
  <w:style w:type="character" w:customStyle="1" w:styleId="heading-index">
    <w:name w:val="heading-index"/>
    <w:basedOn w:val="a0"/>
    <w:rsid w:val="00C97D9D"/>
  </w:style>
  <w:style w:type="character" w:customStyle="1" w:styleId="max-length-text">
    <w:name w:val="max-length-text"/>
    <w:basedOn w:val="a0"/>
    <w:rsid w:val="00572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179397810">
      <w:bodyDiv w:val="1"/>
      <w:marLeft w:val="0"/>
      <w:marRight w:val="0"/>
      <w:marTop w:val="0"/>
      <w:marBottom w:val="0"/>
      <w:divBdr>
        <w:top w:val="none" w:sz="0" w:space="0" w:color="auto"/>
        <w:left w:val="none" w:sz="0" w:space="0" w:color="auto"/>
        <w:bottom w:val="none" w:sz="0" w:space="0" w:color="auto"/>
        <w:right w:val="none" w:sz="0" w:space="0" w:color="auto"/>
      </w:divBdr>
    </w:div>
    <w:div w:id="225071628">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539174606">
      <w:bodyDiv w:val="1"/>
      <w:marLeft w:val="0"/>
      <w:marRight w:val="0"/>
      <w:marTop w:val="0"/>
      <w:marBottom w:val="0"/>
      <w:divBdr>
        <w:top w:val="none" w:sz="0" w:space="0" w:color="auto"/>
        <w:left w:val="none" w:sz="0" w:space="0" w:color="auto"/>
        <w:bottom w:val="none" w:sz="0" w:space="0" w:color="auto"/>
        <w:right w:val="none" w:sz="0" w:space="0" w:color="auto"/>
      </w:divBdr>
    </w:div>
    <w:div w:id="562176633">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84337613">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40196473">
      <w:bodyDiv w:val="1"/>
      <w:marLeft w:val="0"/>
      <w:marRight w:val="0"/>
      <w:marTop w:val="0"/>
      <w:marBottom w:val="0"/>
      <w:divBdr>
        <w:top w:val="none" w:sz="0" w:space="0" w:color="auto"/>
        <w:left w:val="none" w:sz="0" w:space="0" w:color="auto"/>
        <w:bottom w:val="none" w:sz="0" w:space="0" w:color="auto"/>
        <w:right w:val="none" w:sz="0" w:space="0" w:color="auto"/>
      </w:divBdr>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961233503">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275408790">
      <w:bodyDiv w:val="1"/>
      <w:marLeft w:val="0"/>
      <w:marRight w:val="0"/>
      <w:marTop w:val="0"/>
      <w:marBottom w:val="0"/>
      <w:divBdr>
        <w:top w:val="none" w:sz="0" w:space="0" w:color="auto"/>
        <w:left w:val="none" w:sz="0" w:space="0" w:color="auto"/>
        <w:bottom w:val="none" w:sz="0" w:space="0" w:color="auto"/>
        <w:right w:val="none" w:sz="0" w:space="0" w:color="auto"/>
      </w:divBdr>
    </w:div>
    <w:div w:id="1331063204">
      <w:bodyDiv w:val="1"/>
      <w:marLeft w:val="0"/>
      <w:marRight w:val="0"/>
      <w:marTop w:val="0"/>
      <w:marBottom w:val="0"/>
      <w:divBdr>
        <w:top w:val="none" w:sz="0" w:space="0" w:color="auto"/>
        <w:left w:val="none" w:sz="0" w:space="0" w:color="auto"/>
        <w:bottom w:val="none" w:sz="0" w:space="0" w:color="auto"/>
        <w:right w:val="none" w:sz="0" w:space="0" w:color="auto"/>
      </w:divBdr>
      <w:divsChild>
        <w:div w:id="742141717">
          <w:marLeft w:val="0"/>
          <w:marRight w:val="0"/>
          <w:marTop w:val="0"/>
          <w:marBottom w:val="0"/>
          <w:divBdr>
            <w:top w:val="none" w:sz="0" w:space="0" w:color="auto"/>
            <w:left w:val="none" w:sz="0" w:space="0" w:color="auto"/>
            <w:bottom w:val="none" w:sz="0" w:space="0" w:color="auto"/>
            <w:right w:val="none" w:sz="0" w:space="0" w:color="auto"/>
          </w:divBdr>
          <w:divsChild>
            <w:div w:id="2791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521312684">
      <w:bodyDiv w:val="1"/>
      <w:marLeft w:val="0"/>
      <w:marRight w:val="0"/>
      <w:marTop w:val="0"/>
      <w:marBottom w:val="0"/>
      <w:divBdr>
        <w:top w:val="none" w:sz="0" w:space="0" w:color="auto"/>
        <w:left w:val="none" w:sz="0" w:space="0" w:color="auto"/>
        <w:bottom w:val="none" w:sz="0" w:space="0" w:color="auto"/>
        <w:right w:val="none" w:sz="0" w:space="0" w:color="auto"/>
      </w:divBdr>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771706282">
      <w:bodyDiv w:val="1"/>
      <w:marLeft w:val="0"/>
      <w:marRight w:val="0"/>
      <w:marTop w:val="0"/>
      <w:marBottom w:val="0"/>
      <w:divBdr>
        <w:top w:val="none" w:sz="0" w:space="0" w:color="auto"/>
        <w:left w:val="none" w:sz="0" w:space="0" w:color="auto"/>
        <w:bottom w:val="none" w:sz="0" w:space="0" w:color="auto"/>
        <w:right w:val="none" w:sz="0" w:space="0" w:color="auto"/>
      </w:divBdr>
    </w:div>
    <w:div w:id="1800107076">
      <w:bodyDiv w:val="1"/>
      <w:marLeft w:val="0"/>
      <w:marRight w:val="0"/>
      <w:marTop w:val="0"/>
      <w:marBottom w:val="0"/>
      <w:divBdr>
        <w:top w:val="none" w:sz="0" w:space="0" w:color="auto"/>
        <w:left w:val="none" w:sz="0" w:space="0" w:color="auto"/>
        <w:bottom w:val="none" w:sz="0" w:space="0" w:color="auto"/>
        <w:right w:val="none" w:sz="0" w:space="0" w:color="auto"/>
      </w:divBdr>
      <w:divsChild>
        <w:div w:id="470680912">
          <w:marLeft w:val="0"/>
          <w:marRight w:val="0"/>
          <w:marTop w:val="0"/>
          <w:marBottom w:val="0"/>
          <w:divBdr>
            <w:top w:val="none" w:sz="0" w:space="0" w:color="auto"/>
            <w:left w:val="none" w:sz="0" w:space="0" w:color="auto"/>
            <w:bottom w:val="none" w:sz="0" w:space="0" w:color="auto"/>
            <w:right w:val="none" w:sz="0" w:space="0" w:color="auto"/>
          </w:divBdr>
          <w:divsChild>
            <w:div w:id="1798253545">
              <w:marLeft w:val="0"/>
              <w:marRight w:val="0"/>
              <w:marTop w:val="0"/>
              <w:marBottom w:val="0"/>
              <w:divBdr>
                <w:top w:val="none" w:sz="0" w:space="0" w:color="auto"/>
                <w:left w:val="none" w:sz="0" w:space="0" w:color="auto"/>
                <w:bottom w:val="none" w:sz="0" w:space="0" w:color="auto"/>
                <w:right w:val="none" w:sz="0" w:space="0" w:color="auto"/>
              </w:divBdr>
            </w:div>
          </w:divsChild>
        </w:div>
        <w:div w:id="2089569310">
          <w:marLeft w:val="0"/>
          <w:marRight w:val="0"/>
          <w:marTop w:val="0"/>
          <w:marBottom w:val="0"/>
          <w:divBdr>
            <w:top w:val="none" w:sz="0" w:space="0" w:color="auto"/>
            <w:left w:val="none" w:sz="0" w:space="0" w:color="auto"/>
            <w:bottom w:val="none" w:sz="0" w:space="0" w:color="auto"/>
            <w:right w:val="none" w:sz="0" w:space="0" w:color="auto"/>
          </w:divBdr>
          <w:divsChild>
            <w:div w:id="1339969321">
              <w:marLeft w:val="0"/>
              <w:marRight w:val="0"/>
              <w:marTop w:val="0"/>
              <w:marBottom w:val="0"/>
              <w:divBdr>
                <w:top w:val="none" w:sz="0" w:space="0" w:color="auto"/>
                <w:left w:val="none" w:sz="0" w:space="0" w:color="auto"/>
                <w:bottom w:val="none" w:sz="0" w:space="0" w:color="auto"/>
                <w:right w:val="none" w:sz="0" w:space="0" w:color="auto"/>
              </w:divBdr>
            </w:div>
          </w:divsChild>
        </w:div>
        <w:div w:id="1769690928">
          <w:marLeft w:val="0"/>
          <w:marRight w:val="0"/>
          <w:marTop w:val="0"/>
          <w:marBottom w:val="0"/>
          <w:divBdr>
            <w:top w:val="none" w:sz="0" w:space="0" w:color="auto"/>
            <w:left w:val="none" w:sz="0" w:space="0" w:color="auto"/>
            <w:bottom w:val="none" w:sz="0" w:space="0" w:color="auto"/>
            <w:right w:val="none" w:sz="0" w:space="0" w:color="auto"/>
          </w:divBdr>
          <w:divsChild>
            <w:div w:id="1044990590">
              <w:marLeft w:val="0"/>
              <w:marRight w:val="0"/>
              <w:marTop w:val="0"/>
              <w:marBottom w:val="0"/>
              <w:divBdr>
                <w:top w:val="none" w:sz="0" w:space="0" w:color="auto"/>
                <w:left w:val="none" w:sz="0" w:space="0" w:color="auto"/>
                <w:bottom w:val="none" w:sz="0" w:space="0" w:color="auto"/>
                <w:right w:val="none" w:sz="0" w:space="0" w:color="auto"/>
              </w:divBdr>
            </w:div>
          </w:divsChild>
        </w:div>
        <w:div w:id="1197624011">
          <w:marLeft w:val="0"/>
          <w:marRight w:val="0"/>
          <w:marTop w:val="0"/>
          <w:marBottom w:val="0"/>
          <w:divBdr>
            <w:top w:val="none" w:sz="0" w:space="0" w:color="auto"/>
            <w:left w:val="none" w:sz="0" w:space="0" w:color="auto"/>
            <w:bottom w:val="none" w:sz="0" w:space="0" w:color="auto"/>
            <w:right w:val="none" w:sz="0" w:space="0" w:color="auto"/>
          </w:divBdr>
          <w:divsChild>
            <w:div w:id="2075734051">
              <w:marLeft w:val="0"/>
              <w:marRight w:val="0"/>
              <w:marTop w:val="0"/>
              <w:marBottom w:val="0"/>
              <w:divBdr>
                <w:top w:val="none" w:sz="0" w:space="0" w:color="auto"/>
                <w:left w:val="none" w:sz="0" w:space="0" w:color="auto"/>
                <w:bottom w:val="none" w:sz="0" w:space="0" w:color="auto"/>
                <w:right w:val="none" w:sz="0" w:space="0" w:color="auto"/>
              </w:divBdr>
            </w:div>
          </w:divsChild>
        </w:div>
        <w:div w:id="100149014">
          <w:marLeft w:val="0"/>
          <w:marRight w:val="0"/>
          <w:marTop w:val="0"/>
          <w:marBottom w:val="0"/>
          <w:divBdr>
            <w:top w:val="none" w:sz="0" w:space="0" w:color="auto"/>
            <w:left w:val="none" w:sz="0" w:space="0" w:color="auto"/>
            <w:bottom w:val="none" w:sz="0" w:space="0" w:color="auto"/>
            <w:right w:val="none" w:sz="0" w:space="0" w:color="auto"/>
          </w:divBdr>
          <w:divsChild>
            <w:div w:id="2130853012">
              <w:marLeft w:val="0"/>
              <w:marRight w:val="0"/>
              <w:marTop w:val="0"/>
              <w:marBottom w:val="0"/>
              <w:divBdr>
                <w:top w:val="none" w:sz="0" w:space="0" w:color="auto"/>
                <w:left w:val="none" w:sz="0" w:space="0" w:color="auto"/>
                <w:bottom w:val="none" w:sz="0" w:space="0" w:color="auto"/>
                <w:right w:val="none" w:sz="0" w:space="0" w:color="auto"/>
              </w:divBdr>
            </w:div>
          </w:divsChild>
        </w:div>
        <w:div w:id="576283153">
          <w:marLeft w:val="0"/>
          <w:marRight w:val="0"/>
          <w:marTop w:val="0"/>
          <w:marBottom w:val="0"/>
          <w:divBdr>
            <w:top w:val="none" w:sz="0" w:space="0" w:color="auto"/>
            <w:left w:val="none" w:sz="0" w:space="0" w:color="auto"/>
            <w:bottom w:val="none" w:sz="0" w:space="0" w:color="auto"/>
            <w:right w:val="none" w:sz="0" w:space="0" w:color="auto"/>
          </w:divBdr>
          <w:divsChild>
            <w:div w:id="2037540552">
              <w:marLeft w:val="0"/>
              <w:marRight w:val="0"/>
              <w:marTop w:val="0"/>
              <w:marBottom w:val="0"/>
              <w:divBdr>
                <w:top w:val="none" w:sz="0" w:space="0" w:color="auto"/>
                <w:left w:val="none" w:sz="0" w:space="0" w:color="auto"/>
                <w:bottom w:val="none" w:sz="0" w:space="0" w:color="auto"/>
                <w:right w:val="none" w:sz="0" w:space="0" w:color="auto"/>
              </w:divBdr>
            </w:div>
          </w:divsChild>
        </w:div>
        <w:div w:id="1865247964">
          <w:marLeft w:val="0"/>
          <w:marRight w:val="0"/>
          <w:marTop w:val="0"/>
          <w:marBottom w:val="0"/>
          <w:divBdr>
            <w:top w:val="none" w:sz="0" w:space="0" w:color="auto"/>
            <w:left w:val="none" w:sz="0" w:space="0" w:color="auto"/>
            <w:bottom w:val="none" w:sz="0" w:space="0" w:color="auto"/>
            <w:right w:val="none" w:sz="0" w:space="0" w:color="auto"/>
          </w:divBdr>
          <w:divsChild>
            <w:div w:id="111301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16016">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68762000">
      <w:bodyDiv w:val="1"/>
      <w:marLeft w:val="0"/>
      <w:marRight w:val="0"/>
      <w:marTop w:val="0"/>
      <w:marBottom w:val="0"/>
      <w:divBdr>
        <w:top w:val="none" w:sz="0" w:space="0" w:color="auto"/>
        <w:left w:val="none" w:sz="0" w:space="0" w:color="auto"/>
        <w:bottom w:val="none" w:sz="0" w:space="0" w:color="auto"/>
        <w:right w:val="none" w:sz="0" w:space="0" w:color="auto"/>
      </w:divBdr>
    </w:div>
    <w:div w:id="1914662261">
      <w:bodyDiv w:val="1"/>
      <w:marLeft w:val="0"/>
      <w:marRight w:val="0"/>
      <w:marTop w:val="0"/>
      <w:marBottom w:val="0"/>
      <w:divBdr>
        <w:top w:val="none" w:sz="0" w:space="0" w:color="auto"/>
        <w:left w:val="none" w:sz="0" w:space="0" w:color="auto"/>
        <w:bottom w:val="none" w:sz="0" w:space="0" w:color="auto"/>
        <w:right w:val="none" w:sz="0" w:space="0" w:color="auto"/>
      </w:divBdr>
      <w:divsChild>
        <w:div w:id="220753640">
          <w:marLeft w:val="0"/>
          <w:marRight w:val="0"/>
          <w:marTop w:val="0"/>
          <w:marBottom w:val="0"/>
          <w:divBdr>
            <w:top w:val="none" w:sz="0" w:space="0" w:color="auto"/>
            <w:left w:val="none" w:sz="0" w:space="0" w:color="auto"/>
            <w:bottom w:val="none" w:sz="0" w:space="0" w:color="auto"/>
            <w:right w:val="none" w:sz="0" w:space="0" w:color="auto"/>
          </w:divBdr>
          <w:divsChild>
            <w:div w:id="3678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32727">
      <w:bodyDiv w:val="1"/>
      <w:marLeft w:val="0"/>
      <w:marRight w:val="0"/>
      <w:marTop w:val="0"/>
      <w:marBottom w:val="0"/>
      <w:divBdr>
        <w:top w:val="none" w:sz="0" w:space="0" w:color="auto"/>
        <w:left w:val="none" w:sz="0" w:space="0" w:color="auto"/>
        <w:bottom w:val="none" w:sz="0" w:space="0" w:color="auto"/>
        <w:right w:val="none" w:sz="0" w:space="0" w:color="auto"/>
      </w:divBdr>
    </w:div>
    <w:div w:id="2049064501">
      <w:bodyDiv w:val="1"/>
      <w:marLeft w:val="0"/>
      <w:marRight w:val="0"/>
      <w:marTop w:val="0"/>
      <w:marBottom w:val="0"/>
      <w:divBdr>
        <w:top w:val="none" w:sz="0" w:space="0" w:color="auto"/>
        <w:left w:val="none" w:sz="0" w:space="0" w:color="auto"/>
        <w:bottom w:val="none" w:sz="0" w:space="0" w:color="auto"/>
        <w:right w:val="none" w:sz="0" w:space="0" w:color="auto"/>
      </w:divBdr>
    </w:div>
    <w:div w:id="2063558404">
      <w:bodyDiv w:val="1"/>
      <w:marLeft w:val="0"/>
      <w:marRight w:val="0"/>
      <w:marTop w:val="0"/>
      <w:marBottom w:val="0"/>
      <w:divBdr>
        <w:top w:val="none" w:sz="0" w:space="0" w:color="auto"/>
        <w:left w:val="none" w:sz="0" w:space="0" w:color="auto"/>
        <w:bottom w:val="none" w:sz="0" w:space="0" w:color="auto"/>
        <w:right w:val="none" w:sz="0" w:space="0" w:color="auto"/>
      </w:divBdr>
    </w:div>
    <w:div w:id="213733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0D2E-00F1-4A42-9DCE-DE15FD21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1049</Words>
  <Characters>5980</Characters>
  <Application>Microsoft Office Word</Application>
  <DocSecurity>0</DocSecurity>
  <Lines>49</Lines>
  <Paragraphs>14</Paragraphs>
  <ScaleCrop>false</ScaleCrop>
  <Manager/>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chen_zhe@nec.cn</dc:creator>
  <cp:keywords/>
  <dc:description/>
  <cp:lastModifiedBy>NEC-ZHE CHEN</cp:lastModifiedBy>
  <cp:revision>11</cp:revision>
  <dcterms:created xsi:type="dcterms:W3CDTF">2021-09-06T02:11:00Z</dcterms:created>
  <dcterms:modified xsi:type="dcterms:W3CDTF">2021-09-06T08:11:00Z</dcterms:modified>
</cp:coreProperties>
</file>