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3F57A9" w:rsidP="00982C1F">
            <w:pPr>
              <w:pStyle w:val="TAL"/>
            </w:pPr>
            <w:hyperlink r:id="rId10" w:history="1">
              <w:r w:rsidR="00540EA0" w:rsidRPr="00D64737">
                <w:rPr>
                  <w:rStyle w:val="a9"/>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r>
              <w:t>Similar to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lastRenderedPageBreak/>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 xml:space="preserve">In general, RAN2 should spend time on critical corrections and R17 work and not on a nice-to-have TR. Furthermore, when the R16 CR to the TR was discussed only few companies made comments. This can </w:t>
            </w:r>
            <w:r>
              <w:lastRenderedPageBreak/>
              <w:t>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lastRenderedPageBreak/>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lastRenderedPageBreak/>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781081">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w:t>
            </w:r>
            <w:bookmarkStart w:id="1" w:name="_GoBack"/>
            <w:bookmarkEnd w:id="1"/>
            <w:r>
              <w:rPr>
                <w:rFonts w:eastAsia="MS Mincho"/>
              </w:rPr>
              <w:t>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lastRenderedPageBreak/>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w:t>
            </w:r>
            <w:r w:rsidRPr="00A1512B">
              <w:lastRenderedPageBreak/>
              <w:t>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lastRenderedPageBreak/>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9D12" w14:textId="77777777" w:rsidR="003F57A9" w:rsidRDefault="003F57A9" w:rsidP="000274E9">
      <w:pPr>
        <w:spacing w:after="0"/>
      </w:pPr>
      <w:r>
        <w:separator/>
      </w:r>
    </w:p>
  </w:endnote>
  <w:endnote w:type="continuationSeparator" w:id="0">
    <w:p w14:paraId="27EB24D6" w14:textId="77777777" w:rsidR="003F57A9" w:rsidRDefault="003F57A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 Sans">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0A50AD" w:rsidRDefault="000A50AD">
    <w:pPr>
      <w:pStyle w:val="a7"/>
    </w:pPr>
    <w:r>
      <w:rPr>
        <w:noProof/>
        <w:lang w:eastAsia="zh-CN"/>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2CF94" w14:textId="77777777" w:rsidR="003F57A9" w:rsidRDefault="003F57A9" w:rsidP="000274E9">
      <w:pPr>
        <w:spacing w:after="0"/>
      </w:pPr>
      <w:r>
        <w:separator/>
      </w:r>
    </w:p>
  </w:footnote>
  <w:footnote w:type="continuationSeparator" w:id="0">
    <w:p w14:paraId="1DCB455B" w14:textId="77777777" w:rsidR="003F57A9" w:rsidRDefault="003F57A9"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1F5466"/>
    <w:rsid w:val="00210DE0"/>
    <w:rsid w:val="002156FC"/>
    <w:rsid w:val="00225BDF"/>
    <w:rsid w:val="00250B34"/>
    <w:rsid w:val="00254977"/>
    <w:rsid w:val="00257DAB"/>
    <w:rsid w:val="00260842"/>
    <w:rsid w:val="002677D3"/>
    <w:rsid w:val="00276878"/>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0D91"/>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058B"/>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4386</Words>
  <Characters>25005</Characters>
  <Application>Microsoft Office Word</Application>
  <DocSecurity>0</DocSecurity>
  <Lines>208</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ZTE-Xingguang</cp:lastModifiedBy>
  <cp:revision>4</cp:revision>
  <dcterms:created xsi:type="dcterms:W3CDTF">2021-06-16T08:18:00Z</dcterms:created>
  <dcterms:modified xsi:type="dcterms:W3CDTF">2021-06-16T09:05:00Z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