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B01940" w:rsidP="00982C1F">
            <w:pPr>
              <w:pStyle w:val="TAL"/>
            </w:pPr>
            <w:hyperlink r:id="rId10" w:history="1">
              <w:r w:rsidR="00540EA0" w:rsidRPr="00D64737">
                <w:rPr>
                  <w:rStyle w:val="ac"/>
                </w:rPr>
                <w:t>Manook.soghomonian@vodafone.com</w:t>
              </w:r>
            </w:hyperlink>
            <w:r w:rsidR="00540EA0">
              <w:t xml:space="preserve"> </w:t>
            </w:r>
          </w:p>
        </w:tc>
      </w:tr>
      <w:tr w:rsidR="007779E4" w14:paraId="24B76344" w14:textId="77777777" w:rsidTr="00F93253">
        <w:tc>
          <w:tcPr>
            <w:tcW w:w="1647" w:type="dxa"/>
          </w:tcPr>
          <w:p w14:paraId="55042980" w14:textId="6D62A03C" w:rsidR="007779E4" w:rsidRDefault="007779E4" w:rsidP="00982C1F">
            <w:pPr>
              <w:pStyle w:val="TAL"/>
              <w:rPr>
                <w:rFonts w:hint="eastAsia"/>
                <w:lang w:eastAsia="zh-CN"/>
              </w:rPr>
            </w:pPr>
            <w:r>
              <w:rPr>
                <w:rFonts w:hint="eastAsia"/>
                <w:lang w:eastAsia="zh-CN"/>
              </w:rPr>
              <w:t>v</w:t>
            </w:r>
            <w:r>
              <w:rPr>
                <w:lang w:eastAsia="zh-CN"/>
              </w:rPr>
              <w:t>ivo</w:t>
            </w:r>
          </w:p>
        </w:tc>
        <w:tc>
          <w:tcPr>
            <w:tcW w:w="7415" w:type="dxa"/>
          </w:tcPr>
          <w:p w14:paraId="1BB909BD" w14:textId="385BF65B" w:rsidR="007779E4" w:rsidRDefault="007779E4" w:rsidP="00982C1F">
            <w:pPr>
              <w:pStyle w:val="TAL"/>
              <w:rPr>
                <w:rFonts w:hint="eastAsia"/>
                <w:lang w:eastAsia="zh-CN"/>
              </w:rPr>
            </w:pPr>
            <w:r>
              <w:rPr>
                <w:lang w:eastAsia="zh-CN"/>
              </w:rPr>
              <w:t>Chenli5g@vivo.com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 xml:space="preserve">[1] Discusses the necessity of NR URLLC UE categories/profiles. The goal of the discussion in RAN#92-e is to make an initial decision on whether or not 3GPP RAN takes care of the definition of UE categories/profiles for URLLC, </w:t>
      </w:r>
      <w:proofErr w:type="gramStart"/>
      <w:r w:rsidR="002677D3">
        <w:t>e.g.</w:t>
      </w:r>
      <w:proofErr w:type="gramEnd"/>
      <w:r w:rsidR="002677D3">
        <w:t xml:space="preserve">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lastRenderedPageBreak/>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w:t>
            </w:r>
            <w:proofErr w:type="gramStart"/>
            <w:r>
              <w:rPr>
                <w:lang w:eastAsia="zh-CN"/>
              </w:rPr>
              <w:t>Therefore</w:t>
            </w:r>
            <w:proofErr w:type="gramEnd"/>
            <w:r>
              <w:rPr>
                <w:lang w:eastAsia="zh-CN"/>
              </w:rPr>
              <w:t xml:space="preserv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 xml:space="preserve">The definition of “essential features” could be different due to different marketing purpose and real deployment of the features. In some sense it could be even a bit subjective. </w:t>
            </w:r>
            <w:proofErr w:type="gramStart"/>
            <w:r>
              <w:rPr>
                <w:lang w:eastAsia="zh-CN"/>
              </w:rPr>
              <w:t>So</w:t>
            </w:r>
            <w:proofErr w:type="gramEnd"/>
            <w:r>
              <w:rPr>
                <w:lang w:eastAsia="zh-CN"/>
              </w:rPr>
              <w:t xml:space="preserve">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w:t>
            </w:r>
            <w:proofErr w:type="gramStart"/>
            <w:r>
              <w:rPr>
                <w:lang w:eastAsia="zh-CN"/>
              </w:rPr>
              <w:t>So</w:t>
            </w:r>
            <w:proofErr w:type="gramEnd"/>
            <w:r>
              <w:rPr>
                <w:lang w:eastAsia="zh-CN"/>
              </w:rPr>
              <w:t xml:space="preserve">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r w:rsidR="00FB4A18" w14:paraId="55758368" w14:textId="77777777" w:rsidTr="00F93253">
        <w:tc>
          <w:tcPr>
            <w:tcW w:w="1364" w:type="dxa"/>
            <w:tcBorders>
              <w:top w:val="single" w:sz="4" w:space="0" w:color="auto"/>
              <w:left w:val="single" w:sz="4" w:space="0" w:color="auto"/>
              <w:bottom w:val="single" w:sz="4" w:space="0" w:color="auto"/>
              <w:right w:val="single" w:sz="4" w:space="0" w:color="auto"/>
            </w:tcBorders>
          </w:tcPr>
          <w:p w14:paraId="439D2F96" w14:textId="491613A2" w:rsidR="00FB4A18" w:rsidRDefault="00FB4A18" w:rsidP="00982C1F">
            <w:pPr>
              <w:rPr>
                <w:lang w:eastAsia="zh-CN"/>
              </w:rPr>
            </w:pPr>
            <w:r>
              <w:rPr>
                <w:rFonts w:hint="eastAsia"/>
                <w:lang w:eastAsia="zh-CN"/>
              </w:rPr>
              <w:t>v</w:t>
            </w:r>
            <w:r>
              <w:rPr>
                <w:lang w:eastAsia="zh-CN"/>
              </w:rPr>
              <w:t>ivo</w:t>
            </w:r>
          </w:p>
        </w:tc>
        <w:tc>
          <w:tcPr>
            <w:tcW w:w="889" w:type="dxa"/>
            <w:tcBorders>
              <w:top w:val="single" w:sz="4" w:space="0" w:color="auto"/>
              <w:left w:val="single" w:sz="4" w:space="0" w:color="auto"/>
              <w:bottom w:val="single" w:sz="4" w:space="0" w:color="auto"/>
              <w:right w:val="single" w:sz="4" w:space="0" w:color="auto"/>
            </w:tcBorders>
          </w:tcPr>
          <w:p w14:paraId="0037635D" w14:textId="27E712EB" w:rsidR="00FB4A18" w:rsidRDefault="00FB4A18" w:rsidP="00982C1F">
            <w:pPr>
              <w:rPr>
                <w:rFonts w:hint="eastAsia"/>
                <w:lang w:eastAsia="zh-CN"/>
              </w:rPr>
            </w:pPr>
          </w:p>
        </w:tc>
        <w:tc>
          <w:tcPr>
            <w:tcW w:w="6809" w:type="dxa"/>
            <w:tcBorders>
              <w:top w:val="single" w:sz="4" w:space="0" w:color="auto"/>
              <w:left w:val="single" w:sz="4" w:space="0" w:color="auto"/>
              <w:bottom w:val="single" w:sz="4" w:space="0" w:color="auto"/>
              <w:right w:val="single" w:sz="4" w:space="0" w:color="auto"/>
            </w:tcBorders>
          </w:tcPr>
          <w:p w14:paraId="67EBA067" w14:textId="36F5B4A0" w:rsidR="00FB4A18" w:rsidRDefault="002A204C" w:rsidP="00982C1F">
            <w:pPr>
              <w:rPr>
                <w:lang w:eastAsia="zh-CN"/>
              </w:rPr>
            </w:pPr>
            <w:r>
              <w:rPr>
                <w:rFonts w:hint="eastAsia"/>
                <w:lang w:eastAsia="zh-CN"/>
              </w:rPr>
              <w:t>Th</w:t>
            </w:r>
            <w:r>
              <w:rPr>
                <w:lang w:eastAsia="zh-CN"/>
              </w:rPr>
              <w:t xml:space="preserve">is has been discussed in RAN before. </w:t>
            </w:r>
            <w:r w:rsidR="001B260A">
              <w:rPr>
                <w:lang w:eastAsia="zh-CN"/>
              </w:rPr>
              <w:t xml:space="preserve">We need to see more motivations and benefit to introduce </w:t>
            </w:r>
            <w:r w:rsidR="001B260A" w:rsidRPr="001B260A">
              <w:rPr>
                <w:lang w:eastAsia="zh-CN"/>
              </w:rPr>
              <w:t>UE categories/profiles</w:t>
            </w:r>
            <w:r w:rsidR="001B260A">
              <w:rPr>
                <w:lang w:eastAsia="zh-CN"/>
              </w:rPr>
              <w:t>.</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w:t>
      </w:r>
      <w:proofErr w:type="gramStart"/>
      <w:r w:rsidR="0063523F">
        <w:rPr>
          <w:color w:val="000000"/>
        </w:rPr>
        <w:t>i.e.</w:t>
      </w:r>
      <w:proofErr w:type="gramEnd"/>
      <w:r w:rsidR="0063523F">
        <w:rPr>
          <w:color w:val="000000"/>
        </w:rPr>
        <w:t xml:space="preserv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 xml:space="preserve">Q: Moderator asks companies to feedback on the proposals above, which approach would be preferred and justification, and whether any of the approaches above would not be acceptable. In particular if to </w:t>
      </w:r>
      <w:r>
        <w:lastRenderedPageBreak/>
        <w:t>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 xml:space="preserve">In Rel-15 we have had a one short approval for 38.822 without subsequent updates. If RAN1/RAN4 continues updating the feature list, and 38.822 is approved at this plenary without any update, it may bring the risks that misalignment was found later and causes confusion. </w:t>
            </w:r>
            <w:proofErr w:type="gramStart"/>
            <w:r>
              <w:t>So</w:t>
            </w:r>
            <w:proofErr w:type="gramEnd"/>
            <w:r>
              <w:t xml:space="preserve">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proofErr w:type="gramStart"/>
            <w:r>
              <w:rPr>
                <w:lang w:eastAsia="zh-CN"/>
              </w:rPr>
              <w:t>Basically</w:t>
            </w:r>
            <w:proofErr w:type="gramEnd"/>
            <w:r>
              <w:rPr>
                <w:lang w:eastAsia="zh-CN"/>
              </w:rPr>
              <w:t xml:space="preserve"> we agree with NTT DOCOMO. </w:t>
            </w:r>
            <w:proofErr w:type="gramStart"/>
            <w:r>
              <w:rPr>
                <w:lang w:eastAsia="zh-CN"/>
              </w:rPr>
              <w:t>Plus</w:t>
            </w:r>
            <w:proofErr w:type="gramEnd"/>
            <w:r>
              <w:rPr>
                <w:lang w:eastAsia="zh-CN"/>
              </w:rPr>
              <w:t xml:space="preserve">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w:t>
            </w:r>
            <w:proofErr w:type="gramStart"/>
            <w:r>
              <w:rPr>
                <w:rFonts w:eastAsia="MS Mincho" w:hint="eastAsia"/>
              </w:rPr>
              <w:t>e.g.</w:t>
            </w:r>
            <w:proofErr w:type="gramEnd"/>
            <w:r>
              <w:rPr>
                <w:rFonts w:eastAsia="MS Mincho" w:hint="eastAsia"/>
              </w:rPr>
              <w:t xml:space="preserve">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lastRenderedPageBreak/>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3814FC" w14:paraId="28ECEA85" w14:textId="77777777" w:rsidTr="00F93253">
        <w:tc>
          <w:tcPr>
            <w:tcW w:w="1358" w:type="dxa"/>
            <w:tcBorders>
              <w:top w:val="single" w:sz="4" w:space="0" w:color="auto"/>
              <w:left w:val="single" w:sz="4" w:space="0" w:color="auto"/>
              <w:bottom w:val="single" w:sz="4" w:space="0" w:color="auto"/>
              <w:right w:val="single" w:sz="4" w:space="0" w:color="auto"/>
            </w:tcBorders>
          </w:tcPr>
          <w:p w14:paraId="6219E2AD" w14:textId="4EB96E75" w:rsidR="003814FC" w:rsidRDefault="003814FC" w:rsidP="003814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1619EAA8" w14:textId="291ECD3B" w:rsidR="003814FC" w:rsidRDefault="003814FC" w:rsidP="003814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53091AF6" w14:textId="6E7D63BA" w:rsidR="0062747A" w:rsidRDefault="0062747A" w:rsidP="003814FC">
            <w:r>
              <w:t xml:space="preserve">This have been agreed in RAN2 to update TR 38.822. The TR could provide the reference for product development and for future. </w:t>
            </w:r>
          </w:p>
          <w:p w14:paraId="7B4BE068" w14:textId="615E7481" w:rsidR="003814FC" w:rsidRDefault="00343890" w:rsidP="00E42BED">
            <w:pPr>
              <w:rPr>
                <w:lang w:eastAsia="zh-CN"/>
              </w:rPr>
            </w:pPr>
            <w:r>
              <w:rPr>
                <w:lang w:eastAsia="zh-CN"/>
              </w:rPr>
              <w:t xml:space="preserve">But this TR only </w:t>
            </w:r>
            <w:r w:rsidR="00A42356">
              <w:rPr>
                <w:lang w:eastAsia="zh-CN"/>
              </w:rPr>
              <w:t xml:space="preserve">needs to </w:t>
            </w:r>
            <w:r>
              <w:rPr>
                <w:lang w:eastAsia="zh-CN"/>
              </w:rPr>
              <w:t xml:space="preserve">provide some </w:t>
            </w:r>
            <w:proofErr w:type="gramStart"/>
            <w:r>
              <w:rPr>
                <w:lang w:eastAsia="zh-CN"/>
              </w:rPr>
              <w:t>high level</w:t>
            </w:r>
            <w:proofErr w:type="gramEnd"/>
            <w:r>
              <w:rPr>
                <w:lang w:eastAsia="zh-CN"/>
              </w:rPr>
              <w:t xml:space="preserve"> description, the details should be captured in TS 38.306. We should avoid frequent update for this TR</w:t>
            </w:r>
            <w:r w:rsidR="00A42356">
              <w:rPr>
                <w:lang w:eastAsia="zh-CN"/>
              </w:rPr>
              <w:t xml:space="preserve"> when some small change on the </w:t>
            </w:r>
            <w:r w:rsidR="00052858">
              <w:rPr>
                <w:lang w:eastAsia="zh-CN"/>
              </w:rPr>
              <w:t>corresponding feature.</w:t>
            </w:r>
          </w:p>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lastRenderedPageBreak/>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w:t>
            </w:r>
            <w:proofErr w:type="gramStart"/>
            <w:r>
              <w:rPr>
                <w:rFonts w:eastAsia="MS Mincho"/>
              </w:rPr>
              <w:t>as</w:t>
            </w:r>
            <w:proofErr w:type="gramEnd"/>
            <w:r>
              <w:rPr>
                <w:rFonts w:eastAsia="MS Mincho"/>
              </w:rPr>
              <w:t xml:space="preserve">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w:t>
            </w:r>
            <w:proofErr w:type="gramStart"/>
            <w:r>
              <w:rPr>
                <w:lang w:eastAsia="zh-CN"/>
              </w:rPr>
              <w:t xml:space="preserve">of </w:t>
            </w:r>
            <w:r>
              <w:rPr>
                <w:rFonts w:eastAsia="MS Mincho"/>
              </w:rPr>
              <w:t xml:space="preserve"> [</w:t>
            </w:r>
            <w:proofErr w:type="gramEnd"/>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proofErr w:type="gramStart"/>
            <w:r>
              <w:rPr>
                <w:rFonts w:eastAsia="Malgun Gothic"/>
                <w:lang w:eastAsia="ko-KR"/>
              </w:rPr>
              <w:t>But,</w:t>
            </w:r>
            <w:proofErr w:type="gramEnd"/>
            <w:r>
              <w:rPr>
                <w:rFonts w:eastAsia="Malgun Gothic"/>
                <w:lang w:eastAsia="ko-KR"/>
              </w:rPr>
              <w:t xml:space="preserve">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w:t>
            </w:r>
            <w:r w:rsidRPr="00A1512B">
              <w:lastRenderedPageBreak/>
              <w:t>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6A0DF3" w14:paraId="33D18A13" w14:textId="77777777" w:rsidTr="0063523F">
        <w:tc>
          <w:tcPr>
            <w:tcW w:w="1360" w:type="dxa"/>
          </w:tcPr>
          <w:p w14:paraId="477CFED4" w14:textId="40F6541B" w:rsidR="006A0DF3" w:rsidRDefault="006A0DF3" w:rsidP="001F0607">
            <w:pPr>
              <w:rPr>
                <w:lang w:eastAsia="zh-CN"/>
              </w:rPr>
            </w:pPr>
            <w:r>
              <w:rPr>
                <w:rFonts w:hint="eastAsia"/>
                <w:lang w:eastAsia="zh-CN"/>
              </w:rPr>
              <w:t>v</w:t>
            </w:r>
            <w:r>
              <w:rPr>
                <w:lang w:eastAsia="zh-CN"/>
              </w:rPr>
              <w:t>ivo</w:t>
            </w:r>
          </w:p>
        </w:tc>
        <w:tc>
          <w:tcPr>
            <w:tcW w:w="1515" w:type="dxa"/>
          </w:tcPr>
          <w:p w14:paraId="2148E60E" w14:textId="77777777" w:rsidR="006A0DF3" w:rsidRDefault="006A0DF3" w:rsidP="001F0607"/>
        </w:tc>
        <w:tc>
          <w:tcPr>
            <w:tcW w:w="6187" w:type="dxa"/>
          </w:tcPr>
          <w:p w14:paraId="04AE752A" w14:textId="052FBD38" w:rsidR="006A0DF3" w:rsidRDefault="006A0DF3" w:rsidP="00F93253">
            <w:pPr>
              <w:rPr>
                <w:rFonts w:hint="eastAsia"/>
                <w:lang w:eastAsia="zh-CN"/>
              </w:rPr>
            </w:pPr>
            <w:r>
              <w:rPr>
                <w:lang w:eastAsia="zh-CN"/>
              </w:rPr>
              <w:t>We think it is better to wait for RAN4 progress.</w:t>
            </w:r>
          </w:p>
        </w:tc>
      </w:tr>
    </w:tbl>
    <w:p w14:paraId="278458E1" w14:textId="77777777" w:rsidR="0063523F" w:rsidRPr="006A0DF3"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65D8" w14:textId="77777777" w:rsidR="00B01940" w:rsidRDefault="00B01940" w:rsidP="000274E9">
      <w:pPr>
        <w:spacing w:after="0"/>
      </w:pPr>
      <w:r>
        <w:separator/>
      </w:r>
    </w:p>
  </w:endnote>
  <w:endnote w:type="continuationSeparator" w:id="0">
    <w:p w14:paraId="3ECF8FA5" w14:textId="77777777" w:rsidR="00B01940" w:rsidRDefault="00B0194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a8"/>
    </w:pPr>
    <w:r>
      <w:rPr>
        <w:noProof/>
      </w:rPr>
      <mc:AlternateContent>
        <mc:Choice Requires="wps">
          <w:drawing>
            <wp:anchor distT="0" distB="0" distL="114300" distR="114300" simplePos="0" relativeHeight="251659264" behindDoc="0" locked="0" layoutInCell="0" allowOverlap="1" wp14:anchorId="4F42DE29" wp14:editId="6A8DAD04">
              <wp:simplePos x="0" y="0"/>
              <wp:positionH relativeFrom="page">
                <wp:posOffset>0</wp:posOffset>
              </wp:positionH>
              <wp:positionV relativeFrom="page">
                <wp:posOffset>10227945</wp:posOffset>
              </wp:positionV>
              <wp:extent cx="7560310" cy="273050"/>
              <wp:effectExtent l="0" t="0" r="0" b="12700"/>
              <wp:wrapNone/>
              <wp:docPr id="1" name="MSIPCM1a934c168a0ec768cc85f56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a934c168a0ec768cc85f56b"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" o:allowincell="f" filled="f" stroked="f" strokeweight=".5pt">
              <v:textbox inset="20pt,0,,0">
                <w:txbxContent>
                  <w:p w14:paraId="6C421506" w14:textId="4B3E5D55" w:rsidR="000A50AD" w:rsidRPr="000A50AD" w:rsidRDefault="000A50AD" w:rsidP="000A50AD">
                    <w:pPr>
                      <w:spacing w:after="0"/>
                      <w:rPr>
                        <w:rFonts w:ascii="Calibri" w:hAnsi="Calibri" w:cs="Calibri"/>
                        <w:color w:val="000000"/>
                        <w:sz w:val="14"/>
                      </w:rPr>
                    </w:pPr>
                    <w:r w:rsidRPr="000A50A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85CA0" w14:textId="77777777" w:rsidR="00B01940" w:rsidRDefault="00B01940" w:rsidP="000274E9">
      <w:pPr>
        <w:spacing w:after="0"/>
      </w:pPr>
      <w:r>
        <w:separator/>
      </w:r>
    </w:p>
  </w:footnote>
  <w:footnote w:type="continuationSeparator" w:id="0">
    <w:p w14:paraId="6C76828B" w14:textId="77777777" w:rsidR="00B01940" w:rsidRDefault="00B01940"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52858"/>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B260A"/>
    <w:rsid w:val="001F0607"/>
    <w:rsid w:val="001F39CD"/>
    <w:rsid w:val="00210DE0"/>
    <w:rsid w:val="00225BDF"/>
    <w:rsid w:val="00250B34"/>
    <w:rsid w:val="00254977"/>
    <w:rsid w:val="00257DAB"/>
    <w:rsid w:val="00260842"/>
    <w:rsid w:val="002677D3"/>
    <w:rsid w:val="002942D7"/>
    <w:rsid w:val="002A204C"/>
    <w:rsid w:val="002B3029"/>
    <w:rsid w:val="002C777A"/>
    <w:rsid w:val="002D5A97"/>
    <w:rsid w:val="002D7F9A"/>
    <w:rsid w:val="00302688"/>
    <w:rsid w:val="003068B4"/>
    <w:rsid w:val="00307FD9"/>
    <w:rsid w:val="00312032"/>
    <w:rsid w:val="00320EC5"/>
    <w:rsid w:val="00327D85"/>
    <w:rsid w:val="003344F3"/>
    <w:rsid w:val="00343890"/>
    <w:rsid w:val="00367784"/>
    <w:rsid w:val="003814FC"/>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B4A93"/>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2747A"/>
    <w:rsid w:val="00630AFC"/>
    <w:rsid w:val="0063523F"/>
    <w:rsid w:val="006417EC"/>
    <w:rsid w:val="006535DD"/>
    <w:rsid w:val="00653B0D"/>
    <w:rsid w:val="0069128C"/>
    <w:rsid w:val="006950B7"/>
    <w:rsid w:val="006A0DF3"/>
    <w:rsid w:val="006A3A54"/>
    <w:rsid w:val="006B3F0B"/>
    <w:rsid w:val="006D1688"/>
    <w:rsid w:val="006D1CC4"/>
    <w:rsid w:val="006D774A"/>
    <w:rsid w:val="006E48D6"/>
    <w:rsid w:val="006F61DA"/>
    <w:rsid w:val="00715C0D"/>
    <w:rsid w:val="00715FE8"/>
    <w:rsid w:val="007307AF"/>
    <w:rsid w:val="0074094A"/>
    <w:rsid w:val="00742417"/>
    <w:rsid w:val="00747FF8"/>
    <w:rsid w:val="00752444"/>
    <w:rsid w:val="00761D18"/>
    <w:rsid w:val="007779E4"/>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0920"/>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2356"/>
    <w:rsid w:val="00A443E2"/>
    <w:rsid w:val="00A534E4"/>
    <w:rsid w:val="00A5395E"/>
    <w:rsid w:val="00A57677"/>
    <w:rsid w:val="00A72DBD"/>
    <w:rsid w:val="00A83A46"/>
    <w:rsid w:val="00A9038A"/>
    <w:rsid w:val="00A967CC"/>
    <w:rsid w:val="00AA7507"/>
    <w:rsid w:val="00AD2F6C"/>
    <w:rsid w:val="00AD4DB4"/>
    <w:rsid w:val="00AE7B7A"/>
    <w:rsid w:val="00B01940"/>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36A8"/>
    <w:rsid w:val="00E250A8"/>
    <w:rsid w:val="00E26542"/>
    <w:rsid w:val="00E42BED"/>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93253"/>
    <w:rsid w:val="00FA2A94"/>
    <w:rsid w:val="00FB4A18"/>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styleId="ad">
    <w:name w:val="Unresolved Mention"/>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2932</Words>
  <Characters>16713</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vivo-Chenli</cp:lastModifiedBy>
  <cp:revision>33</cp:revision>
  <dcterms:created xsi:type="dcterms:W3CDTF">2021-06-15T10:39:00Z</dcterms:created>
  <dcterms:modified xsi:type="dcterms:W3CDTF">2021-06-15T14:37:00Z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ies>
</file>