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3C0A1E35" w:rsidR="00170CDB" w:rsidRPr="005D7AB5" w:rsidRDefault="00C76477" w:rsidP="005D7AB5">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Meeting #</w:t>
      </w:r>
      <w:r w:rsidR="004C6FB7">
        <w:rPr>
          <w:rFonts w:ascii="Arial" w:hAnsi="Arial" w:cs="Arial"/>
          <w:b/>
          <w:bCs/>
          <w:kern w:val="0"/>
          <w:sz w:val="24"/>
        </w:rPr>
        <w:t>91</w:t>
      </w:r>
      <w:r>
        <w:rPr>
          <w:rFonts w:ascii="Arial" w:hAnsi="Arial" w:cs="Arial"/>
          <w:b/>
          <w:bCs/>
          <w:kern w:val="0"/>
          <w:sz w:val="24"/>
        </w:rPr>
        <w:t>e</w:t>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sidR="00F36F60">
        <w:rPr>
          <w:rFonts w:ascii="Arial" w:hAnsi="Arial" w:cs="Arial"/>
          <w:b/>
          <w:bCs/>
          <w:kern w:val="0"/>
          <w:sz w:val="24"/>
        </w:rPr>
        <w:t xml:space="preserve">       </w:t>
      </w:r>
      <w:r w:rsidR="00B271C2">
        <w:rPr>
          <w:rFonts w:ascii="Arial" w:hAnsi="Arial" w:cs="Arial"/>
          <w:b/>
          <w:bCs/>
          <w:kern w:val="0"/>
          <w:sz w:val="24"/>
        </w:rPr>
        <w:tab/>
      </w:r>
      <w:r w:rsidR="00B271C2">
        <w:rPr>
          <w:rFonts w:ascii="Arial" w:hAnsi="Arial" w:cs="Arial"/>
          <w:b/>
          <w:bCs/>
          <w:kern w:val="0"/>
          <w:sz w:val="24"/>
        </w:rPr>
        <w:tab/>
      </w:r>
      <w:r w:rsidR="00B271C2">
        <w:rPr>
          <w:rFonts w:ascii="Arial" w:hAnsi="Arial" w:cs="Arial"/>
          <w:b/>
          <w:bCs/>
          <w:kern w:val="0"/>
          <w:sz w:val="24"/>
        </w:rPr>
        <w:tab/>
      </w:r>
      <w:r>
        <w:rPr>
          <w:rFonts w:ascii="Arial" w:hAnsi="Arial" w:cs="Arial" w:hint="eastAsia"/>
          <w:b/>
          <w:bCs/>
          <w:kern w:val="0"/>
          <w:sz w:val="24"/>
          <w:lang w:val="en-GB"/>
        </w:rPr>
        <w:t>R</w:t>
      </w:r>
      <w:r w:rsidR="004C6FB7">
        <w:rPr>
          <w:rFonts w:ascii="Arial" w:hAnsi="Arial" w:cs="Arial"/>
          <w:b/>
          <w:bCs/>
          <w:kern w:val="0"/>
          <w:sz w:val="24"/>
          <w:lang w:val="en-GB"/>
        </w:rPr>
        <w:t>P</w:t>
      </w:r>
      <w:r>
        <w:rPr>
          <w:rFonts w:ascii="Arial" w:hAnsi="Arial" w:cs="Arial" w:hint="eastAsia"/>
          <w:b/>
          <w:bCs/>
          <w:kern w:val="0"/>
          <w:sz w:val="24"/>
          <w:lang w:val="en-GB"/>
        </w:rPr>
        <w:t>-</w:t>
      </w:r>
      <w:r w:rsidR="00CE3417">
        <w:rPr>
          <w:rFonts w:ascii="Arial" w:hAnsi="Arial" w:cs="Arial"/>
          <w:b/>
          <w:bCs/>
          <w:kern w:val="0"/>
          <w:sz w:val="24"/>
          <w:lang w:val="en-GB"/>
        </w:rPr>
        <w:t>210686</w:t>
      </w:r>
      <w:r w:rsidR="005D7AB5">
        <w:rPr>
          <w:rFonts w:ascii="Arial" w:hAnsi="Arial" w:cs="Arial"/>
          <w:b/>
          <w:bCs/>
          <w:kern w:val="0"/>
          <w:sz w:val="24"/>
        </w:rPr>
        <w:br/>
      </w:r>
      <w:r>
        <w:rPr>
          <w:rFonts w:ascii="Arial" w:hAnsi="Arial" w:cs="Arial"/>
          <w:b/>
          <w:bCs/>
          <w:kern w:val="0"/>
          <w:sz w:val="24"/>
        </w:rPr>
        <w:t>Electronic Meeting</w:t>
      </w:r>
      <w:r>
        <w:rPr>
          <w:rFonts w:ascii="Arial" w:hAnsi="Arial" w:cs="Arial" w:hint="eastAsia"/>
          <w:b/>
          <w:bCs/>
          <w:kern w:val="0"/>
          <w:sz w:val="24"/>
        </w:rPr>
        <w:t>,</w:t>
      </w:r>
      <w:r>
        <w:rPr>
          <w:rFonts w:ascii="Arial" w:hAnsi="Arial" w:cs="Arial"/>
          <w:b/>
          <w:bCs/>
          <w:kern w:val="0"/>
          <w:sz w:val="24"/>
          <w:lang w:val="en-GB"/>
        </w:rPr>
        <w:t xml:space="preserve"> </w:t>
      </w:r>
      <w:r w:rsidR="004C6FB7">
        <w:rPr>
          <w:rFonts w:ascii="Arial" w:hAnsi="Arial" w:cs="Arial"/>
          <w:b/>
          <w:bCs/>
          <w:kern w:val="0"/>
          <w:sz w:val="24"/>
          <w:lang w:val="en-GB"/>
        </w:rPr>
        <w:t>1</w:t>
      </w:r>
      <w:r w:rsidR="00987C20">
        <w:rPr>
          <w:rFonts w:ascii="Arial" w:hAnsi="Arial" w:cs="Arial"/>
          <w:b/>
          <w:bCs/>
          <w:kern w:val="0"/>
          <w:sz w:val="24"/>
          <w:lang w:val="en-GB"/>
        </w:rPr>
        <w:t>6</w:t>
      </w:r>
      <w:proofErr w:type="spellStart"/>
      <w:r>
        <w:rPr>
          <w:rFonts w:ascii="Arial" w:hAnsi="Arial" w:cs="Arial" w:hint="eastAsia"/>
          <w:b/>
          <w:bCs/>
          <w:kern w:val="0"/>
          <w:sz w:val="24"/>
          <w:vertAlign w:val="superscript"/>
        </w:rPr>
        <w:t>th</w:t>
      </w:r>
      <w:proofErr w:type="spellEnd"/>
      <w:r>
        <w:rPr>
          <w:rFonts w:ascii="Arial" w:hAnsi="Arial" w:cs="Arial"/>
          <w:b/>
          <w:bCs/>
          <w:kern w:val="0"/>
          <w:sz w:val="24"/>
          <w:lang w:val="en-GB"/>
        </w:rPr>
        <w:t xml:space="preserve"> </w:t>
      </w:r>
      <w:r w:rsidR="004C6FB7">
        <w:rPr>
          <w:rFonts w:ascii="Arial" w:hAnsi="Arial" w:cs="Arial"/>
          <w:b/>
          <w:bCs/>
          <w:kern w:val="0"/>
          <w:sz w:val="24"/>
          <w:lang w:val="en-GB"/>
        </w:rPr>
        <w:t>Mar</w:t>
      </w:r>
      <w:r>
        <w:rPr>
          <w:rFonts w:ascii="Arial" w:hAnsi="Arial" w:cs="Arial"/>
          <w:b/>
          <w:bCs/>
          <w:kern w:val="0"/>
          <w:sz w:val="24"/>
          <w:lang w:val="en-GB"/>
        </w:rPr>
        <w:t xml:space="preserve"> – </w:t>
      </w:r>
      <w:r w:rsidR="00987C20">
        <w:rPr>
          <w:rFonts w:ascii="Arial" w:hAnsi="Arial" w:cs="Arial"/>
          <w:b/>
          <w:bCs/>
          <w:kern w:val="0"/>
          <w:sz w:val="24"/>
        </w:rPr>
        <w:t>26</w:t>
      </w:r>
      <w:r>
        <w:rPr>
          <w:rFonts w:ascii="Arial" w:hAnsi="Arial" w:cs="Arial" w:hint="eastAsia"/>
          <w:b/>
          <w:bCs/>
          <w:kern w:val="0"/>
          <w:sz w:val="24"/>
          <w:vertAlign w:val="superscript"/>
        </w:rPr>
        <w:t>t</w:t>
      </w:r>
      <w:r>
        <w:rPr>
          <w:rFonts w:ascii="Arial" w:hAnsi="Arial" w:cs="Arial"/>
          <w:b/>
          <w:bCs/>
          <w:kern w:val="0"/>
          <w:sz w:val="24"/>
          <w:vertAlign w:val="superscript"/>
        </w:rPr>
        <w:t>h</w:t>
      </w:r>
      <w:r>
        <w:rPr>
          <w:rFonts w:ascii="Arial" w:hAnsi="Arial" w:cs="Arial"/>
          <w:b/>
          <w:bCs/>
          <w:kern w:val="0"/>
          <w:sz w:val="24"/>
          <w:lang w:val="en-GB"/>
        </w:rPr>
        <w:t xml:space="preserve"> </w:t>
      </w:r>
      <w:r w:rsidR="004C6FB7">
        <w:rPr>
          <w:rFonts w:ascii="Arial" w:hAnsi="Arial" w:cs="Arial"/>
          <w:b/>
          <w:bCs/>
          <w:kern w:val="0"/>
          <w:sz w:val="24"/>
        </w:rPr>
        <w:t>Mar</w:t>
      </w:r>
      <w:r>
        <w:rPr>
          <w:rFonts w:ascii="Arial" w:hAnsi="Arial" w:cs="Arial" w:hint="eastAsia"/>
          <w:b/>
          <w:bCs/>
          <w:kern w:val="0"/>
          <w:sz w:val="24"/>
          <w:lang w:val="en-GB"/>
        </w:rPr>
        <w:t xml:space="preserve"> </w:t>
      </w:r>
      <w:r>
        <w:rPr>
          <w:rFonts w:ascii="Arial" w:hAnsi="Arial" w:cs="Arial"/>
          <w:b/>
          <w:bCs/>
          <w:kern w:val="0"/>
          <w:sz w:val="24"/>
          <w:lang w:val="en-GB"/>
        </w:rPr>
        <w:t xml:space="preserve">2021 </w:t>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71B36E3A"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r w:rsidR="00056A86">
        <w:rPr>
          <w:rFonts w:ascii="Arial" w:hAnsi="Arial" w:cs="Arial"/>
          <w:b/>
          <w:bCs/>
          <w:snapToGrid w:val="0"/>
          <w:kern w:val="0"/>
          <w:sz w:val="24"/>
        </w:rPr>
        <w:t>, MediaTek Inc</w:t>
      </w:r>
      <w:r w:rsidR="0046740C">
        <w:rPr>
          <w:rFonts w:ascii="Arial" w:hAnsi="Arial" w:cs="Arial"/>
          <w:b/>
          <w:bCs/>
          <w:snapToGrid w:val="0"/>
          <w:kern w:val="0"/>
          <w:sz w:val="24"/>
        </w:rPr>
        <w:t>, ZTE Corporation</w:t>
      </w:r>
    </w:p>
    <w:p w14:paraId="4D07C427" w14:textId="45F1D88A" w:rsidR="00170CDB" w:rsidRDefault="00C76477">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36D23">
        <w:rPr>
          <w:rFonts w:ascii="Arial" w:hAnsi="Arial" w:cs="Arial"/>
          <w:b/>
          <w:bCs/>
          <w:snapToGrid w:val="0"/>
          <w:kern w:val="0"/>
          <w:sz w:val="24"/>
        </w:rPr>
        <w:t xml:space="preserve">Rel-16 </w:t>
      </w:r>
      <w:r w:rsidR="008F0F3F">
        <w:rPr>
          <w:rFonts w:ascii="Arial" w:hAnsi="Arial" w:cs="Arial"/>
          <w:b/>
          <w:bCs/>
          <w:snapToGrid w:val="0"/>
          <w:kern w:val="0"/>
          <w:sz w:val="24"/>
        </w:rPr>
        <w:t>NR-DC Cell-grouping UE capability</w:t>
      </w:r>
    </w:p>
    <w:p w14:paraId="3DFCE5B5" w14:textId="6129F1E1"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236D23">
        <w:rPr>
          <w:rFonts w:ascii="Arial" w:hAnsi="Arial" w:cs="Arial"/>
          <w:b/>
          <w:bCs/>
          <w:snapToGrid w:val="0"/>
          <w:kern w:val="0"/>
          <w:sz w:val="24"/>
        </w:rPr>
        <w:t>9.12</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56462A67" w:rsidR="00170CDB" w:rsidRPr="001A0CD5" w:rsidRDefault="00C7647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21C0D5FC" w14:textId="4DA132D2" w:rsidR="002D23FD" w:rsidRDefault="008F0F3F">
      <w:r>
        <w:t>In RAN2-113e</w:t>
      </w:r>
      <w:r w:rsidR="00B824A9">
        <w:t xml:space="preserve"> and in the previous RAN2 meetings</w:t>
      </w:r>
      <w:r>
        <w:t xml:space="preserve">, the topic of UE capability reporting for Cell-grouping for NR-DC in Async </w:t>
      </w:r>
      <w:proofErr w:type="gramStart"/>
      <w:r>
        <w:t>DC</w:t>
      </w:r>
      <w:proofErr w:type="gramEnd"/>
      <w:r>
        <w:t xml:space="preserve"> and Sync DC cases was discussed, and as a result of the discussion, RAN2 </w:t>
      </w:r>
      <w:r w:rsidR="00B824A9">
        <w:t xml:space="preserve">technically </w:t>
      </w:r>
      <w:r>
        <w:t xml:space="preserve">endorsed CRs </w:t>
      </w:r>
      <w:r w:rsidR="00B824A9">
        <w:t xml:space="preserve">[5] [6] to be brought up to </w:t>
      </w:r>
      <w:r>
        <w:t xml:space="preserve">RANP-91e. In this short paper, we propose to have these CRs agreed in RANP-91e using some discussion points. </w:t>
      </w:r>
    </w:p>
    <w:p w14:paraId="16681698" w14:textId="44E8603D" w:rsidR="00170CDB" w:rsidRDefault="002927DF">
      <w:r>
        <w:t xml:space="preserve"> </w:t>
      </w:r>
      <w:r w:rsidR="005D7AB5">
        <w:t xml:space="preserve"> </w:t>
      </w:r>
    </w:p>
    <w:p w14:paraId="32378F40" w14:textId="3FA5BC71" w:rsidR="00170CDB" w:rsidRDefault="00540E3D">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Timeline of discussion </w:t>
      </w:r>
    </w:p>
    <w:p w14:paraId="18C76051" w14:textId="45547CB7" w:rsidR="00540E3D" w:rsidRDefault="00540E3D">
      <w:r>
        <w:t>We list below the timeline of events that happened so far in relation to this capability discussion:</w:t>
      </w:r>
    </w:p>
    <w:p w14:paraId="368FF76B" w14:textId="205B2D98" w:rsidR="004502F8" w:rsidRDefault="004502F8" w:rsidP="00540E3D">
      <w:pPr>
        <w:pStyle w:val="ListParagraph"/>
        <w:numPr>
          <w:ilvl w:val="0"/>
          <w:numId w:val="33"/>
        </w:numPr>
      </w:pPr>
      <w:r>
        <w:t xml:space="preserve">RAN2 discussed the cell-grouping for NR-DC in RAN2-110e and sent an LS to RAN1 and RAN4[1] on using LTE style of </w:t>
      </w:r>
      <w:r w:rsidR="00CE3417">
        <w:t>signaling</w:t>
      </w:r>
      <w:r>
        <w:t xml:space="preserve"> for NR-DC using 5 bands, and in the same LS asked RAN1/4 to respond if they have concerns. There </w:t>
      </w:r>
      <w:r w:rsidR="009E0C22">
        <w:t>were</w:t>
      </w:r>
      <w:r>
        <w:t xml:space="preserve"> no concerns from both RAN1 and RAN4 in the coming meetings on this.</w:t>
      </w:r>
    </w:p>
    <w:p w14:paraId="55416221" w14:textId="6C88B62D" w:rsidR="00540E3D" w:rsidRDefault="00540E3D" w:rsidP="00540E3D">
      <w:pPr>
        <w:pStyle w:val="ListParagraph"/>
        <w:numPr>
          <w:ilvl w:val="0"/>
          <w:numId w:val="33"/>
        </w:numPr>
      </w:pPr>
      <w:r>
        <w:t>RAN2 discuss</w:t>
      </w:r>
      <w:r w:rsidR="00530FF3">
        <w:t>ed the cell-grouping topic in RAN2-11</w:t>
      </w:r>
      <w:r w:rsidR="004502F8">
        <w:t xml:space="preserve">1e </w:t>
      </w:r>
      <w:r w:rsidR="00530FF3">
        <w:t>and due to open items</w:t>
      </w:r>
      <w:r w:rsidR="009E0C22">
        <w:t xml:space="preserve"> on Syn NR-DC</w:t>
      </w:r>
      <w:r w:rsidR="00530FF3">
        <w:t>, sent an LS to RAN1/4 [</w:t>
      </w:r>
      <w:r w:rsidR="009C4730">
        <w:t>2</w:t>
      </w:r>
      <w:r w:rsidR="00530FF3">
        <w:t xml:space="preserve">] for their view/inputs. </w:t>
      </w:r>
    </w:p>
    <w:p w14:paraId="0DAF0318" w14:textId="0F9EB5B4" w:rsidR="00530FF3" w:rsidRDefault="00530FF3" w:rsidP="00540E3D">
      <w:pPr>
        <w:pStyle w:val="ListParagraph"/>
        <w:numPr>
          <w:ilvl w:val="0"/>
          <w:numId w:val="33"/>
        </w:numPr>
      </w:pPr>
      <w:r>
        <w:t>RAN1 discusse</w:t>
      </w:r>
      <w:r w:rsidR="00527FAF">
        <w:t>d</w:t>
      </w:r>
      <w:r>
        <w:t xml:space="preserve"> the open items from RAN2 LS and also the PUCCH grouping and provide</w:t>
      </w:r>
      <w:r w:rsidR="00527FAF">
        <w:t>d</w:t>
      </w:r>
      <w:r>
        <w:t xml:space="preserve"> a reply LS to RAN2 [</w:t>
      </w:r>
      <w:r w:rsidR="009C4730">
        <w:t>3</w:t>
      </w:r>
      <w:r>
        <w:t>] suggesting that PUCCH based grouping can be an option for Sync NR-DC cell grouping.</w:t>
      </w:r>
    </w:p>
    <w:p w14:paraId="6BAAB0AB" w14:textId="40CD9DDC" w:rsidR="00530FF3" w:rsidRDefault="00530FF3" w:rsidP="00540E3D">
      <w:pPr>
        <w:pStyle w:val="ListParagraph"/>
        <w:numPr>
          <w:ilvl w:val="0"/>
          <w:numId w:val="33"/>
        </w:numPr>
      </w:pPr>
      <w:r>
        <w:t>RAN4 discusse</w:t>
      </w:r>
      <w:r w:rsidR="00527FAF">
        <w:t>d</w:t>
      </w:r>
      <w:r>
        <w:t xml:space="preserve"> the open items from RAN LS and replie</w:t>
      </w:r>
      <w:r w:rsidR="00527FAF">
        <w:t>d</w:t>
      </w:r>
      <w:r>
        <w:t xml:space="preserve"> with an LS [</w:t>
      </w:r>
      <w:r w:rsidR="009C4730">
        <w:t>4</w:t>
      </w:r>
      <w:r>
        <w:t>] that cell-group is useful even for Sync NR-DC.</w:t>
      </w:r>
    </w:p>
    <w:p w14:paraId="69FEAEA0" w14:textId="62848AB2" w:rsidR="00530FF3" w:rsidRDefault="00530FF3" w:rsidP="00540E3D">
      <w:pPr>
        <w:pStyle w:val="ListParagraph"/>
        <w:numPr>
          <w:ilvl w:val="0"/>
          <w:numId w:val="33"/>
        </w:numPr>
      </w:pPr>
      <w:r>
        <w:t xml:space="preserve">RAN2 discussed the capability in </w:t>
      </w:r>
      <w:r w:rsidR="00527FAF">
        <w:t xml:space="preserve">post RAN2-112e, during </w:t>
      </w:r>
      <w:r>
        <w:t xml:space="preserve">RAN2-113e and in post email discussion </w:t>
      </w:r>
      <w:r w:rsidR="00527FAF">
        <w:t xml:space="preserve">#255 </w:t>
      </w:r>
      <w:r>
        <w:t xml:space="preserve">and </w:t>
      </w:r>
      <w:r w:rsidR="00B824A9">
        <w:t xml:space="preserve">technically </w:t>
      </w:r>
      <w:r>
        <w:t>endorsed the CRs [</w:t>
      </w:r>
      <w:r w:rsidR="00527FAF">
        <w:t>5</w:t>
      </w:r>
      <w:r>
        <w:t>][</w:t>
      </w:r>
      <w:r w:rsidR="00527FAF">
        <w:t>6</w:t>
      </w:r>
      <w:r>
        <w:t>]</w:t>
      </w:r>
      <w:r w:rsidR="00B824A9">
        <w:t xml:space="preserve"> while discussing concerns from some companies</w:t>
      </w:r>
      <w:r>
        <w:t xml:space="preserve">. </w:t>
      </w:r>
      <w:r w:rsidR="00CE3417">
        <w:t>Also,</w:t>
      </w:r>
      <w:r>
        <w:t xml:space="preserve"> an LS to RAN4</w:t>
      </w:r>
      <w:r w:rsidR="004502F8">
        <w:t xml:space="preserve"> [</w:t>
      </w:r>
      <w:r w:rsidR="00A9026D">
        <w:t>7</w:t>
      </w:r>
      <w:r w:rsidR="004502F8">
        <w:t>]</w:t>
      </w:r>
      <w:r>
        <w:t xml:space="preserve"> is sent to inform </w:t>
      </w:r>
      <w:r w:rsidR="00531B3B">
        <w:t xml:space="preserve">about the RAN2’s technical endorsing and also as a means for RAN4 to inform RAN2 if they have concerns. </w:t>
      </w:r>
      <w:r>
        <w:t xml:space="preserve">  </w:t>
      </w:r>
    </w:p>
    <w:p w14:paraId="2CDEC097" w14:textId="01ACFC20" w:rsidR="00224A83" w:rsidRPr="00224A83" w:rsidRDefault="00224A83" w:rsidP="00224A8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Analysis and observations</w:t>
      </w:r>
    </w:p>
    <w:p w14:paraId="6ACDDC02" w14:textId="1BC2E7C1" w:rsidR="00540E3D" w:rsidRDefault="00540E3D">
      <w:r w:rsidRPr="00F328D8">
        <w:rPr>
          <w:b/>
          <w:bCs/>
        </w:rPr>
        <w:t>Observation</w:t>
      </w:r>
      <w:r w:rsidR="00F328D8" w:rsidRPr="00F328D8">
        <w:rPr>
          <w:b/>
          <w:bCs/>
        </w:rPr>
        <w:t xml:space="preserve"> 1</w:t>
      </w:r>
      <w:r w:rsidRPr="00F328D8">
        <w:rPr>
          <w:b/>
          <w:bCs/>
        </w:rPr>
        <w:t>:</w:t>
      </w:r>
      <w:r>
        <w:t xml:space="preserve"> </w:t>
      </w:r>
      <w:r w:rsidR="00A9026D">
        <w:t xml:space="preserve">There has been quite a bit of discussion in RAN2, </w:t>
      </w:r>
      <w:r>
        <w:t xml:space="preserve">RAN1 and RAN4 </w:t>
      </w:r>
      <w:r w:rsidR="00A9026D">
        <w:t>on this topic before the RAN2 technically endorsed CRs.</w:t>
      </w:r>
      <w:r>
        <w:t xml:space="preserve"> </w:t>
      </w:r>
    </w:p>
    <w:p w14:paraId="558A05A4" w14:textId="7B001420" w:rsidR="00540E3D" w:rsidRDefault="00F328D8">
      <w:r w:rsidRPr="00F328D8">
        <w:rPr>
          <w:b/>
          <w:bCs/>
        </w:rPr>
        <w:t xml:space="preserve">Observation </w:t>
      </w:r>
      <w:r>
        <w:rPr>
          <w:b/>
          <w:bCs/>
        </w:rPr>
        <w:t>2</w:t>
      </w:r>
      <w:r w:rsidRPr="00F328D8">
        <w:rPr>
          <w:b/>
          <w:bCs/>
        </w:rPr>
        <w:t>:</w:t>
      </w:r>
      <w:r>
        <w:t xml:space="preserve"> </w:t>
      </w:r>
      <w:r w:rsidR="00540E3D">
        <w:t xml:space="preserve">Async NR-DC capability signaling has been deferred for the past </w:t>
      </w:r>
      <w:r w:rsidR="00031885">
        <w:t xml:space="preserve">9 </w:t>
      </w:r>
      <w:r w:rsidR="00690353">
        <w:t>months and</w:t>
      </w:r>
      <w:r w:rsidR="00540E3D">
        <w:t xml:space="preserve"> delaying it further does not help with deploying and using this type of DC deployment which is the most practical of the NR-DC cases.</w:t>
      </w:r>
      <w:r w:rsidR="00031885">
        <w:t xml:space="preserve"> It is already 3 quarters past the Rel-16 ASN.1 freeze!</w:t>
      </w:r>
      <w:r w:rsidR="00A9026D">
        <w:t xml:space="preserve"> Delaying it further would mean a full year of deferment.</w:t>
      </w:r>
    </w:p>
    <w:p w14:paraId="335FF8C6" w14:textId="6AA7CC42" w:rsidR="002C26C8" w:rsidRDefault="00F328D8">
      <w:r w:rsidRPr="00F328D8">
        <w:rPr>
          <w:b/>
          <w:bCs/>
        </w:rPr>
        <w:lastRenderedPageBreak/>
        <w:t xml:space="preserve">Observation </w:t>
      </w:r>
      <w:r>
        <w:rPr>
          <w:b/>
          <w:bCs/>
        </w:rPr>
        <w:t>3</w:t>
      </w:r>
      <w:r w:rsidRPr="00F328D8">
        <w:rPr>
          <w:b/>
          <w:bCs/>
        </w:rPr>
        <w:t>:</w:t>
      </w:r>
      <w:r>
        <w:t xml:space="preserve"> </w:t>
      </w:r>
      <w:r w:rsidR="002C26C8">
        <w:t xml:space="preserve">Only RAN1 has discussed PUCCH </w:t>
      </w:r>
      <w:r w:rsidR="00690353">
        <w:t>grouping,</w:t>
      </w:r>
      <w:r w:rsidR="002C26C8">
        <w:t xml:space="preserve"> and they consider this as one of the options of UE capability signaling, and not as the preferred one. RAN4 LS [</w:t>
      </w:r>
      <w:r w:rsidR="00A9026D">
        <w:t>4</w:t>
      </w:r>
      <w:r w:rsidR="002C26C8">
        <w:t>] does not state this.</w:t>
      </w:r>
    </w:p>
    <w:p w14:paraId="74E78407" w14:textId="73A27E3E" w:rsidR="00540E3D" w:rsidRDefault="00F328D8">
      <w:r w:rsidRPr="00F328D8">
        <w:rPr>
          <w:b/>
          <w:bCs/>
        </w:rPr>
        <w:t xml:space="preserve">Observation </w:t>
      </w:r>
      <w:r>
        <w:rPr>
          <w:b/>
          <w:bCs/>
        </w:rPr>
        <w:t>4</w:t>
      </w:r>
      <w:r w:rsidRPr="00F328D8">
        <w:rPr>
          <w:b/>
          <w:bCs/>
        </w:rPr>
        <w:t>:</w:t>
      </w:r>
      <w:r>
        <w:t xml:space="preserve"> </w:t>
      </w:r>
      <w:r w:rsidR="00540E3D">
        <w:t xml:space="preserve">Band based cell-grouping UE capability signaling of Sync NR-DC should not bring in signaling complexity as we </w:t>
      </w:r>
      <w:r w:rsidR="00A9026D">
        <w:t xml:space="preserve">would </w:t>
      </w:r>
      <w:r w:rsidR="00B824A9">
        <w:t>anyway</w:t>
      </w:r>
      <w:r w:rsidR="00540E3D">
        <w:t xml:space="preserve"> have Async NR-DC using the band</w:t>
      </w:r>
      <w:r w:rsidR="002C26C8">
        <w:t>-</w:t>
      </w:r>
      <w:r w:rsidR="00540E3D">
        <w:t>based cell-grouping</w:t>
      </w:r>
      <w:r w:rsidR="00A9026D">
        <w:t xml:space="preserve"> in either the Mar 2021 or Jun 2021 </w:t>
      </w:r>
      <w:r w:rsidR="00B824A9">
        <w:t>specifications</w:t>
      </w:r>
      <w:r w:rsidR="00540E3D">
        <w:t xml:space="preserve">. </w:t>
      </w:r>
    </w:p>
    <w:p w14:paraId="2FAEDAA1" w14:textId="057FE8AA" w:rsidR="002C26C8" w:rsidRDefault="00F328D8">
      <w:r w:rsidRPr="00F328D8">
        <w:rPr>
          <w:b/>
          <w:bCs/>
        </w:rPr>
        <w:t xml:space="preserve">Observation </w:t>
      </w:r>
      <w:r>
        <w:rPr>
          <w:b/>
          <w:bCs/>
        </w:rPr>
        <w:t>5</w:t>
      </w:r>
      <w:r w:rsidRPr="00F328D8">
        <w:rPr>
          <w:b/>
          <w:bCs/>
        </w:rPr>
        <w:t>:</w:t>
      </w:r>
      <w:r>
        <w:t xml:space="preserve"> </w:t>
      </w:r>
      <w:r w:rsidR="002C26C8">
        <w:t xml:space="preserve">Band based cell-grouping gives the flexibility for the UE to report with finer granularity and if RAN4 thinks PUCCH based grouping is also applicable, it can be considered in RAN2 as an optimization. Agreeing the current RAN2 endorsed CRs should be not create a conflict. </w:t>
      </w:r>
    </w:p>
    <w:p w14:paraId="1CF91D7A" w14:textId="77777777" w:rsidR="00F328D8" w:rsidRDefault="00F328D8" w:rsidP="00C6032C"/>
    <w:p w14:paraId="26E9E51E" w14:textId="0CD43F08" w:rsidR="00C6032C" w:rsidRDefault="00F328D8" w:rsidP="00C6032C">
      <w:r>
        <w:t xml:space="preserve">Based on the above we propose that RAN2 technically endorsed CRs #2472 for 38.331 and #0540 for 38.306 be </w:t>
      </w:r>
      <w:r w:rsidR="00F3164E">
        <w:t>approved</w:t>
      </w:r>
      <w:r>
        <w:t xml:space="preserve"> in RANP-91e. </w:t>
      </w:r>
    </w:p>
    <w:p w14:paraId="488341B0" w14:textId="33DA3299" w:rsidR="00C6032C" w:rsidRDefault="0015453B" w:rsidP="00C6032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Proposal</w:t>
      </w:r>
    </w:p>
    <w:p w14:paraId="569B05C2" w14:textId="36FE645E" w:rsidR="0046731D" w:rsidRPr="00F328D8" w:rsidRDefault="0046731D" w:rsidP="00F328D8">
      <w:pPr>
        <w:rPr>
          <w:b/>
          <w:bCs/>
        </w:rPr>
      </w:pPr>
      <w:r w:rsidRPr="0046731D">
        <w:rPr>
          <w:b/>
          <w:bCs/>
        </w:rPr>
        <w:t xml:space="preserve">Proposal 1: </w:t>
      </w:r>
      <w:r>
        <w:rPr>
          <w:b/>
          <w:bCs/>
        </w:rPr>
        <w:t xml:space="preserve"> </w:t>
      </w:r>
      <w:r w:rsidR="00F328D8" w:rsidRPr="00F328D8">
        <w:rPr>
          <w:b/>
          <w:bCs/>
        </w:rPr>
        <w:t xml:space="preserve">RAN2 technically endorsed CRs #2472 for 38.331 and #0540 for 38.306 </w:t>
      </w:r>
      <w:r w:rsidR="00F328D8">
        <w:rPr>
          <w:b/>
          <w:bCs/>
        </w:rPr>
        <w:t xml:space="preserve">are </w:t>
      </w:r>
      <w:r w:rsidR="00F3164E">
        <w:rPr>
          <w:b/>
          <w:bCs/>
        </w:rPr>
        <w:t>approved</w:t>
      </w:r>
      <w:r w:rsidR="00F328D8" w:rsidRPr="00F328D8">
        <w:rPr>
          <w:b/>
          <w:bCs/>
        </w:rPr>
        <w:t xml:space="preserve"> in RANP-91e</w:t>
      </w:r>
      <w:r w:rsidR="00F328D8">
        <w:rPr>
          <w:b/>
          <w:bCs/>
        </w:rPr>
        <w:t xml:space="preserve"> for Mar 2021 specification.</w:t>
      </w:r>
    </w:p>
    <w:p w14:paraId="421859AA" w14:textId="77777777" w:rsidR="00170CDB" w:rsidRDefault="00170CDB">
      <w:pPr>
        <w:spacing w:before="156"/>
      </w:pP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6CE75641" w14:textId="166DF1FB" w:rsidR="00170CDB" w:rsidRDefault="00E542CC">
      <w:pPr>
        <w:pStyle w:val="ListParagraph"/>
        <w:numPr>
          <w:ilvl w:val="0"/>
          <w:numId w:val="20"/>
        </w:numPr>
        <w:spacing w:before="156"/>
        <w:rPr>
          <w:sz w:val="22"/>
        </w:rPr>
      </w:pPr>
      <w:r w:rsidRPr="00E542CC">
        <w:rPr>
          <w:sz w:val="22"/>
        </w:rPr>
        <w:t>R2-2006030</w:t>
      </w:r>
      <w:r w:rsidR="00C76477">
        <w:rPr>
          <w:sz w:val="22"/>
        </w:rPr>
        <w:tab/>
      </w:r>
      <w:r w:rsidRPr="00E542CC">
        <w:rPr>
          <w:bCs/>
          <w:sz w:val="22"/>
          <w:lang w:val="en-GB"/>
        </w:rPr>
        <w:t>Reply LS on Rel-16 UE feature lists</w:t>
      </w:r>
    </w:p>
    <w:p w14:paraId="6DC21D04" w14:textId="2CA9E1C5" w:rsidR="00271438" w:rsidRDefault="00271438">
      <w:pPr>
        <w:pStyle w:val="ListParagraph"/>
        <w:numPr>
          <w:ilvl w:val="0"/>
          <w:numId w:val="20"/>
        </w:numPr>
        <w:spacing w:before="156"/>
        <w:rPr>
          <w:sz w:val="22"/>
        </w:rPr>
      </w:pPr>
      <w:r>
        <w:rPr>
          <w:sz w:val="22"/>
        </w:rPr>
        <w:t>R2-</w:t>
      </w:r>
      <w:r w:rsidR="009E0C22">
        <w:rPr>
          <w:sz w:val="22"/>
        </w:rPr>
        <w:t>2008662</w:t>
      </w:r>
      <w:r>
        <w:rPr>
          <w:sz w:val="22"/>
        </w:rPr>
        <w:tab/>
      </w:r>
      <w:bookmarkStart w:id="2" w:name="_Hlk506457506"/>
      <w:r w:rsidR="009E0C22" w:rsidRPr="009E0C22">
        <w:rPr>
          <w:bCs/>
          <w:sz w:val="22"/>
          <w:lang w:val="en-GB"/>
        </w:rPr>
        <w:t xml:space="preserve">LS on </w:t>
      </w:r>
      <w:bookmarkEnd w:id="2"/>
      <w:r w:rsidR="009E0C22" w:rsidRPr="009E0C22">
        <w:rPr>
          <w:bCs/>
          <w:sz w:val="22"/>
          <w:lang w:val="en-GB"/>
        </w:rPr>
        <w:t>cell-grouping UE capability for synchronous NR-DC</w:t>
      </w:r>
    </w:p>
    <w:p w14:paraId="142E0DA0" w14:textId="0EC19222" w:rsidR="00DC1B81" w:rsidRPr="00DC1B81" w:rsidRDefault="00DC1B81" w:rsidP="00DC1B81">
      <w:pPr>
        <w:pStyle w:val="ListParagraph"/>
        <w:numPr>
          <w:ilvl w:val="0"/>
          <w:numId w:val="20"/>
        </w:numPr>
        <w:spacing w:before="156"/>
        <w:rPr>
          <w:sz w:val="22"/>
          <w:lang w:val="en-GB"/>
        </w:rPr>
      </w:pPr>
      <w:bookmarkStart w:id="3" w:name="_Ref58432540"/>
      <w:r w:rsidRPr="00DC1B81">
        <w:rPr>
          <w:sz w:val="22"/>
          <w:lang w:val="en-GB"/>
        </w:rPr>
        <w:t>R2-2011118</w:t>
      </w:r>
      <w:r>
        <w:rPr>
          <w:sz w:val="22"/>
          <w:lang w:val="en-GB"/>
        </w:rPr>
        <w:tab/>
      </w:r>
      <w:r w:rsidRPr="00DC1B81">
        <w:rPr>
          <w:sz w:val="22"/>
          <w:lang w:val="en-GB"/>
        </w:rPr>
        <w:t>LS reply on cell-grouping UE capability for synchronous NR-DC</w:t>
      </w:r>
      <w:bookmarkEnd w:id="3"/>
    </w:p>
    <w:p w14:paraId="1F5B7F44" w14:textId="2ED7ED20" w:rsidR="00DC1B81" w:rsidRPr="00527FAF" w:rsidRDefault="00DC1B81">
      <w:pPr>
        <w:pStyle w:val="ListParagraph"/>
        <w:numPr>
          <w:ilvl w:val="0"/>
          <w:numId w:val="20"/>
        </w:numPr>
        <w:spacing w:before="156"/>
        <w:rPr>
          <w:sz w:val="22"/>
        </w:rPr>
      </w:pPr>
      <w:r w:rsidRPr="00DC1B81">
        <w:rPr>
          <w:sz w:val="22"/>
          <w:lang w:val="en-GB"/>
        </w:rPr>
        <w:t>R4-2017847</w:t>
      </w:r>
      <w:r w:rsidRPr="00DC1B81">
        <w:rPr>
          <w:sz w:val="22"/>
          <w:lang w:val="en-GB"/>
        </w:rPr>
        <w:tab/>
        <w:t>LS response on cell-grouping UE capability for synchronous NR-DC</w:t>
      </w:r>
    </w:p>
    <w:p w14:paraId="5C03D62E" w14:textId="52BCA661" w:rsidR="00527FAF" w:rsidRPr="00527FAF" w:rsidRDefault="00527FAF" w:rsidP="00527FAF">
      <w:pPr>
        <w:pStyle w:val="ListParagraph"/>
        <w:numPr>
          <w:ilvl w:val="0"/>
          <w:numId w:val="20"/>
        </w:numPr>
        <w:spacing w:before="156"/>
        <w:rPr>
          <w:sz w:val="22"/>
        </w:rPr>
      </w:pPr>
      <w:r>
        <w:rPr>
          <w:sz w:val="22"/>
          <w:lang w:val="en-GB"/>
        </w:rPr>
        <w:t>R2-2102210</w:t>
      </w:r>
      <w:r>
        <w:rPr>
          <w:sz w:val="22"/>
          <w:lang w:val="en-GB"/>
        </w:rPr>
        <w:tab/>
      </w:r>
      <w:r w:rsidRPr="00527FAF">
        <w:rPr>
          <w:rFonts w:hint="eastAsia"/>
          <w:sz w:val="22"/>
        </w:rPr>
        <w:t>38.331 CR#</w:t>
      </w:r>
      <w:r w:rsidR="00AA1C57" w:rsidRPr="00527FAF">
        <w:rPr>
          <w:sz w:val="22"/>
        </w:rPr>
        <w:t>2472 Introduction</w:t>
      </w:r>
      <w:r w:rsidRPr="00527FAF">
        <w:rPr>
          <w:rFonts w:hint="eastAsia"/>
          <w:sz w:val="22"/>
        </w:rPr>
        <w:t xml:space="preserve"> of Cell Grouping UE capability for NR-DC</w:t>
      </w:r>
    </w:p>
    <w:p w14:paraId="2CB0C0F0" w14:textId="30EF2CD7" w:rsidR="00527FAF" w:rsidRPr="00AA1C57" w:rsidRDefault="00527FAF" w:rsidP="00AA1C57">
      <w:pPr>
        <w:pStyle w:val="ListParagraph"/>
        <w:numPr>
          <w:ilvl w:val="0"/>
          <w:numId w:val="20"/>
        </w:numPr>
        <w:spacing w:before="156"/>
        <w:rPr>
          <w:sz w:val="22"/>
        </w:rPr>
      </w:pPr>
      <w:r>
        <w:rPr>
          <w:sz w:val="22"/>
        </w:rPr>
        <w:t>R2-2102211</w:t>
      </w:r>
      <w:r>
        <w:rPr>
          <w:sz w:val="22"/>
        </w:rPr>
        <w:tab/>
      </w:r>
      <w:r w:rsidR="00AA1C57" w:rsidRPr="00AA1C57">
        <w:rPr>
          <w:rFonts w:hint="eastAsia"/>
          <w:sz w:val="22"/>
        </w:rPr>
        <w:t>38.306 CR#0540</w:t>
      </w:r>
      <w:r w:rsidR="00AA1C57">
        <w:rPr>
          <w:sz w:val="22"/>
        </w:rPr>
        <w:t xml:space="preserve"> </w:t>
      </w:r>
      <w:r w:rsidRPr="00AA1C57">
        <w:rPr>
          <w:rFonts w:hint="eastAsia"/>
          <w:sz w:val="22"/>
        </w:rPr>
        <w:t>Introduction of Cell Grouping UE capability for NR-DC</w:t>
      </w:r>
    </w:p>
    <w:p w14:paraId="01E4E6B1" w14:textId="0D819C18" w:rsidR="00170CDB" w:rsidRPr="00DC1B81" w:rsidRDefault="00DC1B81" w:rsidP="00DC1B81">
      <w:pPr>
        <w:pStyle w:val="ListParagraph"/>
        <w:numPr>
          <w:ilvl w:val="0"/>
          <w:numId w:val="20"/>
        </w:numPr>
        <w:spacing w:before="156"/>
        <w:rPr>
          <w:sz w:val="22"/>
        </w:rPr>
      </w:pPr>
      <w:r w:rsidRPr="00DC1B81">
        <w:rPr>
          <w:sz w:val="22"/>
        </w:rPr>
        <w:t>R2-2102212</w:t>
      </w:r>
      <w:r w:rsidR="00C76477" w:rsidRPr="00DC1B81">
        <w:rPr>
          <w:sz w:val="22"/>
        </w:rPr>
        <w:tab/>
      </w:r>
      <w:r w:rsidRPr="00DC1B81">
        <w:rPr>
          <w:sz w:val="22"/>
          <w:lang w:val="en-GB"/>
        </w:rPr>
        <w:t>Introduction of Cell Grouping UE capability for NR-DC</w:t>
      </w:r>
    </w:p>
    <w:p w14:paraId="69DA9665" w14:textId="606C1E6C" w:rsidR="00170CDB" w:rsidRDefault="00170CDB" w:rsidP="00B824A9">
      <w:pPr>
        <w:pStyle w:val="ListParagraph"/>
        <w:spacing w:before="156"/>
        <w:rPr>
          <w:sz w:val="22"/>
        </w:rPr>
      </w:pPr>
    </w:p>
    <w:sectPr w:rsidR="00170CDB">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A742B" w14:textId="77777777" w:rsidR="00C341EC" w:rsidRDefault="00C341EC">
      <w:pPr>
        <w:spacing w:after="0"/>
      </w:pPr>
      <w:r>
        <w:separator/>
      </w:r>
    </w:p>
  </w:endnote>
  <w:endnote w:type="continuationSeparator" w:id="0">
    <w:p w14:paraId="01D236EC" w14:textId="77777777" w:rsidR="00C341EC" w:rsidRDefault="00C341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7D5CD" w14:textId="77777777" w:rsidR="00C341EC" w:rsidRDefault="00C341EC">
      <w:pPr>
        <w:spacing w:after="0"/>
      </w:pPr>
      <w:r>
        <w:separator/>
      </w:r>
    </w:p>
  </w:footnote>
  <w:footnote w:type="continuationSeparator" w:id="0">
    <w:p w14:paraId="76634679" w14:textId="77777777" w:rsidR="00C341EC" w:rsidRDefault="00C341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E20D0"/>
    <w:multiLevelType w:val="hybridMultilevel"/>
    <w:tmpl w:val="78A86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4"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20"/>
  </w:num>
  <w:num w:numId="3">
    <w:abstractNumId w:val="4"/>
  </w:num>
  <w:num w:numId="4">
    <w:abstractNumId w:val="18"/>
  </w:num>
  <w:num w:numId="5">
    <w:abstractNumId w:val="19"/>
  </w:num>
  <w:num w:numId="6">
    <w:abstractNumId w:val="11"/>
  </w:num>
  <w:num w:numId="7">
    <w:abstractNumId w:val="1"/>
  </w:num>
  <w:num w:numId="8">
    <w:abstractNumId w:val="23"/>
  </w:num>
  <w:num w:numId="9">
    <w:abstractNumId w:val="0"/>
  </w:num>
  <w:num w:numId="10">
    <w:abstractNumId w:val="8"/>
  </w:num>
  <w:num w:numId="11">
    <w:abstractNumId w:val="9"/>
  </w:num>
  <w:num w:numId="12">
    <w:abstractNumId w:val="12"/>
  </w:num>
  <w:num w:numId="13">
    <w:abstractNumId w:val="16"/>
  </w:num>
  <w:num w:numId="14">
    <w:abstractNumId w:val="26"/>
  </w:num>
  <w:num w:numId="15">
    <w:abstractNumId w:val="13"/>
  </w:num>
  <w:num w:numId="16">
    <w:abstractNumId w:val="24"/>
  </w:num>
  <w:num w:numId="17">
    <w:abstractNumId w:val="5"/>
  </w:num>
  <w:num w:numId="18">
    <w:abstractNumId w:val="15"/>
  </w:num>
  <w:num w:numId="19">
    <w:abstractNumId w:val="22"/>
  </w:num>
  <w:num w:numId="20">
    <w:abstractNumId w:val="21"/>
  </w:num>
  <w:num w:numId="21">
    <w:abstractNumId w:val="7"/>
  </w:num>
  <w:num w:numId="22">
    <w:abstractNumId w:val="10"/>
  </w:num>
  <w:num w:numId="23">
    <w:abstractNumId w:val="27"/>
  </w:num>
  <w:num w:numId="24">
    <w:abstractNumId w:val="3"/>
  </w:num>
  <w:num w:numId="25">
    <w:abstractNumId w:val="17"/>
  </w:num>
  <w:num w:numId="26">
    <w:abstractNumId w:val="25"/>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31885"/>
    <w:rsid w:val="00035CE0"/>
    <w:rsid w:val="00054BF1"/>
    <w:rsid w:val="00056A86"/>
    <w:rsid w:val="00090557"/>
    <w:rsid w:val="000B07BF"/>
    <w:rsid w:val="0015453B"/>
    <w:rsid w:val="00170CDB"/>
    <w:rsid w:val="001A0CD5"/>
    <w:rsid w:val="001A6921"/>
    <w:rsid w:val="001A73DD"/>
    <w:rsid w:val="001B4554"/>
    <w:rsid w:val="001C4E3D"/>
    <w:rsid w:val="001C56FD"/>
    <w:rsid w:val="00224A83"/>
    <w:rsid w:val="00236D23"/>
    <w:rsid w:val="00271438"/>
    <w:rsid w:val="00286B08"/>
    <w:rsid w:val="002927DF"/>
    <w:rsid w:val="002A06AF"/>
    <w:rsid w:val="002C26C8"/>
    <w:rsid w:val="002D23FD"/>
    <w:rsid w:val="002F4026"/>
    <w:rsid w:val="002F5520"/>
    <w:rsid w:val="00315FFF"/>
    <w:rsid w:val="0031652B"/>
    <w:rsid w:val="003202E7"/>
    <w:rsid w:val="00377AD3"/>
    <w:rsid w:val="003B045F"/>
    <w:rsid w:val="00427FAD"/>
    <w:rsid w:val="004502F8"/>
    <w:rsid w:val="0046731D"/>
    <w:rsid w:val="0046740C"/>
    <w:rsid w:val="0048309B"/>
    <w:rsid w:val="00483F01"/>
    <w:rsid w:val="004C6FB7"/>
    <w:rsid w:val="004E0013"/>
    <w:rsid w:val="004E5FCB"/>
    <w:rsid w:val="004F081C"/>
    <w:rsid w:val="00527FAF"/>
    <w:rsid w:val="00530FF3"/>
    <w:rsid w:val="00531B3B"/>
    <w:rsid w:val="00540E3D"/>
    <w:rsid w:val="00553794"/>
    <w:rsid w:val="005A374B"/>
    <w:rsid w:val="005D0D02"/>
    <w:rsid w:val="005D309F"/>
    <w:rsid w:val="005D7AB5"/>
    <w:rsid w:val="00616C38"/>
    <w:rsid w:val="00690353"/>
    <w:rsid w:val="006B58B3"/>
    <w:rsid w:val="00756701"/>
    <w:rsid w:val="00761688"/>
    <w:rsid w:val="00784092"/>
    <w:rsid w:val="00803196"/>
    <w:rsid w:val="00814A76"/>
    <w:rsid w:val="008476E8"/>
    <w:rsid w:val="00857BEF"/>
    <w:rsid w:val="008773C0"/>
    <w:rsid w:val="008938DD"/>
    <w:rsid w:val="008F0F3F"/>
    <w:rsid w:val="00901D54"/>
    <w:rsid w:val="009208C9"/>
    <w:rsid w:val="00923C22"/>
    <w:rsid w:val="009341F8"/>
    <w:rsid w:val="00954E6B"/>
    <w:rsid w:val="009809EB"/>
    <w:rsid w:val="0098328C"/>
    <w:rsid w:val="00987C20"/>
    <w:rsid w:val="009B28F7"/>
    <w:rsid w:val="009C4730"/>
    <w:rsid w:val="009D7E1C"/>
    <w:rsid w:val="009E0C22"/>
    <w:rsid w:val="009E3EB2"/>
    <w:rsid w:val="00A10045"/>
    <w:rsid w:val="00A201AB"/>
    <w:rsid w:val="00A24A94"/>
    <w:rsid w:val="00A35127"/>
    <w:rsid w:val="00A5387D"/>
    <w:rsid w:val="00A66DD1"/>
    <w:rsid w:val="00A9026D"/>
    <w:rsid w:val="00AA1C57"/>
    <w:rsid w:val="00AD0C91"/>
    <w:rsid w:val="00AE618D"/>
    <w:rsid w:val="00B1253E"/>
    <w:rsid w:val="00B26D97"/>
    <w:rsid w:val="00B271C2"/>
    <w:rsid w:val="00B3568A"/>
    <w:rsid w:val="00B43A04"/>
    <w:rsid w:val="00B524E6"/>
    <w:rsid w:val="00B67AC3"/>
    <w:rsid w:val="00B70449"/>
    <w:rsid w:val="00B824A9"/>
    <w:rsid w:val="00BE0CA2"/>
    <w:rsid w:val="00C341EC"/>
    <w:rsid w:val="00C6032C"/>
    <w:rsid w:val="00C626A1"/>
    <w:rsid w:val="00C70A0F"/>
    <w:rsid w:val="00C74FB5"/>
    <w:rsid w:val="00C76477"/>
    <w:rsid w:val="00C97915"/>
    <w:rsid w:val="00CA1BB3"/>
    <w:rsid w:val="00CB479A"/>
    <w:rsid w:val="00CB5947"/>
    <w:rsid w:val="00CB766E"/>
    <w:rsid w:val="00CD26AF"/>
    <w:rsid w:val="00CE2F38"/>
    <w:rsid w:val="00CE3417"/>
    <w:rsid w:val="00CF173E"/>
    <w:rsid w:val="00D23AC1"/>
    <w:rsid w:val="00D2627F"/>
    <w:rsid w:val="00D276DE"/>
    <w:rsid w:val="00D5253F"/>
    <w:rsid w:val="00D740CF"/>
    <w:rsid w:val="00D76C43"/>
    <w:rsid w:val="00DC1B81"/>
    <w:rsid w:val="00E542CC"/>
    <w:rsid w:val="00E94CEF"/>
    <w:rsid w:val="00EA40DD"/>
    <w:rsid w:val="00F129C1"/>
    <w:rsid w:val="00F3164E"/>
    <w:rsid w:val="00F328D8"/>
    <w:rsid w:val="00F36C68"/>
    <w:rsid w:val="00F36F60"/>
    <w:rsid w:val="00F75BAE"/>
    <w:rsid w:val="00F81946"/>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 w:type="character" w:styleId="UnresolvedMention">
    <w:name w:val="Unresolved Mention"/>
    <w:basedOn w:val="DefaultParagraphFont"/>
    <w:uiPriority w:val="99"/>
    <w:semiHidden/>
    <w:unhideWhenUsed/>
    <w:rsid w:val="00DC1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913153">
      <w:bodyDiv w:val="1"/>
      <w:marLeft w:val="0"/>
      <w:marRight w:val="0"/>
      <w:marTop w:val="0"/>
      <w:marBottom w:val="0"/>
      <w:divBdr>
        <w:top w:val="none" w:sz="0" w:space="0" w:color="auto"/>
        <w:left w:val="none" w:sz="0" w:space="0" w:color="auto"/>
        <w:bottom w:val="none" w:sz="0" w:space="0" w:color="auto"/>
        <w:right w:val="none" w:sz="0" w:space="0" w:color="auto"/>
      </w:divBdr>
    </w:div>
    <w:div w:id="355078504">
      <w:bodyDiv w:val="1"/>
      <w:marLeft w:val="0"/>
      <w:marRight w:val="0"/>
      <w:marTop w:val="0"/>
      <w:marBottom w:val="0"/>
      <w:divBdr>
        <w:top w:val="none" w:sz="0" w:space="0" w:color="auto"/>
        <w:left w:val="none" w:sz="0" w:space="0" w:color="auto"/>
        <w:bottom w:val="none" w:sz="0" w:space="0" w:color="auto"/>
        <w:right w:val="none" w:sz="0" w:space="0" w:color="auto"/>
      </w:divBdr>
    </w:div>
    <w:div w:id="896161827">
      <w:bodyDiv w:val="1"/>
      <w:marLeft w:val="0"/>
      <w:marRight w:val="0"/>
      <w:marTop w:val="0"/>
      <w:marBottom w:val="0"/>
      <w:divBdr>
        <w:top w:val="none" w:sz="0" w:space="0" w:color="auto"/>
        <w:left w:val="none" w:sz="0" w:space="0" w:color="auto"/>
        <w:bottom w:val="none" w:sz="0" w:space="0" w:color="auto"/>
        <w:right w:val="none" w:sz="0" w:space="0" w:color="auto"/>
      </w:divBdr>
    </w:div>
    <w:div w:id="1120539297">
      <w:bodyDiv w:val="1"/>
      <w:marLeft w:val="0"/>
      <w:marRight w:val="0"/>
      <w:marTop w:val="0"/>
      <w:marBottom w:val="0"/>
      <w:divBdr>
        <w:top w:val="none" w:sz="0" w:space="0" w:color="auto"/>
        <w:left w:val="none" w:sz="0" w:space="0" w:color="auto"/>
        <w:bottom w:val="none" w:sz="0" w:space="0" w:color="auto"/>
        <w:right w:val="none" w:sz="0" w:space="0" w:color="auto"/>
      </w:divBdr>
    </w:div>
    <w:div w:id="1446265075">
      <w:bodyDiv w:val="1"/>
      <w:marLeft w:val="0"/>
      <w:marRight w:val="0"/>
      <w:marTop w:val="0"/>
      <w:marBottom w:val="0"/>
      <w:divBdr>
        <w:top w:val="none" w:sz="0" w:space="0" w:color="auto"/>
        <w:left w:val="none" w:sz="0" w:space="0" w:color="auto"/>
        <w:bottom w:val="none" w:sz="0" w:space="0" w:color="auto"/>
        <w:right w:val="none" w:sz="0" w:space="0" w:color="auto"/>
      </w:divBdr>
    </w:div>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4.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5.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DCCDE9B2-0EDE-4613-B859-7CFEE6ED7F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Pages>
  <Words>573</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104</cp:revision>
  <cp:lastPrinted>2113-01-01T00:00:00Z</cp:lastPrinted>
  <dcterms:created xsi:type="dcterms:W3CDTF">2021-01-12T18:39:00Z</dcterms:created>
  <dcterms:modified xsi:type="dcterms:W3CDTF">2021-03-15T14:34:00Z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