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keepLines/>
        <w:tabs>
          <w:tab w:val="right" w:pos="10440"/>
          <w:tab w:val="right" w:pos="13323"/>
        </w:tabs>
        <w:rPr>
          <w:rFonts w:hint="default" w:ascii="Arial" w:hAnsi="Arial" w:eastAsia="宋体" w:cs="Arial"/>
          <w:b/>
          <w:sz w:val="24"/>
          <w:szCs w:val="24"/>
          <w:lang w:val="en-US" w:eastAsia="zh-CN"/>
        </w:rPr>
      </w:pPr>
      <w:bookmarkStart w:id="0" w:name="_Hlt450066087"/>
      <w:bookmarkEnd w:id="0"/>
      <w:bookmarkStart w:id="1" w:name="_Hlt450051172"/>
      <w:bookmarkEnd w:id="1"/>
      <w:bookmarkStart w:id="2" w:name="_Hlt449016246"/>
      <w:bookmarkEnd w:id="2"/>
      <w:bookmarkStart w:id="3" w:name="DocumentFor"/>
      <w:bookmarkEnd w:id="3"/>
      <w:bookmarkStart w:id="4" w:name="_Hlt450039480"/>
      <w:bookmarkEnd w:id="4"/>
      <w:bookmarkStart w:id="5" w:name="_Hlt448930105"/>
      <w:bookmarkEnd w:id="5"/>
      <w:bookmarkStart w:id="6" w:name="Title"/>
      <w:bookmarkEnd w:id="6"/>
      <w:bookmarkStart w:id="7" w:name="_Hlt450066085"/>
      <w:bookmarkEnd w:id="7"/>
      <w:r>
        <w:rPr>
          <w:rFonts w:ascii="Arial" w:hAnsi="Arial" w:cs="Arial"/>
          <w:b/>
          <w:sz w:val="24"/>
          <w:szCs w:val="24"/>
        </w:rPr>
        <w:t>3GPP TSG-RAN WG4 Meeting #</w:t>
      </w:r>
      <w:r>
        <w:t xml:space="preserve"> </w:t>
      </w:r>
      <w:r>
        <w:rPr>
          <w:rFonts w:ascii="Arial" w:hAnsi="Arial" w:cs="Arial"/>
          <w:b/>
          <w:sz w:val="24"/>
          <w:szCs w:val="24"/>
        </w:rPr>
        <w:t xml:space="preserve">95-e </w:t>
      </w:r>
      <w:r>
        <w:rPr>
          <w:rFonts w:hint="eastAsia" w:cs="Arial"/>
          <w:b/>
          <w:sz w:val="24"/>
          <w:szCs w:val="24"/>
          <w:lang w:val="en-US" w:eastAsia="zh-CN"/>
        </w:rPr>
        <w:t xml:space="preserve">                                                             </w:t>
      </w:r>
      <w:r>
        <w:rPr>
          <w:rFonts w:ascii="Arial" w:hAnsi="Arial" w:cs="Arial"/>
          <w:b/>
          <w:sz w:val="24"/>
          <w:szCs w:val="24"/>
        </w:rPr>
        <w:t>R4-200</w:t>
      </w:r>
      <w:r>
        <w:rPr>
          <w:rFonts w:hint="eastAsia" w:cs="Arial"/>
          <w:b/>
          <w:sz w:val="24"/>
          <w:szCs w:val="24"/>
          <w:lang w:val="en-US" w:eastAsia="zh-CN"/>
        </w:rPr>
        <w:t>8728</w:t>
      </w:r>
    </w:p>
    <w:p>
      <w:pPr>
        <w:pStyle w:val="35"/>
        <w:tabs>
          <w:tab w:val="right" w:pos="9781"/>
          <w:tab w:val="right" w:pos="13323"/>
        </w:tabs>
        <w:outlineLvl w:val="0"/>
        <w:rPr>
          <w:sz w:val="24"/>
          <w:szCs w:val="24"/>
          <w:lang w:eastAsia="zh-CN"/>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w:t>
      </w:r>
      <w:r>
        <w:rPr>
          <w:sz w:val="24"/>
          <w:szCs w:val="24"/>
          <w:lang w:eastAsia="zh-CN"/>
        </w:rPr>
        <w:t>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7.</w:t>
            </w:r>
            <w:r>
              <w:rPr>
                <w:b/>
                <w:sz w:val="28"/>
              </w:rPr>
              <w:fldChar w:fldCharType="end"/>
            </w:r>
            <w:r>
              <w:rPr>
                <w:rFonts w:hint="eastAsia"/>
                <w:b/>
                <w:sz w:val="28"/>
                <w:lang w:val="en-US" w:eastAsia="zh-CN"/>
              </w:rPr>
              <w:t>114</w:t>
            </w:r>
          </w:p>
        </w:tc>
        <w:tc>
          <w:tcPr>
            <w:tcW w:w="709" w:type="dxa"/>
          </w:tcPr>
          <w:p>
            <w:pPr>
              <w:pStyle w:val="78"/>
              <w:spacing w:after="0"/>
              <w:jc w:val="center"/>
            </w:pPr>
            <w:r>
              <w:rPr>
                <w:b/>
                <w:sz w:val="28"/>
              </w:rPr>
              <w:t>CR</w:t>
            </w:r>
          </w:p>
        </w:tc>
        <w:tc>
          <w:tcPr>
            <w:tcW w:w="1276" w:type="dxa"/>
            <w:shd w:val="pct30" w:color="FFFF00" w:fill="auto"/>
          </w:tcPr>
          <w:p>
            <w:pPr>
              <w:pStyle w:val="78"/>
              <w:spacing w:after="0"/>
              <w:rPr>
                <w:rFonts w:hint="default"/>
                <w:lang w:val="en-US"/>
              </w:rPr>
            </w:pPr>
            <w:bookmarkStart w:id="8" w:name="OLE_LINK3"/>
            <w:r>
              <w:rPr>
                <w:rFonts w:hint="eastAsia" w:ascii="CG Times (WN)"/>
                <w:b/>
                <w:color w:val="000000" w:themeColor="text1"/>
                <w:sz w:val="28"/>
                <w:highlight w:val="none"/>
                <w:lang w:val="en-US" w:eastAsia="zh-CN"/>
                <w14:textFill>
                  <w14:solidFill>
                    <w14:schemeClr w14:val="tx1"/>
                  </w14:solidFill>
                </w14:textFill>
              </w:rPr>
              <w:t>00</w:t>
            </w:r>
            <w:bookmarkEnd w:id="8"/>
            <w:r>
              <w:rPr>
                <w:rFonts w:hint="eastAsia" w:ascii="CG Times (WN)"/>
                <w:b/>
                <w:color w:val="000000" w:themeColor="text1"/>
                <w:sz w:val="28"/>
                <w:highlight w:val="none"/>
                <w:lang w:val="en-US" w:eastAsia="zh-CN"/>
                <w14:textFill>
                  <w14:solidFill>
                    <w14:schemeClr w14:val="tx1"/>
                  </w14:solidFill>
                </w14:textFill>
              </w:rPr>
              <w:t>97</w:t>
            </w: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rFonts w:hint="eastAsia" w:eastAsia="宋体"/>
                <w:b/>
                <w:lang w:eastAsia="zh-CN"/>
              </w:rPr>
            </w:pPr>
            <w:r>
              <w:rPr>
                <w:rFonts w:hint="eastAsia"/>
                <w:b/>
                <w:sz w:val="28"/>
                <w:lang w:val="en-US" w:eastAsia="zh-CN"/>
              </w:rPr>
              <w:t>1</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8</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ascii="CG Times (WN)" w:hAnsi="CG Times (WN)" w:eastAsia="Times New Roman" w:cs="Arial"/>
                <w:b/>
                <w:i/>
                <w:color w:val="FF0000"/>
              </w:rPr>
              <w:t>HELP</w:t>
            </w:r>
            <w:r>
              <w:rPr>
                <w:rStyle w:val="44"/>
                <w:rFonts w:ascii="CG Times (WN)" w:hAnsi="CG Times (WN)" w:eastAsia="Times New Roman"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ascii="CG Times (WN)" w:hAnsi="CG Times (WN)" w:eastAsia="Times New Roman" w:cs="Arial"/>
                <w:i/>
              </w:rPr>
              <w:t>http://www.3gpp.org/Change-Requests</w:t>
            </w:r>
            <w:r>
              <w:rPr>
                <w:rStyle w:val="44"/>
                <w:rFonts w:ascii="CG Times (WN)" w:hAnsi="CG Times (WN)" w:eastAsia="Times New Roman"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pPr>
            <w:r>
              <w:rPr>
                <w:rFonts w:hint="eastAsia" w:cs="Arial"/>
                <w:lang w:val="en-US" w:eastAsia="zh-CN"/>
              </w:rPr>
              <w:t>CR</w:t>
            </w:r>
            <w:r>
              <w:rPr>
                <w:rFonts w:cs="Arial"/>
              </w:rPr>
              <w:t xml:space="preserve"> </w:t>
            </w:r>
            <w:r>
              <w:rPr>
                <w:rFonts w:hint="eastAsia" w:cs="Arial"/>
                <w:lang w:val="en-US" w:eastAsia="zh-CN"/>
              </w:rPr>
              <w:t>to</w:t>
            </w:r>
            <w:r>
              <w:rPr>
                <w:rFonts w:cs="Arial"/>
              </w:rPr>
              <w:t xml:space="preserve"> TS 3</w:t>
            </w:r>
            <w:r>
              <w:rPr>
                <w:rFonts w:hint="eastAsia" w:cs="Arial"/>
                <w:lang w:val="en-US" w:eastAsia="zh-CN"/>
              </w:rPr>
              <w:t>7</w:t>
            </w:r>
            <w:r>
              <w:rPr>
                <w:rFonts w:cs="Arial"/>
              </w:rPr>
              <w:t>.114</w:t>
            </w:r>
            <w:r>
              <w:rPr>
                <w:rFonts w:hint="eastAsia" w:cs="Arial"/>
                <w:lang w:val="en-US" w:eastAsia="zh-CN"/>
              </w:rPr>
              <w:t xml:space="preserve">: </w:t>
            </w:r>
            <w:r>
              <w:rPr>
                <w:rFonts w:hint="eastAsia" w:ascii="CG Times (WN)"/>
                <w:lang w:val="en-US" w:eastAsia="zh-CN"/>
              </w:rPr>
              <w:t xml:space="preserve">Add the reverberation chamber for radiated immunity testing </w:t>
            </w:r>
            <w:r>
              <w:rPr>
                <w:rFonts w:hint="eastAsia" w:cs="Arial"/>
                <w:lang w:val="en-US" w:eastAsia="zh-CN"/>
              </w:rPr>
              <w:t>(clause 2 &amp; subclause 9.2.1)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r>
              <w:rPr>
                <w:lang w:val="en-US" w:eastAsia="zh-CN"/>
              </w:rPr>
              <w:t>, Ericsson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lang w:val="en-US" w:eastAsia="zh-CN"/>
              </w:rPr>
            </w:pPr>
            <w:r>
              <w:t>NR_newRAT-</w:t>
            </w:r>
            <w:r>
              <w:rPr>
                <w:rFonts w:hint="eastAsia"/>
                <w:lang w:val="en-US" w:eastAsia="zh-CN"/>
              </w:rPr>
              <w:t>Perf</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lang w:val="en-US" w:eastAsia="zh-CN"/>
              </w:rPr>
            </w:pPr>
            <w:r>
              <w:t>20</w:t>
            </w:r>
            <w:r>
              <w:rPr>
                <w:rFonts w:hint="eastAsia"/>
                <w:lang w:val="en-US" w:eastAsia="zh-CN"/>
              </w:rPr>
              <w:t>20</w:t>
            </w:r>
            <w:r>
              <w:t>-</w:t>
            </w:r>
            <w:r>
              <w:rPr>
                <w:rFonts w:hint="eastAsia"/>
                <w:lang w:val="en-US" w:eastAsia="zh-CN"/>
              </w:rPr>
              <w:t>05</w:t>
            </w:r>
            <w:r>
              <w:t>-</w:t>
            </w:r>
            <w:r>
              <w:rPr>
                <w:rFonts w:hint="eastAsia"/>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lang w:eastAsia="zh-CN"/>
              </w:rPr>
            </w:pPr>
            <w:r>
              <w:rPr>
                <w:rFonts w:hint="eastAsia"/>
                <w:b/>
                <w:lang w:val="en-US" w:eastAsia="zh-CN"/>
              </w:rPr>
              <w:t>F</w:t>
            </w:r>
            <w:bookmarkStart w:id="30" w:name="_GoBack"/>
            <w:bookmarkEnd w:id="30"/>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rFonts w:ascii="CG Times (WN)" w:hAnsi="CG Times (WN)" w:eastAsia="Times New Roman"/>
                <w:sz w:val="18"/>
              </w:rPr>
              <w:t>TR 21.900</w:t>
            </w:r>
            <w:r>
              <w:rPr>
                <w:rStyle w:val="44"/>
                <w:rFonts w:ascii="CG Times (WN)" w:hAnsi="CG Times (WN)" w:eastAsia="Times New Roman"/>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180"/>
              <w:ind w:left="0" w:leftChars="0" w:firstLine="200" w:firstLineChars="100"/>
              <w:rPr>
                <w:rFonts w:hint="eastAsia" w:ascii="Arial" w:hAnsi="Arial"/>
                <w:lang w:val="en-US" w:eastAsia="zh-CN"/>
              </w:rPr>
            </w:pPr>
            <w:r>
              <w:rPr>
                <w:rFonts w:hint="eastAsia" w:ascii="Arial" w:hAnsi="Arial"/>
                <w:lang w:val="en-US" w:eastAsia="zh-CN"/>
              </w:rPr>
              <w:t>This is the re-submission of endorsed draftCR in RAN4#94-bis-e:</w:t>
            </w:r>
          </w:p>
          <w:p>
            <w:pPr>
              <w:spacing w:after="180"/>
              <w:ind w:left="0" w:leftChars="0" w:firstLine="200" w:firstLineChars="100"/>
              <w:rPr>
                <w:rFonts w:hint="eastAsia"/>
                <w:lang w:val="en-US" w:eastAsia="zh-CN"/>
              </w:rPr>
            </w:pPr>
            <w:r>
              <w:rPr>
                <w:rFonts w:hint="eastAsia" w:ascii="Arial" w:hAnsi="Arial"/>
                <w:lang w:val="en-US" w:eastAsia="zh-CN"/>
              </w:rPr>
              <w:t>R4-2005563.</w:t>
            </w:r>
          </w:p>
          <w:p>
            <w:pPr>
              <w:pStyle w:val="78"/>
              <w:spacing w:after="0"/>
              <w:ind w:left="100"/>
            </w:pPr>
            <w:r>
              <w:rPr>
                <w:rFonts w:hint="eastAsia"/>
                <w:lang w:val="en-US" w:eastAsia="zh-CN"/>
              </w:rPr>
              <w:t>There is no reverberation chamber test site for radiated immunity testing.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8" w:hRule="atLeast"/>
        </w:trPr>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spacing w:after="0"/>
              <w:ind w:left="100"/>
            </w:pPr>
            <w:r>
              <w:rPr>
                <w:rFonts w:hint="eastAsia"/>
                <w:lang w:val="en-US" w:eastAsia="zh-CN"/>
              </w:rPr>
              <w:t>Added the reverberation chamber as an alternative test site for radiated immunity testing.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lang w:val="en-US"/>
              </w:rPr>
            </w:pPr>
            <w:r>
              <w:rPr>
                <w:rFonts w:hint="eastAsia"/>
                <w:lang w:val="en-US" w:eastAsia="zh-CN"/>
              </w:rPr>
              <w:t>Miss a rapid and economic test site for radiated immunity testing.</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lang w:val="en-US" w:eastAsia="zh-CN"/>
              </w:rPr>
            </w:pPr>
            <w:r>
              <w:rPr>
                <w:rFonts w:hint="eastAsia" w:ascii="CG Times (WN)" w:eastAsia="Times New Roman"/>
                <w:lang w:val="en-US" w:eastAsia="zh-CN"/>
              </w:rPr>
              <w:t>2, 9.2.1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b/>
          <w:color w:val="FF0000"/>
          <w:sz w:val="28"/>
          <w:szCs w:val="28"/>
        </w:rPr>
      </w:pPr>
      <w:bookmarkStart w:id="9" w:name="_Toc497395449"/>
      <w:bookmarkStart w:id="10" w:name="_Toc478463326"/>
      <w:bookmarkStart w:id="11" w:name="_Toc28897"/>
      <w:bookmarkStart w:id="12" w:name="_Toc16758"/>
      <w:bookmarkStart w:id="13" w:name="_Toc17336"/>
      <w:bookmarkStart w:id="14" w:name="_Toc10103"/>
      <w:bookmarkStart w:id="15" w:name="_Toc5038"/>
      <w:bookmarkStart w:id="16" w:name="_Toc6033"/>
      <w:bookmarkStart w:id="17" w:name="_Toc19201"/>
      <w:bookmarkStart w:id="18" w:name="_Toc16090"/>
      <w:bookmarkStart w:id="19" w:name="_Toc788"/>
      <w:r>
        <w:rPr>
          <w:b/>
          <w:color w:val="FF0000"/>
          <w:sz w:val="28"/>
          <w:szCs w:val="28"/>
        </w:rPr>
        <w:t xml:space="preserve">--------------Start of text </w:t>
      </w:r>
      <w:r>
        <w:rPr>
          <w:rFonts w:hint="eastAsia"/>
          <w:b/>
          <w:color w:val="FF0000"/>
          <w:sz w:val="28"/>
          <w:szCs w:val="28"/>
          <w:lang w:val="en-US" w:eastAsia="zh-CN"/>
        </w:rPr>
        <w:t>change</w:t>
      </w:r>
      <w:r>
        <w:rPr>
          <w:b/>
          <w:color w:val="FF0000"/>
          <w:sz w:val="28"/>
          <w:szCs w:val="28"/>
        </w:rPr>
        <w:t>-------------</w:t>
      </w:r>
    </w:p>
    <w:bookmarkEnd w:id="9"/>
    <w:bookmarkEnd w:id="10"/>
    <w:bookmarkEnd w:id="11"/>
    <w:bookmarkEnd w:id="12"/>
    <w:bookmarkEnd w:id="13"/>
    <w:bookmarkEnd w:id="14"/>
    <w:bookmarkEnd w:id="15"/>
    <w:bookmarkEnd w:id="16"/>
    <w:bookmarkEnd w:id="17"/>
    <w:bookmarkEnd w:id="18"/>
    <w:bookmarkEnd w:id="19"/>
    <w:p>
      <w:pPr>
        <w:pStyle w:val="2"/>
      </w:pPr>
      <w:bookmarkStart w:id="20" w:name="_Toc21020110"/>
      <w:bookmarkStart w:id="21" w:name="_Toc29763911"/>
      <w:bookmarkStart w:id="22" w:name="_Toc29763954"/>
      <w:r>
        <w:t>2</w:t>
      </w:r>
      <w:r>
        <w:tab/>
      </w:r>
      <w:r>
        <w:t>References</w:t>
      </w:r>
      <w:bookmarkEnd w:id="20"/>
      <w:bookmarkEnd w:id="21"/>
      <w:bookmarkEnd w:id="22"/>
    </w:p>
    <w:p>
      <w:r>
        <w:t>The following documents contain provisions which, through reference in this text, constitute provisions of the present document.</w:t>
      </w:r>
    </w:p>
    <w:p>
      <w:pPr>
        <w:pStyle w:val="63"/>
      </w:pPr>
      <w:r>
        <w:t>-</w:t>
      </w:r>
      <w:r>
        <w:tab/>
      </w:r>
      <w:r>
        <w:t>References are either specific (identified by date of publication, edition number, version number, etc.) or non</w:t>
      </w:r>
      <w:r>
        <w:noBreakHyphen/>
      </w:r>
      <w:r>
        <w:t>specific.</w:t>
      </w:r>
    </w:p>
    <w:p>
      <w:pPr>
        <w:pStyle w:val="63"/>
      </w:pPr>
      <w:r>
        <w:t>-</w:t>
      </w:r>
      <w:r>
        <w:tab/>
      </w:r>
      <w:r>
        <w:t>For a specific reference, subsequent revisions do not apply.</w:t>
      </w:r>
    </w:p>
    <w:p>
      <w:pPr>
        <w:pStyle w:val="6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9"/>
      </w:pPr>
      <w:r>
        <w:t>[1]</w:t>
      </w:r>
      <w:r>
        <w:tab/>
      </w:r>
      <w:r>
        <w:t>3GPP TR 21.905: "Vocabulary for 3GPP Specifications".</w:t>
      </w:r>
    </w:p>
    <w:p>
      <w:pPr>
        <w:pStyle w:val="69"/>
      </w:pPr>
      <w:r>
        <w:t>[2]</w:t>
      </w:r>
      <w:r>
        <w:tab/>
      </w:r>
      <w:r>
        <w:t>3GPP TS 37.105: "Active Antenna System (AAS) Base Station (BS) transmission and reception".</w:t>
      </w:r>
    </w:p>
    <w:p>
      <w:pPr>
        <w:pStyle w:val="69"/>
      </w:pPr>
      <w:r>
        <w:t>[3]</w:t>
      </w:r>
      <w:r>
        <w:tab/>
      </w:r>
      <w:r>
        <w:t>3GPP TS 37.145-1: "Active Antenna System (AAS) Base Station (BS) conformance testing; Part 1: Conducted conformance testing".</w:t>
      </w:r>
    </w:p>
    <w:p>
      <w:pPr>
        <w:pStyle w:val="69"/>
      </w:pPr>
      <w:r>
        <w:t>[4]</w:t>
      </w:r>
      <w:r>
        <w:tab/>
      </w:r>
      <w:r>
        <w:t>3GPP TS 37.113: "E-UTRA, UTRA and GSM/EDGE; Multi-Standard Radio (MSR) Base Station (BS) Electromagnetic Compatibility (EMC)".</w:t>
      </w:r>
    </w:p>
    <w:p>
      <w:pPr>
        <w:pStyle w:val="69"/>
      </w:pPr>
      <w:r>
        <w:t>[5]</w:t>
      </w:r>
      <w:r>
        <w:tab/>
      </w:r>
      <w:r>
        <w:t>3GPP TS 25.113: "Base Station (BS) and repeater ElectroMagnetic Compatibility (EMC)".</w:t>
      </w:r>
    </w:p>
    <w:p>
      <w:pPr>
        <w:pStyle w:val="69"/>
      </w:pPr>
      <w:r>
        <w:t>[6]</w:t>
      </w:r>
      <w:r>
        <w:tab/>
      </w:r>
      <w:r>
        <w:t>3GPP TS 36.113: "Evolved Universal Terrestrial Radio Access (E-UTRA); Base Station (BS) and repeater ElectroMagnetic Compatibility (EMC)".</w:t>
      </w:r>
    </w:p>
    <w:p>
      <w:pPr>
        <w:pStyle w:val="69"/>
      </w:pPr>
      <w:r>
        <w:t>[7]</w:t>
      </w:r>
      <w:r>
        <w:tab/>
      </w:r>
      <w:r>
        <w:t>IEC 61000-6-1: 2016: "Electromagnetic compatibility (EMC) - Part 6-1: Generic standards - Immunity standard for residential, commercial and light-industrial environments".</w:t>
      </w:r>
    </w:p>
    <w:p>
      <w:pPr>
        <w:pStyle w:val="69"/>
      </w:pPr>
      <w:r>
        <w:t>[8]</w:t>
      </w:r>
      <w:r>
        <w:tab/>
      </w:r>
      <w:r>
        <w:t>IEC 61000-6-3: 2006/AMD1:2010: "Electromagnetic compatibility (EMC) - Part 6-3: Generic standards</w:t>
      </w:r>
      <w:r>
        <w:rPr>
          <w:rFonts w:cs="v4.2.0"/>
        </w:rPr>
        <w:t xml:space="preserve"> </w:t>
      </w:r>
      <w:r>
        <w:t>- Emission standard for residential, commercial and light-industrial environments".</w:t>
      </w:r>
    </w:p>
    <w:p>
      <w:pPr>
        <w:pStyle w:val="69"/>
      </w:pPr>
      <w:r>
        <w:t>[9]</w:t>
      </w:r>
      <w:r>
        <w:tab/>
      </w:r>
      <w:r>
        <w:t>3GPP TR 37.842: "Radio Frequency (RF) requirement background for Active Antenna System (AAS) Base Station (BS)".</w:t>
      </w:r>
    </w:p>
    <w:p>
      <w:pPr>
        <w:pStyle w:val="69"/>
      </w:pPr>
      <w:r>
        <w:t>[10]</w:t>
      </w:r>
      <w:r>
        <w:tab/>
      </w:r>
      <w:r>
        <w:t>3GPP TS 37.145-2: "Active Antenna System (AAS) Base Station (BS) conformance testing; Part 2: radiated conformance testing".</w:t>
      </w:r>
    </w:p>
    <w:p>
      <w:pPr>
        <w:pStyle w:val="69"/>
        <w:rPr>
          <w:lang w:val="en-US"/>
        </w:rPr>
      </w:pPr>
      <w:r>
        <w:t>[11]</w:t>
      </w:r>
      <w:r>
        <w:tab/>
      </w:r>
      <w:r>
        <w:t>IEC 61000-3-2: 2014: "Electromagnetic compatibility (EMC) - Part 3-2: Limits - Limits for harmonic current emissions (equipment input current ≤ 16 A per phase)".</w:t>
      </w:r>
    </w:p>
    <w:p>
      <w:pPr>
        <w:pStyle w:val="69"/>
        <w:rPr>
          <w:lang w:val="en-US"/>
        </w:rPr>
      </w:pPr>
      <w:r>
        <w:t>[12]</w:t>
      </w:r>
      <w:r>
        <w:tab/>
      </w:r>
      <w:r>
        <w:t>IEC 61000-3-3: 2013: "Electromagnetic compatibility (EMC) - Part 3-3: Limits - Limitation of voltage changes, voltage fluctuations and flicker in public low-voltage supply systems, for equipment with rated current ≤ 16 A per phase and not subject to conditional connection".</w:t>
      </w:r>
    </w:p>
    <w:p>
      <w:pPr>
        <w:pStyle w:val="69"/>
        <w:rPr>
          <w:lang w:val="en-US"/>
        </w:rPr>
      </w:pPr>
      <w:r>
        <w:t>[13]</w:t>
      </w:r>
      <w:r>
        <w:tab/>
      </w:r>
      <w:r>
        <w:t>IEC 61000-3-11: 2017 "Electromagnetic compatibility (EMC) - Part 3-11: Limits - Limitation of voltage changes, voltage fluctuations and flicker in public low-voltage supply systems - Equipment with rated current ≤ 75 A and subject to conditional connection".</w:t>
      </w:r>
    </w:p>
    <w:p>
      <w:pPr>
        <w:pStyle w:val="69"/>
        <w:rPr>
          <w:lang w:val="en-US"/>
        </w:rPr>
      </w:pPr>
      <w:r>
        <w:t>[14]</w:t>
      </w:r>
      <w:r>
        <w:tab/>
      </w:r>
      <w:r>
        <w:t>IEC 61000-3-12: 2011: "Electromagnetic compatibility (EMC) - Part 3-12: Limits - Limits for harmonic currents produced by equipment connected to public low-voltage systems with input current &gt;16 A and ≤ 75 A per phase".</w:t>
      </w:r>
    </w:p>
    <w:p>
      <w:pPr>
        <w:pStyle w:val="69"/>
        <w:rPr>
          <w:lang w:val="en-US"/>
        </w:rPr>
      </w:pPr>
      <w:r>
        <w:t>[15]</w:t>
      </w:r>
      <w:r>
        <w:tab/>
      </w:r>
      <w:r>
        <w:t>IEC 61000-4-2: 2008: "Electromagnetic compatibility (EMC) - Part 4-2: Testing and measurement techniques - Electrostatic discharge immunity test".</w:t>
      </w:r>
    </w:p>
    <w:p>
      <w:pPr>
        <w:pStyle w:val="69"/>
        <w:rPr>
          <w:lang w:val="en-US"/>
        </w:rPr>
      </w:pPr>
      <w:r>
        <w:t>[16]</w:t>
      </w:r>
      <w:r>
        <w:tab/>
      </w:r>
      <w:r>
        <w:t>IEC 61000-4-3: 2006+AMD1:2007+AMD2:2010: "Electromagnetic compatibility (EMC) - Part 4-3: Testing and measurement techniques - Radiated, radio-frequency, electromagnetic field immunity test".</w:t>
      </w:r>
    </w:p>
    <w:p>
      <w:pPr>
        <w:pStyle w:val="69"/>
        <w:rPr>
          <w:lang w:val="en-US"/>
        </w:rPr>
      </w:pPr>
      <w:r>
        <w:t>[17]</w:t>
      </w:r>
      <w:r>
        <w:tab/>
      </w:r>
      <w:r>
        <w:t>IEC 61000-4-4: 2012: "Electromagnetic compatibility (EMC) – Part 4-4: Testing and measurement techniques – Electrical fast transient/burst immunity test".</w:t>
      </w:r>
    </w:p>
    <w:p>
      <w:pPr>
        <w:pStyle w:val="69"/>
        <w:rPr>
          <w:lang w:val="en-US"/>
        </w:rPr>
      </w:pPr>
      <w:r>
        <w:t>[18]</w:t>
      </w:r>
      <w:r>
        <w:tab/>
      </w:r>
      <w:r>
        <w:t>IEC 61000-4-5: 2014+AMD1:2017: "Electromagnetic compatibility (EMC) - Part 4-5: Testing and measurement techniques - Surge immunity test".</w:t>
      </w:r>
    </w:p>
    <w:p>
      <w:pPr>
        <w:pStyle w:val="69"/>
        <w:rPr>
          <w:lang w:val="en-US"/>
        </w:rPr>
      </w:pPr>
      <w:r>
        <w:t>[19]</w:t>
      </w:r>
      <w:r>
        <w:tab/>
      </w:r>
      <w:r>
        <w:t>IEC 61000-4-6: 2013: "Electromagnetic compatibility (EMC) - Part 4-6: Testing and measurement techniques - Immunity to conducted disturbances, induced by radio-frequency fields".</w:t>
      </w:r>
    </w:p>
    <w:p>
      <w:pPr>
        <w:pStyle w:val="69"/>
      </w:pPr>
      <w:r>
        <w:t>[20]</w:t>
      </w:r>
      <w:r>
        <w:tab/>
      </w:r>
      <w:r>
        <w:t>IEC 61000-4-11: 2004+AMD1:2017: "Electromagnetic compatibility (EMC) - Part 4-11: Testing and measurement techniques - Voltage dips, short interruptions and voltage variations immunity tests".</w:t>
      </w:r>
    </w:p>
    <w:p>
      <w:pPr>
        <w:pStyle w:val="69"/>
      </w:pPr>
      <w:r>
        <w:t>[21]</w:t>
      </w:r>
      <w:r>
        <w:tab/>
      </w:r>
      <w:r>
        <w:t>ETSI EN 301 489-1: "Electromagnetic compatibility and Radio spectrum Matters (ERM); ElectroMagnetic Compatibility (EMC) standard for radio equipment and services; Part 1: Common technical requirements".</w:t>
      </w:r>
    </w:p>
    <w:p>
      <w:pPr>
        <w:pStyle w:val="69"/>
      </w:pPr>
      <w:r>
        <w:t>[22]</w:t>
      </w:r>
      <w:r>
        <w:tab/>
      </w:r>
      <w:r>
        <w:rPr>
          <w:lang w:eastAsia="en-GB"/>
        </w:rPr>
        <w:t>Void</w:t>
      </w:r>
    </w:p>
    <w:p>
      <w:pPr>
        <w:pStyle w:val="69"/>
        <w:rPr>
          <w:lang w:eastAsia="en-GB"/>
        </w:rPr>
      </w:pPr>
      <w:r>
        <w:t>[23]</w:t>
      </w:r>
      <w:r>
        <w:tab/>
      </w:r>
      <w:r>
        <w:rPr>
          <w:lang w:eastAsia="en-GB"/>
        </w:rPr>
        <w:t>Void</w:t>
      </w:r>
    </w:p>
    <w:p>
      <w:pPr>
        <w:pStyle w:val="69"/>
        <w:rPr>
          <w:lang w:eastAsia="en-GB"/>
        </w:rPr>
      </w:pPr>
      <w:r>
        <w:rPr>
          <w:lang w:eastAsia="en-GB"/>
        </w:rPr>
        <w:t>[24]</w:t>
      </w:r>
      <w:r>
        <w:rPr>
          <w:lang w:eastAsia="en-GB"/>
        </w:rPr>
        <w:tab/>
      </w:r>
      <w:r>
        <w:rPr>
          <w:lang w:eastAsia="en-GB"/>
        </w:rPr>
        <w:t xml:space="preserve">ITU-R SM.329-10: </w:t>
      </w:r>
      <w:r>
        <w:t>"Unwanted emissions in the spurious domain".</w:t>
      </w:r>
    </w:p>
    <w:p>
      <w:pPr>
        <w:pStyle w:val="69"/>
      </w:pPr>
      <w:r>
        <w:rPr>
          <w:lang w:eastAsia="en-GB"/>
        </w:rPr>
        <w:t>[25]</w:t>
      </w:r>
      <w:r>
        <w:rPr>
          <w:lang w:eastAsia="en-GB"/>
        </w:rPr>
        <w:tab/>
      </w:r>
      <w:r>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pPr>
        <w:pStyle w:val="69"/>
      </w:pPr>
      <w:r>
        <w:t>[26]</w:t>
      </w:r>
      <w:r>
        <w:tab/>
      </w:r>
      <w:r>
        <w:t>3GPP TS 25.102: "User Equipment (UE) radio transmission and reception (TDD)".</w:t>
      </w:r>
    </w:p>
    <w:p>
      <w:pPr>
        <w:pStyle w:val="69"/>
      </w:pPr>
      <w:r>
        <w:t>[27]</w:t>
      </w:r>
      <w:r>
        <w:tab/>
      </w:r>
      <w:r>
        <w:t>3GPP TS 25.101: "User Equipment (UE) radio transmission and reception (FDD)".</w:t>
      </w:r>
    </w:p>
    <w:p>
      <w:pPr>
        <w:pStyle w:val="69"/>
      </w:pPr>
      <w:r>
        <w:t>[28]</w:t>
      </w:r>
      <w:r>
        <w:tab/>
      </w:r>
      <w:r>
        <w:t>3GPP TS 36.101: "Evolved Universal Terrestrial Radio Access (E-UTRA); User Equipment (UE) radio transmission and reception".</w:t>
      </w:r>
    </w:p>
    <w:p>
      <w:pPr>
        <w:pStyle w:val="69"/>
      </w:pPr>
      <w:r>
        <w:t>[29]</w:t>
      </w:r>
      <w:r>
        <w:tab/>
      </w:r>
      <w:r>
        <w:t>CISPR 32: "Electromagnetic compatibility of multimedia equipment - Emission requirements".</w:t>
      </w:r>
    </w:p>
    <w:p>
      <w:pPr>
        <w:pStyle w:val="69"/>
      </w:pPr>
      <w:r>
        <w:t>[30]</w:t>
      </w:r>
      <w:r>
        <w:tab/>
      </w:r>
      <w:r>
        <w:t>3GPP TS 38.113: "NR; Base Station (BS) ElectroMagnetic Compatibility (EMC)".</w:t>
      </w:r>
    </w:p>
    <w:p>
      <w:pPr>
        <w:pStyle w:val="69"/>
      </w:pPr>
      <w:r>
        <w:rPr>
          <w:lang w:val="en-US" w:eastAsia="zh-CN"/>
        </w:rPr>
        <w:t>[31]</w:t>
      </w:r>
      <w:r>
        <w:rPr>
          <w:lang w:val="en-US" w:eastAsia="zh-CN"/>
        </w:rPr>
        <w:tab/>
      </w:r>
      <w:r>
        <w:t>3GPP TS 38.104: "NR; Base Station (BS) radio transmission and reception".</w:t>
      </w:r>
    </w:p>
    <w:p>
      <w:pPr>
        <w:pStyle w:val="69"/>
      </w:pPr>
      <w:r>
        <w:rPr>
          <w:lang w:val="en-US" w:eastAsia="zh-CN"/>
        </w:rPr>
        <w:t>[32]</w:t>
      </w:r>
      <w:r>
        <w:rPr>
          <w:lang w:val="en-US" w:eastAsia="zh-CN"/>
        </w:rPr>
        <w:tab/>
      </w:r>
      <w:r>
        <w:rPr>
          <w:lang w:val="en-US" w:eastAsia="zh-CN"/>
        </w:rPr>
        <w:t>Void</w:t>
      </w:r>
    </w:p>
    <w:p>
      <w:pPr>
        <w:pStyle w:val="69"/>
      </w:pPr>
      <w:r>
        <w:t>[33]</w:t>
      </w:r>
      <w:r>
        <w:tab/>
      </w:r>
      <w:r>
        <w:t>3GPP TS 37.104: "NR, E-UTRA, UTRA and GSM/EDGE; Multi-Standard Radio (MSR) Base Station (BS) radio transmission and reception".</w:t>
      </w:r>
    </w:p>
    <w:p>
      <w:pPr>
        <w:pStyle w:val="69"/>
        <w:rPr>
          <w:lang w:val="en-US"/>
        </w:rPr>
      </w:pPr>
      <w:r>
        <w:t>[34]</w:t>
      </w:r>
      <w:r>
        <w:tab/>
      </w:r>
      <w:r>
        <w:t>3GPP TS 38.101-4: "NR; User Equipment (UE) radio transmission and reception; Part 4: Performance requirements".</w:t>
      </w:r>
    </w:p>
    <w:p>
      <w:pPr>
        <w:keepLines/>
        <w:ind w:left="1702" w:hanging="1418"/>
        <w:rPr>
          <w:ins w:id="0" w:author="Xie(ZTE)" w:date="2020-04-05T10:14:00Z"/>
        </w:rPr>
      </w:pPr>
      <w:ins w:id="1" w:author="Xie(ZTE)" w:date="2020-04-05T10:14:00Z">
        <w:r>
          <w:rPr/>
          <w:t>[</w:t>
        </w:r>
      </w:ins>
      <w:ins w:id="2" w:author="Xie(ZTE)" w:date="2020-04-05T10:14:00Z">
        <w:r>
          <w:rPr>
            <w:rFonts w:hint="eastAsia"/>
            <w:lang w:val="en-US" w:eastAsia="zh-CN"/>
          </w:rPr>
          <w:t>35</w:t>
        </w:r>
      </w:ins>
      <w:ins w:id="3" w:author="Xie(ZTE)" w:date="2020-04-05T10:14:00Z">
        <w:r>
          <w:rPr/>
          <w:t>]</w:t>
        </w:r>
      </w:ins>
      <w:ins w:id="4" w:author="Xie(ZTE)" w:date="2020-04-05T10:14:00Z">
        <w:r>
          <w:rPr/>
          <w:tab/>
        </w:r>
      </w:ins>
      <w:ins w:id="5" w:author="Xie(ZTE)" w:date="2020-04-05T10:14:00Z">
        <w:r>
          <w:rPr/>
          <w:t>IEC 61000-4-</w:t>
        </w:r>
      </w:ins>
      <w:ins w:id="6" w:author="Xie(ZTE)" w:date="2020-04-05T10:14:00Z">
        <w:r>
          <w:rPr>
            <w:rFonts w:hint="eastAsia"/>
            <w:lang w:val="en-US" w:eastAsia="zh-CN"/>
          </w:rPr>
          <w:t>2</w:t>
        </w:r>
      </w:ins>
      <w:ins w:id="7" w:author="Xie(ZTE)" w:date="2020-04-05T10:14:00Z">
        <w:r>
          <w:rPr/>
          <w:t>1: "Electromagnetic compatibility (EMC) - Part 4-</w:t>
        </w:r>
      </w:ins>
      <w:ins w:id="8" w:author="Xie(ZTE)" w:date="2020-04-05T10:14:00Z">
        <w:r>
          <w:rPr>
            <w:rFonts w:hint="eastAsia"/>
            <w:lang w:val="en-US" w:eastAsia="zh-CN"/>
          </w:rPr>
          <w:t>2</w:t>
        </w:r>
      </w:ins>
      <w:ins w:id="9" w:author="Xie(ZTE)" w:date="2020-04-05T10:14:00Z">
        <w:r>
          <w:rPr/>
          <w:t xml:space="preserve">1: </w:t>
        </w:r>
      </w:ins>
      <w:ins w:id="10" w:author="Xie(ZTE)" w:date="2020-04-05T10:14:00Z">
        <w:r>
          <w:rPr>
            <w:rFonts w:hint="eastAsia"/>
          </w:rPr>
          <w:t>Testing and measurement techniques - Reverberation chamber test methods</w:t>
        </w:r>
      </w:ins>
      <w:ins w:id="11" w:author="Xie(ZTE)" w:date="2020-04-05T10:14:00Z">
        <w:r>
          <w:rPr/>
          <w:t>".</w:t>
        </w:r>
      </w:ins>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first</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second</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pPr>
        <w:pStyle w:val="4"/>
        <w:rPr>
          <w:lang w:eastAsia="en-GB"/>
        </w:rPr>
      </w:pPr>
      <w:bookmarkStart w:id="23" w:name="_Toc29763944"/>
      <w:bookmarkStart w:id="24" w:name="_Toc29763987"/>
      <w:bookmarkStart w:id="25" w:name="_Toc21020143"/>
      <w:r>
        <w:rPr>
          <w:lang w:eastAsia="en-GB"/>
        </w:rPr>
        <w:t>9.2.1</w:t>
      </w:r>
      <w:r>
        <w:rPr>
          <w:lang w:eastAsia="en-GB"/>
        </w:rPr>
        <w:tab/>
      </w:r>
      <w:r>
        <w:rPr>
          <w:lang w:eastAsia="en-GB"/>
        </w:rPr>
        <w:t>RF electromagnetic field, hybrid AAS BS</w:t>
      </w:r>
      <w:bookmarkEnd w:id="23"/>
      <w:bookmarkEnd w:id="24"/>
      <w:bookmarkEnd w:id="25"/>
    </w:p>
    <w:p>
      <w:pPr>
        <w:rPr>
          <w:lang w:eastAsia="en-GB"/>
        </w:rPr>
      </w:pPr>
      <w:r>
        <w:rPr>
          <w:rFonts w:cs="v4.2.0"/>
          <w:lang w:eastAsia="en-GB"/>
        </w:rPr>
        <w:t xml:space="preserve">This test assesses the ability of radio equipment to operate as intended in the presence of a radio frequency electromagnetic field disturbance at the enclosure. </w:t>
      </w:r>
      <w:r>
        <w:rPr>
          <w:lang w:eastAsia="en-GB"/>
        </w:rPr>
        <w:t xml:space="preserve">This test is applicable to </w:t>
      </w:r>
      <w:r>
        <w:rPr>
          <w:i/>
          <w:lang w:eastAsia="en-GB"/>
        </w:rPr>
        <w:t>hybrid AAS BS</w:t>
      </w:r>
      <w:r>
        <w:rPr>
          <w:lang w:eastAsia="en-GB"/>
        </w:rPr>
        <w:t xml:space="preserve"> and shall be performed on a representative configuration of the </w:t>
      </w:r>
      <w:r>
        <w:rPr>
          <w:i/>
          <w:lang w:eastAsia="en-GB"/>
        </w:rPr>
        <w:t>hybrid AAS BS</w:t>
      </w:r>
      <w:r>
        <w:rPr>
          <w:lang w:eastAsia="en-GB"/>
        </w:rPr>
        <w:t>.</w:t>
      </w:r>
    </w:p>
    <w:p>
      <w:r>
        <w:t xml:space="preserve">The test method and levels shall be in accordance with </w:t>
      </w:r>
      <w:r>
        <w:rPr>
          <w:rFonts w:cs="v4.2.0"/>
        </w:rPr>
        <w:t>IEC 61000</w:t>
      </w:r>
      <w:r>
        <w:rPr>
          <w:rFonts w:cs="v4.2.0"/>
        </w:rPr>
        <w:noBreakHyphen/>
      </w:r>
      <w:r>
        <w:rPr>
          <w:rFonts w:cs="v4.2.0"/>
        </w:rPr>
        <w:t>4</w:t>
      </w:r>
      <w:r>
        <w:rPr>
          <w:rFonts w:cs="v4.2.0"/>
        </w:rPr>
        <w:noBreakHyphen/>
      </w:r>
      <w:r>
        <w:rPr>
          <w:rFonts w:cs="v4.2.0"/>
        </w:rPr>
        <w:t>3 [16]</w:t>
      </w:r>
      <w:r>
        <w:rPr>
          <w:rFonts w:hint="eastAsia" w:cs="v4.2.0"/>
          <w:lang w:val="en-US" w:eastAsia="zh-CN"/>
        </w:rPr>
        <w:t xml:space="preserve"> </w:t>
      </w:r>
      <w:r>
        <w:t xml:space="preserve">as captured in TS 25.113 [5], TS 36.113 [6], TS 38.113 [30] and TS 37.113 [4] for UTRA, E-UTRA, NR and MSR, respectively. </w:t>
      </w:r>
      <w:ins w:id="12" w:author="ZTE 2nd" w:date="2020-06-01T15:57:32Z">
        <w:r>
          <w:rPr/>
          <w:t>The u</w:t>
        </w:r>
      </w:ins>
      <w:ins w:id="13" w:author="ZTE 2nd" w:date="2020-06-01T15:57:32Z">
        <w:r>
          <w:rPr>
            <w:lang w:eastAsia="sv-SE"/>
          </w:rPr>
          <w:t>se of reverberation chamber test method according to IEC 61000-4-21 [35], clause 6.1 and Annex D as alternative method is allowed.</w:t>
        </w:r>
      </w:ins>
    </w:p>
    <w:p>
      <w:pPr>
        <w:keepNext/>
        <w:keepLines/>
        <w:overflowPunct w:val="0"/>
        <w:autoSpaceDE w:val="0"/>
        <w:autoSpaceDN w:val="0"/>
        <w:adjustRightInd w:val="0"/>
        <w:spacing w:before="120" w:line="240" w:lineRule="auto"/>
        <w:ind w:left="1134" w:hanging="1134"/>
        <w:textAlignment w:val="baseline"/>
        <w:outlineLvl w:val="2"/>
        <w:rPr>
          <w:rFonts w:ascii="Arial" w:hAnsi="Arial" w:eastAsia="Malgun Gothic"/>
          <w:sz w:val="28"/>
          <w:lang w:eastAsia="en-GB"/>
        </w:rPr>
      </w:pPr>
      <w:bookmarkStart w:id="26" w:name="_Toc29763945"/>
      <w:bookmarkStart w:id="27" w:name="_Toc29763988"/>
      <w:bookmarkStart w:id="28" w:name="_Toc21020144"/>
      <w:r>
        <w:rPr>
          <w:rFonts w:ascii="Arial" w:hAnsi="Arial" w:eastAsia="Malgun Gothic"/>
          <w:sz w:val="28"/>
          <w:lang w:eastAsia="en-GB"/>
        </w:rPr>
        <w:t>9.2.2</w:t>
      </w:r>
      <w:r>
        <w:rPr>
          <w:rFonts w:ascii="Arial" w:hAnsi="Arial" w:eastAsia="Malgun Gothic"/>
          <w:sz w:val="28"/>
          <w:lang w:eastAsia="en-GB"/>
        </w:rPr>
        <w:tab/>
      </w:r>
      <w:r>
        <w:rPr>
          <w:rFonts w:ascii="Arial" w:hAnsi="Arial" w:eastAsia="Malgun Gothic"/>
          <w:sz w:val="28"/>
          <w:lang w:eastAsia="en-GB"/>
        </w:rPr>
        <w:t>RF electromagnetic field, OTA AAS BS</w:t>
      </w:r>
      <w:bookmarkEnd w:id="26"/>
      <w:bookmarkEnd w:id="27"/>
      <w:bookmarkEnd w:id="28"/>
    </w:p>
    <w:p>
      <w:pPr>
        <w:rPr>
          <w:lang w:eastAsia="en-GB"/>
        </w:rPr>
      </w:pPr>
      <w:r>
        <w:rPr>
          <w:rFonts w:cs="v4.2.0"/>
          <w:lang w:eastAsia="en-GB"/>
        </w:rPr>
        <w:t xml:space="preserve">This test assesses the ability of radio equipment operate as intended in the presence of a radio frequency electromagnetic field disturbance at the enclosure. </w:t>
      </w:r>
      <w:r>
        <w:rPr>
          <w:lang w:eastAsia="en-GB"/>
        </w:rPr>
        <w:t>The OTA AAS BS includes an antenna which is an intentional radiator and does not form part of the EMC enclosure, application of RF electromagnetic fields in these directions may damage the BS receivers unintentionally.</w:t>
      </w:r>
    </w:p>
    <w:p>
      <w:pPr>
        <w:rPr>
          <w:lang w:val="en-US" w:eastAsia="zh-CN"/>
        </w:rPr>
      </w:pPr>
      <w:r>
        <w:rPr>
          <w:lang w:eastAsia="en-GB"/>
        </w:rPr>
        <w:t xml:space="preserve">In the operational range of angles of the OTA AAS BS antenna receivers are protected by the RF blocking requirements defined </w:t>
      </w:r>
      <w:r>
        <w:rPr>
          <w:rFonts w:hint="eastAsia"/>
          <w:lang w:val="en-US" w:eastAsia="zh-CN"/>
        </w:rPr>
        <w:t>in TS 37.105</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37.145-2</w:t>
      </w:r>
      <w:r>
        <w:rPr>
          <w:lang w:val="en-US" w:eastAsia="zh-CN"/>
        </w:rPr>
        <w:t xml:space="preserve"> </w:t>
      </w:r>
      <w:r>
        <w:rPr>
          <w:rFonts w:hint="eastAsia"/>
          <w:lang w:val="en-US" w:eastAsia="zh-CN"/>
        </w:rPr>
        <w:t>[</w:t>
      </w:r>
      <w:r>
        <w:rPr>
          <w:lang w:val="en-US" w:eastAsia="zh-CN"/>
        </w:rPr>
        <w:t>10</w:t>
      </w:r>
      <w:r>
        <w:rPr>
          <w:rFonts w:hint="eastAsia"/>
          <w:lang w:val="en-US" w:eastAsia="zh-CN"/>
        </w:rPr>
        <w:t>]</w:t>
      </w:r>
      <w:r>
        <w:rPr>
          <w:lang w:val="en-US" w:eastAsia="zh-CN"/>
        </w:rPr>
        <w:t xml:space="preserve"> and are not part of the EMC RF electromagnetic field immunity requirement.</w:t>
      </w:r>
    </w:p>
    <w:p>
      <w:pPr>
        <w:rPr>
          <w:lang w:val="en-US" w:eastAsia="zh-CN"/>
        </w:rPr>
      </w:pPr>
      <w:r>
        <w:rPr>
          <w:lang w:eastAsia="en-GB"/>
        </w:rPr>
        <w:t xml:space="preserve">In the range of angles except the operational range of angles of the OTA AAS BS antenna (i.e. except for the half sphere around the DUT radiating direction as depicted on figure 9.2.2-1) and </w:t>
      </w:r>
      <w:r>
        <w:rPr>
          <w:lang w:val="en-US" w:eastAsia="zh-CN"/>
        </w:rPr>
        <w:t>for the frequency range above 690 MHz (according to the test method in ETSI EN 301 489-50 [25])</w:t>
      </w:r>
      <w:r>
        <w:rPr>
          <w:lang w:eastAsia="en-GB"/>
        </w:rPr>
        <w:t xml:space="preserve">, the </w:t>
      </w:r>
      <w:r>
        <w:rPr>
          <w:lang w:val="en-US" w:eastAsia="zh-CN"/>
        </w:rPr>
        <w:t xml:space="preserve">EMC RF electromagnetic field immunity requirement applies. </w:t>
      </w:r>
    </w:p>
    <w:p>
      <w:pPr>
        <w:rPr>
          <w:ins w:id="14" w:author="ZTE 2nd" w:date="2020-06-01T15:57:16Z"/>
          <w:lang w:eastAsia="sv-SE"/>
        </w:rPr>
      </w:pPr>
      <w:ins w:id="15" w:author="ZTE 2nd" w:date="2020-06-01T15:57:16Z">
        <w:r>
          <w:rPr/>
          <w:t>When no spatial exclusion is implemented the u</w:t>
        </w:r>
      </w:ins>
      <w:ins w:id="16" w:author="ZTE 2nd" w:date="2020-06-01T15:57:16Z">
        <w:r>
          <w:rPr>
            <w:lang w:eastAsia="sv-SE"/>
          </w:rPr>
          <w:t>se of reverberation chamber test method according to IEC 61000-4-21 [35], clause 6.1 and Annex D as alternative method is allowed</w:t>
        </w:r>
      </w:ins>
    </w:p>
    <w:p>
      <w:pPr>
        <w:overflowPunct w:val="0"/>
        <w:autoSpaceDE w:val="0"/>
        <w:autoSpaceDN w:val="0"/>
        <w:adjustRightInd w:val="0"/>
        <w:spacing w:line="240" w:lineRule="auto"/>
        <w:textAlignment w:val="baseline"/>
        <w:rPr>
          <w:rFonts w:eastAsia="Malgun Gothic"/>
          <w:lang w:eastAsia="zh-CN"/>
        </w:rPr>
      </w:pPr>
    </w:p>
    <w:p>
      <w:pPr>
        <w:keepNext/>
        <w:keepLines/>
        <w:overflowPunct w:val="0"/>
        <w:autoSpaceDE w:val="0"/>
        <w:autoSpaceDN w:val="0"/>
        <w:adjustRightInd w:val="0"/>
        <w:spacing w:before="60" w:line="240" w:lineRule="auto"/>
        <w:jc w:val="center"/>
        <w:textAlignment w:val="baseline"/>
        <w:rPr>
          <w:rFonts w:ascii="Arial" w:hAnsi="Arial" w:eastAsia="Malgun Gothic"/>
          <w:b/>
          <w:lang w:val="en-US"/>
        </w:rPr>
      </w:pPr>
      <w:r>
        <w:rPr>
          <w:rFonts w:ascii="Arial" w:hAnsi="Arial" w:eastAsia="Malgun Gothic"/>
          <w:b/>
          <w:lang w:val="en-US" w:eastAsia="zh-CN"/>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cstate="print"/>
                    <a:srcRect/>
                    <a:stretch>
                      <a:fillRect/>
                    </a:stretch>
                  </pic:blipFill>
                  <pic:spPr>
                    <a:xfrm>
                      <a:off x="0" y="0"/>
                      <a:ext cx="4373880" cy="3390900"/>
                    </a:xfrm>
                    <a:prstGeom prst="rect">
                      <a:avLst/>
                    </a:prstGeom>
                    <a:noFill/>
                    <a:ln w="9525">
                      <a:noFill/>
                      <a:miter lim="800000"/>
                      <a:headEnd/>
                      <a:tailEnd/>
                    </a:ln>
                  </pic:spPr>
                </pic:pic>
              </a:graphicData>
            </a:graphic>
          </wp:inline>
        </w:drawing>
      </w:r>
    </w:p>
    <w:p>
      <w:pPr>
        <w:keepLines/>
        <w:overflowPunct w:val="0"/>
        <w:autoSpaceDE w:val="0"/>
        <w:autoSpaceDN w:val="0"/>
        <w:adjustRightInd w:val="0"/>
        <w:spacing w:after="240" w:line="240" w:lineRule="auto"/>
        <w:jc w:val="center"/>
        <w:textAlignment w:val="baseline"/>
        <w:rPr>
          <w:rFonts w:ascii="Arial" w:hAnsi="Arial" w:eastAsia="Malgun Gothic"/>
          <w:b/>
          <w:lang w:eastAsia="zh-CN"/>
        </w:rPr>
      </w:pPr>
      <w:r>
        <w:rPr>
          <w:rFonts w:ascii="Arial" w:hAnsi="Arial" w:eastAsia="Malgun Gothic"/>
          <w:b/>
          <w:lang w:eastAsia="zh-CN"/>
        </w:rPr>
        <w:t>Figure 9.2.</w:t>
      </w:r>
      <w:r>
        <w:rPr>
          <w:rFonts w:ascii="Arial" w:hAnsi="Arial" w:eastAsia="Malgun Gothic"/>
          <w:b/>
          <w:lang w:val="en-US" w:eastAsia="zh-CN"/>
        </w:rPr>
        <w:t>2</w:t>
      </w:r>
      <w:r>
        <w:rPr>
          <w:rFonts w:ascii="Arial" w:hAnsi="Arial" w:eastAsia="Malgun Gothic"/>
          <w:b/>
          <w:lang w:eastAsia="zh-CN"/>
        </w:rPr>
        <w:t>-1</w:t>
      </w:r>
      <w:r>
        <w:rPr>
          <w:rFonts w:ascii="Arial" w:hAnsi="Arial" w:eastAsia="Malgun Gothic"/>
          <w:b/>
          <w:lang w:eastAsia="zh-CN"/>
        </w:rPr>
        <w:tab/>
      </w:r>
      <w:r>
        <w:rPr>
          <w:rFonts w:ascii="Arial" w:hAnsi="Arial" w:eastAsia="Malgun Gothic"/>
          <w:b/>
          <w:lang w:eastAsia="zh-CN"/>
        </w:rPr>
        <w:t xml:space="preserve">EMC RF electromagnetic field immunity requirement </w:t>
      </w:r>
      <w:r>
        <w:rPr>
          <w:rFonts w:ascii="Arial" w:hAnsi="Arial" w:eastAsia="Malgun Gothic"/>
          <w:b/>
          <w:lang w:val="en-US" w:eastAsia="zh-CN"/>
        </w:rPr>
        <w:t xml:space="preserve">testing directions for OTA AAS BS </w:t>
      </w:r>
      <w:r>
        <w:rPr>
          <w:rFonts w:ascii="Arial" w:hAnsi="Arial" w:eastAsia="Malgun Gothic"/>
          <w:b/>
          <w:lang w:val="en-US"/>
        </w:rPr>
        <w:t xml:space="preserve">(horizontal plane depicted) with the </w:t>
      </w:r>
      <w:r>
        <w:rPr>
          <w:rFonts w:ascii="Arial" w:hAnsi="Arial" w:eastAsia="Malgun Gothic"/>
          <w:b/>
          <w:i/>
          <w:lang w:val="en-US"/>
        </w:rPr>
        <w:t>spatial exclusion zone</w:t>
      </w:r>
      <w:r>
        <w:rPr>
          <w:rFonts w:ascii="Arial" w:hAnsi="Arial" w:eastAsia="Malgun Gothic"/>
          <w:b/>
          <w:lang w:val="en-US"/>
        </w:rPr>
        <w:t xml:space="preserve"> applied</w:t>
      </w:r>
    </w:p>
    <w:p>
      <w:pPr>
        <w:overflowPunct w:val="0"/>
        <w:autoSpaceDE w:val="0"/>
        <w:autoSpaceDN w:val="0"/>
        <w:adjustRightInd w:val="0"/>
        <w:spacing w:line="240" w:lineRule="auto"/>
        <w:textAlignment w:val="baseline"/>
        <w:rPr>
          <w:rFonts w:eastAsia="Malgun Gothic"/>
          <w:lang w:val="en-US" w:eastAsia="zh-CN"/>
        </w:rPr>
      </w:pPr>
      <w:r>
        <w:rPr>
          <w:rFonts w:eastAsia="Malgun Gothic"/>
        </w:rPr>
        <w:t xml:space="preserve">Depending on RAT capability sets supported by the OTA AAS BS, the following </w:t>
      </w:r>
      <w:r>
        <w:rPr>
          <w:rFonts w:eastAsia="Malgun Gothic"/>
          <w:lang w:eastAsia="en-GB"/>
        </w:rPr>
        <w:t xml:space="preserve">RF electromagnetic field requirements </w:t>
      </w:r>
      <w:r>
        <w:rPr>
          <w:rFonts w:eastAsia="Malgun Gothic"/>
        </w:rPr>
        <w:t xml:space="preserve">apply </w:t>
      </w:r>
      <w:r>
        <w:rPr>
          <w:rFonts w:eastAsia="Malgun Gothic"/>
          <w:lang w:val="en-US" w:eastAsia="zh-CN"/>
        </w:rPr>
        <w:t xml:space="preserve">over the range of angles </w:t>
      </w:r>
      <w:r>
        <w:rPr>
          <w:rFonts w:eastAsia="Malgun Gothic"/>
          <w:lang w:eastAsia="en-GB"/>
        </w:rPr>
        <w:t xml:space="preserve">covered by the </w:t>
      </w:r>
      <w:r>
        <w:rPr>
          <w:rFonts w:eastAsia="Malgun Gothic"/>
          <w:lang w:val="en-US" w:eastAsia="zh-CN"/>
        </w:rPr>
        <w:t>EMC RF electromagnetic field immunity requirement:</w:t>
      </w:r>
    </w:p>
    <w:p>
      <w:pPr>
        <w:overflowPunct w:val="0"/>
        <w:autoSpaceDE w:val="0"/>
        <w:autoSpaceDN w:val="0"/>
        <w:adjustRightInd w:val="0"/>
        <w:spacing w:line="240" w:lineRule="auto"/>
        <w:ind w:left="568" w:hanging="284"/>
        <w:textAlignment w:val="baseline"/>
        <w:rPr>
          <w:rFonts w:eastAsia="Malgun Gothic"/>
          <w:lang w:eastAsia="en-GB"/>
        </w:rPr>
      </w:pPr>
      <w:r>
        <w:rPr>
          <w:rFonts w:eastAsia="Malgun Gothic"/>
          <w:lang w:eastAsia="en-GB"/>
        </w:rPr>
        <w:t>-</w:t>
      </w:r>
      <w:r>
        <w:rPr>
          <w:rFonts w:eastAsia="Malgun Gothic"/>
          <w:lang w:eastAsia="en-GB"/>
        </w:rPr>
        <w:tab/>
      </w:r>
      <w:r>
        <w:rPr>
          <w:rFonts w:eastAsia="Malgun Gothic"/>
          <w:lang w:eastAsia="en-GB"/>
        </w:rPr>
        <w:t xml:space="preserve">For OTA AAS BS in </w:t>
      </w:r>
      <w:r>
        <w:rPr>
          <w:rFonts w:eastAsia="Malgun Gothic"/>
          <w:i/>
          <w:lang w:eastAsia="en-GB"/>
        </w:rPr>
        <w:t>single RAT UTRA operation</w:t>
      </w:r>
      <w:r>
        <w:rPr>
          <w:rFonts w:eastAsia="Malgun Gothic"/>
          <w:lang w:eastAsia="en-GB"/>
        </w:rPr>
        <w:t>, the RF electromagnetic field immunity requirements from TS 25.113 [5] apply.</w:t>
      </w:r>
    </w:p>
    <w:p>
      <w:pPr>
        <w:overflowPunct w:val="0"/>
        <w:autoSpaceDE w:val="0"/>
        <w:autoSpaceDN w:val="0"/>
        <w:adjustRightInd w:val="0"/>
        <w:spacing w:line="240" w:lineRule="auto"/>
        <w:ind w:left="568" w:hanging="284"/>
        <w:textAlignment w:val="baseline"/>
        <w:rPr>
          <w:rFonts w:eastAsia="Malgun Gothic"/>
          <w:lang w:eastAsia="en-GB"/>
        </w:rPr>
      </w:pPr>
      <w:r>
        <w:rPr>
          <w:rFonts w:eastAsia="Malgun Gothic"/>
          <w:lang w:eastAsia="en-GB"/>
        </w:rPr>
        <w:t>-</w:t>
      </w:r>
      <w:r>
        <w:rPr>
          <w:rFonts w:eastAsia="Malgun Gothic"/>
          <w:lang w:eastAsia="en-GB"/>
        </w:rPr>
        <w:tab/>
      </w:r>
      <w:r>
        <w:rPr>
          <w:rFonts w:eastAsia="Malgun Gothic"/>
          <w:lang w:eastAsia="en-GB"/>
        </w:rPr>
        <w:t xml:space="preserve">For OTA AAS BS in </w:t>
      </w:r>
      <w:r>
        <w:rPr>
          <w:rFonts w:eastAsia="Malgun Gothic"/>
          <w:i/>
          <w:lang w:eastAsia="en-GB"/>
        </w:rPr>
        <w:t>single RAT E-UTRA operation</w:t>
      </w:r>
      <w:r>
        <w:rPr>
          <w:rFonts w:eastAsia="Malgun Gothic"/>
          <w:lang w:eastAsia="en-GB"/>
        </w:rPr>
        <w:t>, the RF electromagnetic field immunity requirements from TS 36.113 [6] apply.</w:t>
      </w:r>
    </w:p>
    <w:p>
      <w:pPr>
        <w:overflowPunct w:val="0"/>
        <w:autoSpaceDE w:val="0"/>
        <w:autoSpaceDN w:val="0"/>
        <w:adjustRightInd w:val="0"/>
        <w:spacing w:line="240" w:lineRule="auto"/>
        <w:ind w:left="568" w:hanging="284"/>
        <w:textAlignment w:val="baseline"/>
        <w:rPr>
          <w:rFonts w:eastAsia="Malgun Gothic"/>
          <w:lang w:eastAsia="en-GB"/>
        </w:rPr>
      </w:pPr>
      <w:r>
        <w:rPr>
          <w:rFonts w:eastAsia="Malgun Gothic"/>
          <w:lang w:eastAsia="en-GB"/>
        </w:rPr>
        <w:t>-</w:t>
      </w:r>
      <w:r>
        <w:rPr>
          <w:rFonts w:eastAsia="Malgun Gothic"/>
          <w:lang w:eastAsia="en-GB"/>
        </w:rPr>
        <w:tab/>
      </w:r>
      <w:r>
        <w:rPr>
          <w:rFonts w:eastAsia="Malgun Gothic"/>
          <w:lang w:eastAsia="en-GB"/>
        </w:rPr>
        <w:t xml:space="preserve">For OTA AAS BS in </w:t>
      </w:r>
      <w:r>
        <w:rPr>
          <w:rFonts w:eastAsia="Malgun Gothic"/>
          <w:i/>
          <w:lang w:eastAsia="en-GB"/>
        </w:rPr>
        <w:t>MSR operation</w:t>
      </w:r>
      <w:r>
        <w:rPr>
          <w:rFonts w:eastAsia="Malgun Gothic"/>
          <w:lang w:eastAsia="en-GB"/>
        </w:rPr>
        <w:t>, the RF electromagnetic field immunity requirements from TS 37.113 [4] apply.</w:t>
      </w:r>
    </w:p>
    <w:p>
      <w:pPr>
        <w:overflowPunct w:val="0"/>
        <w:autoSpaceDE w:val="0"/>
        <w:autoSpaceDN w:val="0"/>
        <w:adjustRightInd w:val="0"/>
        <w:spacing w:line="240" w:lineRule="auto"/>
        <w:ind w:left="568" w:hanging="284"/>
        <w:textAlignment w:val="baseline"/>
        <w:rPr>
          <w:rFonts w:eastAsia="Malgun Gothic"/>
          <w:lang w:eastAsia="en-GB"/>
        </w:rPr>
      </w:pPr>
      <w:r>
        <w:rPr>
          <w:rFonts w:eastAsia="Malgun Gothic"/>
          <w:lang w:eastAsia="en-GB"/>
        </w:rPr>
        <w:t>-</w:t>
      </w:r>
      <w:r>
        <w:rPr>
          <w:rFonts w:eastAsia="Malgun Gothic"/>
          <w:lang w:eastAsia="en-GB"/>
        </w:rPr>
        <w:tab/>
      </w:r>
      <w:r>
        <w:rPr>
          <w:rFonts w:eastAsia="Malgun Gothic"/>
          <w:lang w:eastAsia="en-GB"/>
        </w:rPr>
        <w:t xml:space="preserve">For </w:t>
      </w:r>
      <w:bookmarkStart w:id="29" w:name="_Hlk533534083"/>
      <w:r>
        <w:rPr>
          <w:rFonts w:eastAsia="Malgun Gothic"/>
          <w:lang w:eastAsia="en-GB"/>
        </w:rPr>
        <w:t>OTA AAS BS in single RAT NR operation</w:t>
      </w:r>
      <w:bookmarkEnd w:id="29"/>
      <w:r>
        <w:rPr>
          <w:rFonts w:eastAsia="Malgun Gothic"/>
          <w:lang w:eastAsia="en-GB"/>
        </w:rPr>
        <w:t xml:space="preserve">, the </w:t>
      </w:r>
      <w:r>
        <w:rPr>
          <w:rFonts w:eastAsia="Malgun Gothic"/>
          <w:i/>
          <w:lang w:eastAsia="en-GB"/>
        </w:rPr>
        <w:t>BS type 1-O</w:t>
      </w:r>
      <w:r>
        <w:rPr>
          <w:rFonts w:eastAsia="Malgun Gothic"/>
          <w:lang w:eastAsia="en-GB"/>
        </w:rPr>
        <w:t xml:space="preserve"> requirements for the RF electromagnetic field immunity from TS 38.113 [30] apply.</w:t>
      </w:r>
    </w:p>
    <w:p>
      <w:pPr>
        <w:pStyle w:val="59"/>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ZTE)">
    <w15:presenceInfo w15:providerId="None" w15:userId="Xie(ZTE)"/>
  </w15:person>
  <w15:person w15:author="ZTE 2nd">
    <w15:presenceInfo w15:providerId="None" w15:userId="ZTE 2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F2"/>
    <w:rsid w:val="00072D49"/>
    <w:rsid w:val="000A6394"/>
    <w:rsid w:val="000C038A"/>
    <w:rsid w:val="000C6598"/>
    <w:rsid w:val="00107586"/>
    <w:rsid w:val="00145D43"/>
    <w:rsid w:val="00145EEA"/>
    <w:rsid w:val="001604FC"/>
    <w:rsid w:val="00192C46"/>
    <w:rsid w:val="0019574C"/>
    <w:rsid w:val="00197662"/>
    <w:rsid w:val="001A7B60"/>
    <w:rsid w:val="001B7A65"/>
    <w:rsid w:val="001D5432"/>
    <w:rsid w:val="001D5E74"/>
    <w:rsid w:val="001E41F3"/>
    <w:rsid w:val="0026004D"/>
    <w:rsid w:val="00275D12"/>
    <w:rsid w:val="002860C4"/>
    <w:rsid w:val="002A01CC"/>
    <w:rsid w:val="002B5741"/>
    <w:rsid w:val="002B5984"/>
    <w:rsid w:val="002D323F"/>
    <w:rsid w:val="00305409"/>
    <w:rsid w:val="003E1A36"/>
    <w:rsid w:val="004242F1"/>
    <w:rsid w:val="004B75B7"/>
    <w:rsid w:val="0051580D"/>
    <w:rsid w:val="005406EA"/>
    <w:rsid w:val="00572953"/>
    <w:rsid w:val="00592D74"/>
    <w:rsid w:val="005E2C44"/>
    <w:rsid w:val="00621188"/>
    <w:rsid w:val="006257ED"/>
    <w:rsid w:val="00625BBE"/>
    <w:rsid w:val="00695808"/>
    <w:rsid w:val="006B46FB"/>
    <w:rsid w:val="006E21FB"/>
    <w:rsid w:val="00723513"/>
    <w:rsid w:val="00792342"/>
    <w:rsid w:val="007B512A"/>
    <w:rsid w:val="007C2097"/>
    <w:rsid w:val="007C5F8A"/>
    <w:rsid w:val="007D6A07"/>
    <w:rsid w:val="00806DFE"/>
    <w:rsid w:val="008279FA"/>
    <w:rsid w:val="008626E7"/>
    <w:rsid w:val="00870EE7"/>
    <w:rsid w:val="008B0B19"/>
    <w:rsid w:val="008C6D26"/>
    <w:rsid w:val="008F686C"/>
    <w:rsid w:val="0091284D"/>
    <w:rsid w:val="009209A0"/>
    <w:rsid w:val="0095002F"/>
    <w:rsid w:val="00973D40"/>
    <w:rsid w:val="009777D9"/>
    <w:rsid w:val="00991B88"/>
    <w:rsid w:val="009A579D"/>
    <w:rsid w:val="009E3297"/>
    <w:rsid w:val="009F734F"/>
    <w:rsid w:val="00A246B6"/>
    <w:rsid w:val="00A41823"/>
    <w:rsid w:val="00A47205"/>
    <w:rsid w:val="00A47E70"/>
    <w:rsid w:val="00A7671C"/>
    <w:rsid w:val="00AD1CD8"/>
    <w:rsid w:val="00B258BB"/>
    <w:rsid w:val="00B630F2"/>
    <w:rsid w:val="00B67B97"/>
    <w:rsid w:val="00B968C8"/>
    <w:rsid w:val="00BA3EC5"/>
    <w:rsid w:val="00BB5DFC"/>
    <w:rsid w:val="00BD279D"/>
    <w:rsid w:val="00BD6BB8"/>
    <w:rsid w:val="00C84B75"/>
    <w:rsid w:val="00C95985"/>
    <w:rsid w:val="00CC5026"/>
    <w:rsid w:val="00CF7969"/>
    <w:rsid w:val="00D03F9A"/>
    <w:rsid w:val="00DE34CF"/>
    <w:rsid w:val="00EE7D7C"/>
    <w:rsid w:val="00F25D98"/>
    <w:rsid w:val="00F300FB"/>
    <w:rsid w:val="00F34EB8"/>
    <w:rsid w:val="00FB6386"/>
    <w:rsid w:val="01481B1D"/>
    <w:rsid w:val="02550384"/>
    <w:rsid w:val="02616BF6"/>
    <w:rsid w:val="030E4FD5"/>
    <w:rsid w:val="03A33019"/>
    <w:rsid w:val="03C37544"/>
    <w:rsid w:val="04984461"/>
    <w:rsid w:val="055D7CBA"/>
    <w:rsid w:val="055F322E"/>
    <w:rsid w:val="065034E0"/>
    <w:rsid w:val="06792F02"/>
    <w:rsid w:val="06D21681"/>
    <w:rsid w:val="071904FA"/>
    <w:rsid w:val="080B6A23"/>
    <w:rsid w:val="087E415B"/>
    <w:rsid w:val="08B6224F"/>
    <w:rsid w:val="095814CA"/>
    <w:rsid w:val="0A44327C"/>
    <w:rsid w:val="0B0B1E69"/>
    <w:rsid w:val="0B243AC7"/>
    <w:rsid w:val="0B6B40A8"/>
    <w:rsid w:val="0DB16C7D"/>
    <w:rsid w:val="0E6C2DBD"/>
    <w:rsid w:val="0E81201E"/>
    <w:rsid w:val="0F3B3D15"/>
    <w:rsid w:val="0F847B71"/>
    <w:rsid w:val="104C3BB9"/>
    <w:rsid w:val="12A34FCB"/>
    <w:rsid w:val="12CB4506"/>
    <w:rsid w:val="12E566FA"/>
    <w:rsid w:val="13B105B6"/>
    <w:rsid w:val="15233E81"/>
    <w:rsid w:val="15516894"/>
    <w:rsid w:val="1B912821"/>
    <w:rsid w:val="1C521E92"/>
    <w:rsid w:val="1E2F0C4D"/>
    <w:rsid w:val="1E5B16CC"/>
    <w:rsid w:val="1E9A26CC"/>
    <w:rsid w:val="22890A5F"/>
    <w:rsid w:val="22A21242"/>
    <w:rsid w:val="236D1EC7"/>
    <w:rsid w:val="244E42A3"/>
    <w:rsid w:val="24AA4087"/>
    <w:rsid w:val="258D3897"/>
    <w:rsid w:val="25D50EE4"/>
    <w:rsid w:val="29525484"/>
    <w:rsid w:val="29F4070C"/>
    <w:rsid w:val="2B58295D"/>
    <w:rsid w:val="2BC215E7"/>
    <w:rsid w:val="2C0E55BB"/>
    <w:rsid w:val="2EA71936"/>
    <w:rsid w:val="2FA1270F"/>
    <w:rsid w:val="302E4AB8"/>
    <w:rsid w:val="31A10BE3"/>
    <w:rsid w:val="34705748"/>
    <w:rsid w:val="355F1C01"/>
    <w:rsid w:val="35D850E1"/>
    <w:rsid w:val="36010C2A"/>
    <w:rsid w:val="36F953AB"/>
    <w:rsid w:val="37821110"/>
    <w:rsid w:val="38E354AB"/>
    <w:rsid w:val="392D23C3"/>
    <w:rsid w:val="3AC14878"/>
    <w:rsid w:val="3B8140D6"/>
    <w:rsid w:val="3C151509"/>
    <w:rsid w:val="3F675367"/>
    <w:rsid w:val="42A03977"/>
    <w:rsid w:val="443E7D66"/>
    <w:rsid w:val="46257D3E"/>
    <w:rsid w:val="48FE2D92"/>
    <w:rsid w:val="49270F4A"/>
    <w:rsid w:val="49AB28E6"/>
    <w:rsid w:val="4B713532"/>
    <w:rsid w:val="4B9632D3"/>
    <w:rsid w:val="4C153A14"/>
    <w:rsid w:val="4F4062A6"/>
    <w:rsid w:val="4F6717D5"/>
    <w:rsid w:val="50681AA0"/>
    <w:rsid w:val="51EA5792"/>
    <w:rsid w:val="53C446F6"/>
    <w:rsid w:val="53CF691B"/>
    <w:rsid w:val="55ED44F0"/>
    <w:rsid w:val="56E0420A"/>
    <w:rsid w:val="571B5B61"/>
    <w:rsid w:val="57AA055D"/>
    <w:rsid w:val="57C31A63"/>
    <w:rsid w:val="57CD248A"/>
    <w:rsid w:val="57FC0FE1"/>
    <w:rsid w:val="590926FD"/>
    <w:rsid w:val="59CD495F"/>
    <w:rsid w:val="5BAC7C21"/>
    <w:rsid w:val="5C526C07"/>
    <w:rsid w:val="5D0F046E"/>
    <w:rsid w:val="5E53272E"/>
    <w:rsid w:val="5EA3480E"/>
    <w:rsid w:val="5F790EA4"/>
    <w:rsid w:val="5F830422"/>
    <w:rsid w:val="60523976"/>
    <w:rsid w:val="60EB665B"/>
    <w:rsid w:val="61F17199"/>
    <w:rsid w:val="622522E7"/>
    <w:rsid w:val="648824F5"/>
    <w:rsid w:val="64C3746A"/>
    <w:rsid w:val="66FD7AB2"/>
    <w:rsid w:val="688777BB"/>
    <w:rsid w:val="68A8298C"/>
    <w:rsid w:val="69336976"/>
    <w:rsid w:val="6A100EEE"/>
    <w:rsid w:val="6A5E1C8B"/>
    <w:rsid w:val="6A644E23"/>
    <w:rsid w:val="6AB245F1"/>
    <w:rsid w:val="6B71347E"/>
    <w:rsid w:val="6CB36258"/>
    <w:rsid w:val="6DB46387"/>
    <w:rsid w:val="6EC24025"/>
    <w:rsid w:val="6ED26BB6"/>
    <w:rsid w:val="713B6270"/>
    <w:rsid w:val="71876F74"/>
    <w:rsid w:val="72877110"/>
    <w:rsid w:val="730115D7"/>
    <w:rsid w:val="735E0307"/>
    <w:rsid w:val="77C56D07"/>
    <w:rsid w:val="78BA39B7"/>
    <w:rsid w:val="78D36F63"/>
    <w:rsid w:val="78E065AA"/>
    <w:rsid w:val="7A71702D"/>
    <w:rsid w:val="7B707F0C"/>
    <w:rsid w:val="7C134890"/>
    <w:rsid w:val="7D925BD4"/>
    <w:rsid w:val="7DE24CBC"/>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49">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85"/>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spacing w:before="0" w:after="240"/>
    </w:pPr>
  </w:style>
  <w:style w:type="paragraph" w:customStyle="1" w:styleId="6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77">
    <w:name w:val="tdoc-header"/>
    <w:qFormat/>
    <w:uiPriority w:val="0"/>
    <w:pPr>
      <w:spacing w:after="160" w:line="259" w:lineRule="auto"/>
    </w:pPr>
    <w:rPr>
      <w:rFonts w:ascii="Arial" w:hAnsi="Arial" w:eastAsia="宋体" w:cs="Times New Roman"/>
      <w:sz w:val="24"/>
      <w:lang w:val="en-GB" w:eastAsia="en-US" w:bidi="ar-SA"/>
    </w:rPr>
  </w:style>
  <w:style w:type="paragraph" w:customStyle="1" w:styleId="78">
    <w:name w:val="CR Cover Page"/>
    <w:qFormat/>
    <w:uiPriority w:val="0"/>
    <w:pPr>
      <w:spacing w:after="120" w:line="259" w:lineRule="auto"/>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after="160"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 w:type="character" w:customStyle="1" w:styleId="85">
    <w:name w:val="NO Char"/>
    <w:link w:val="59"/>
    <w:qFormat/>
    <w:locked/>
    <w:uiPriority w:val="0"/>
    <w:rPr>
      <w:rFonts w:ascii="Times New Roman" w:hAnsi="Times New Roman" w:eastAsia="宋体"/>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1.emf"/><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233040-2D15-4787-8B27-A33833D42830}">
  <ds:schemaRefs/>
</ds:datastoreItem>
</file>

<file path=customXml/itemProps3.xml><?xml version="1.0" encoding="utf-8"?>
<ds:datastoreItem xmlns:ds="http://schemas.openxmlformats.org/officeDocument/2006/customXml" ds:itemID="{5E68191A-4EB0-4AA7-A3E4-7A869712E3C3}">
  <ds:schemaRefs/>
</ds:datastoreItem>
</file>

<file path=customXml/itemProps4.xml><?xml version="1.0" encoding="utf-8"?>
<ds:datastoreItem xmlns:ds="http://schemas.openxmlformats.org/officeDocument/2006/customXml" ds:itemID="{0DD1EF90-E65F-487A-88DD-DDB3C6F0FC0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1834</Words>
  <Characters>9723</Characters>
  <Lines>81</Lines>
  <Paragraphs>23</Paragraphs>
  <TotalTime>6</TotalTime>
  <ScaleCrop>false</ScaleCrop>
  <LinksUpToDate>false</LinksUpToDate>
  <CharactersWithSpaces>11534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2020-04-29T16:00:00Z</dcterms:created>
  <dc:creator>Michael Sanders, John M Meredith</dc:creator>
  <cp:lastModifiedBy>ZTE 2nd</cp:lastModifiedBy>
  <dcterms:modified xsi:type="dcterms:W3CDTF">2020-06-04T06:35:54Z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ContentTypeId">
    <vt:lpwstr>0x01010044716977384E8C46A6E5B2E20BE18D06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1588157972</vt:lpwstr>
  </property>
</Properties>
</file>