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BEBC1" w14:textId="7DBC6453" w:rsidR="005B2B8E" w:rsidRPr="005B2B8E" w:rsidRDefault="005B2B8E" w:rsidP="005B2B8E">
      <w:pPr>
        <w:ind w:left="1800" w:hanging="1800"/>
        <w:rPr>
          <w:rFonts w:asciiTheme="minorHAnsi" w:eastAsiaTheme="minorHAnsi" w:hAnsiTheme="minorHAnsi" w:cstheme="minorBidi"/>
          <w:b/>
          <w:sz w:val="28"/>
        </w:rPr>
      </w:pPr>
      <w:r w:rsidRPr="005B2B8E">
        <w:rPr>
          <w:rFonts w:asciiTheme="minorHAnsi" w:eastAsiaTheme="minorHAnsi" w:hAnsiTheme="minorHAnsi" w:cstheme="minorBidi"/>
          <w:b/>
          <w:sz w:val="28"/>
        </w:rPr>
        <w:t>3GPP TSG RAN Meeting #88e</w:t>
      </w:r>
      <w:r w:rsidRPr="005B2B8E">
        <w:rPr>
          <w:rFonts w:asciiTheme="minorHAnsi" w:eastAsiaTheme="minorHAnsi" w:hAnsiTheme="minorHAnsi" w:cstheme="minorBidi"/>
          <w:b/>
          <w:sz w:val="28"/>
        </w:rPr>
        <w:tab/>
      </w:r>
      <w:r w:rsidRPr="005B2B8E">
        <w:rPr>
          <w:rFonts w:asciiTheme="minorHAnsi" w:eastAsiaTheme="minorHAnsi" w:hAnsiTheme="minorHAnsi" w:cstheme="minorBidi"/>
          <w:b/>
          <w:sz w:val="28"/>
        </w:rPr>
        <w:tab/>
      </w:r>
      <w:r w:rsidRPr="005B2B8E">
        <w:rPr>
          <w:rFonts w:asciiTheme="minorHAnsi" w:eastAsiaTheme="minorHAnsi" w:hAnsiTheme="minorHAnsi" w:cstheme="minorBidi"/>
          <w:b/>
          <w:sz w:val="28"/>
        </w:rPr>
        <w:tab/>
      </w:r>
      <w:r w:rsidRPr="005B2B8E">
        <w:rPr>
          <w:rFonts w:asciiTheme="minorHAnsi" w:eastAsiaTheme="minorHAnsi" w:hAnsiTheme="minorHAnsi" w:cstheme="minorBidi"/>
          <w:b/>
          <w:sz w:val="28"/>
        </w:rPr>
        <w:tab/>
      </w:r>
      <w:r w:rsidRPr="005B2B8E">
        <w:rPr>
          <w:rFonts w:asciiTheme="minorHAnsi" w:eastAsiaTheme="minorHAnsi" w:hAnsiTheme="minorHAnsi" w:cstheme="minorBidi"/>
          <w:b/>
          <w:sz w:val="28"/>
        </w:rPr>
        <w:tab/>
      </w:r>
      <w:r w:rsidRPr="005B2B8E">
        <w:rPr>
          <w:rFonts w:asciiTheme="minorHAnsi" w:eastAsiaTheme="minorHAnsi" w:hAnsiTheme="minorHAnsi" w:cstheme="minorBidi"/>
          <w:b/>
          <w:sz w:val="28"/>
        </w:rPr>
        <w:tab/>
      </w:r>
      <w:r w:rsidRPr="005B2B8E">
        <w:rPr>
          <w:rFonts w:asciiTheme="minorHAnsi" w:eastAsiaTheme="minorHAnsi" w:hAnsiTheme="minorHAnsi" w:cstheme="minorBidi"/>
          <w:b/>
          <w:sz w:val="28"/>
        </w:rPr>
        <w:tab/>
      </w:r>
      <w:r w:rsidRPr="005B2B8E">
        <w:rPr>
          <w:rFonts w:asciiTheme="minorHAnsi" w:eastAsiaTheme="minorHAnsi" w:hAnsiTheme="minorHAnsi" w:cstheme="minorBidi"/>
          <w:b/>
          <w:sz w:val="28"/>
        </w:rPr>
        <w:tab/>
        <w:t>RP-20</w:t>
      </w:r>
      <w:r w:rsidR="005B3B5A">
        <w:rPr>
          <w:rFonts w:asciiTheme="minorHAnsi" w:eastAsiaTheme="minorHAnsi" w:hAnsiTheme="minorHAnsi" w:cstheme="minorBidi"/>
          <w:b/>
          <w:sz w:val="28"/>
        </w:rPr>
        <w:t>0725</w:t>
      </w:r>
    </w:p>
    <w:p w14:paraId="16D25EB6" w14:textId="77777777" w:rsidR="005B2B8E" w:rsidRDefault="005B2B8E" w:rsidP="005B2B8E">
      <w:pPr>
        <w:ind w:left="1800" w:hanging="1800"/>
        <w:rPr>
          <w:rFonts w:asciiTheme="minorHAnsi" w:eastAsiaTheme="minorHAnsi" w:hAnsiTheme="minorHAnsi" w:cstheme="minorBidi"/>
          <w:b/>
          <w:sz w:val="28"/>
        </w:rPr>
      </w:pPr>
      <w:r w:rsidRPr="005B2B8E">
        <w:rPr>
          <w:rFonts w:asciiTheme="minorHAnsi" w:eastAsiaTheme="minorHAnsi" w:hAnsiTheme="minorHAnsi" w:cstheme="minorBidi"/>
          <w:b/>
          <w:sz w:val="28"/>
        </w:rPr>
        <w:t>Electronic Meeting, June 29 - July 3, 2020</w:t>
      </w:r>
    </w:p>
    <w:p w14:paraId="45059252" w14:textId="77777777" w:rsidR="005B2B8E" w:rsidRDefault="005B2B8E" w:rsidP="005B2B8E">
      <w:pPr>
        <w:ind w:left="1800" w:hanging="1800"/>
        <w:rPr>
          <w:rFonts w:asciiTheme="minorHAnsi" w:eastAsiaTheme="minorHAnsi" w:hAnsiTheme="minorHAnsi" w:cstheme="minorBidi"/>
          <w:b/>
          <w:sz w:val="28"/>
        </w:rPr>
      </w:pPr>
    </w:p>
    <w:p w14:paraId="0A262637" w14:textId="1F882524" w:rsidR="0060603E" w:rsidRPr="00212204" w:rsidRDefault="0060603E" w:rsidP="005B2B8E">
      <w:pPr>
        <w:ind w:left="1800" w:hanging="1800"/>
        <w:rPr>
          <w:b/>
        </w:rPr>
      </w:pPr>
      <w:r w:rsidRPr="00212204">
        <w:rPr>
          <w:b/>
        </w:rPr>
        <w:t>Agenda Item:</w:t>
      </w:r>
      <w:r w:rsidRPr="00212204">
        <w:tab/>
      </w:r>
      <w:bookmarkStart w:id="0" w:name="Source"/>
      <w:bookmarkEnd w:id="0"/>
      <w:r w:rsidR="005B2B8E">
        <w:rPr>
          <w:b/>
        </w:rPr>
        <w:t>9.3.11</w:t>
      </w:r>
    </w:p>
    <w:p w14:paraId="7494BB2F" w14:textId="6F4A7D60" w:rsidR="00CE0C9D" w:rsidRPr="00212204" w:rsidRDefault="0060603E" w:rsidP="002D479B">
      <w:pPr>
        <w:ind w:left="1800" w:hanging="1800"/>
      </w:pPr>
      <w:r w:rsidRPr="00212204">
        <w:rPr>
          <w:b/>
        </w:rPr>
        <w:t>Source:</w:t>
      </w:r>
      <w:r w:rsidRPr="00212204">
        <w:rPr>
          <w:b/>
        </w:rPr>
        <w:tab/>
      </w:r>
      <w:r w:rsidR="00AB7FC6" w:rsidRPr="00212204">
        <w:rPr>
          <w:b/>
        </w:rPr>
        <w:t>AT&amp;T</w:t>
      </w:r>
      <w:r w:rsidR="00F809B2">
        <w:rPr>
          <w:b/>
        </w:rPr>
        <w:t>, Verizon</w:t>
      </w:r>
    </w:p>
    <w:p w14:paraId="08DDE48D" w14:textId="73C792EC" w:rsidR="007A0780" w:rsidRDefault="0060603E" w:rsidP="00326FF6">
      <w:pPr>
        <w:ind w:left="1800" w:hanging="1800"/>
        <w:rPr>
          <w:b/>
        </w:rPr>
      </w:pPr>
      <w:r w:rsidRPr="00212204">
        <w:rPr>
          <w:b/>
        </w:rPr>
        <w:t>Title:</w:t>
      </w:r>
      <w:r w:rsidR="002D479B" w:rsidRPr="00212204">
        <w:tab/>
      </w:r>
      <w:r w:rsidR="00A81C8D">
        <w:rPr>
          <w:b/>
        </w:rPr>
        <w:t xml:space="preserve">Discussion on IAB-node </w:t>
      </w:r>
      <w:r w:rsidR="005B2B8E">
        <w:rPr>
          <w:b/>
        </w:rPr>
        <w:t xml:space="preserve">features and </w:t>
      </w:r>
      <w:r w:rsidR="00A81C8D">
        <w:rPr>
          <w:b/>
        </w:rPr>
        <w:t>capabilit</w:t>
      </w:r>
      <w:r w:rsidR="005B2B8E">
        <w:rPr>
          <w:b/>
        </w:rPr>
        <w:t>y signaling</w:t>
      </w:r>
    </w:p>
    <w:p w14:paraId="4395AD0B" w14:textId="77777777" w:rsidR="002D479B" w:rsidRPr="000052FF" w:rsidRDefault="0060603E" w:rsidP="00326FF6">
      <w:pPr>
        <w:ind w:left="1800" w:hanging="1800"/>
        <w:rPr>
          <w:b/>
          <w:sz w:val="21"/>
          <w:szCs w:val="21"/>
        </w:rPr>
      </w:pPr>
      <w:r w:rsidRPr="00212204">
        <w:rPr>
          <w:b/>
        </w:rPr>
        <w:t>Document for:</w:t>
      </w:r>
      <w:r w:rsidRPr="00212204">
        <w:tab/>
      </w:r>
      <w:bookmarkStart w:id="1" w:name="DocumentFor"/>
      <w:bookmarkEnd w:id="1"/>
      <w:r w:rsidR="000052FF" w:rsidRPr="00212204">
        <w:rPr>
          <w:b/>
        </w:rPr>
        <w:t>Discussion/</w:t>
      </w:r>
      <w:r w:rsidRPr="00212204">
        <w:rPr>
          <w:b/>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58241776" w:rsidR="0051424F" w:rsidRDefault="003327F3" w:rsidP="003327F3">
      <w:pPr>
        <w:pStyle w:val="BodyText"/>
      </w:pPr>
      <w:r>
        <w:t xml:space="preserve">This contribution </w:t>
      </w:r>
      <w:r w:rsidR="000F5260">
        <w:t xml:space="preserve">discusses </w:t>
      </w:r>
      <w:r w:rsidR="00222BA5">
        <w:t xml:space="preserve">the </w:t>
      </w:r>
      <w:r w:rsidR="005B2B8E">
        <w:t xml:space="preserve">remaining open issues for mandatory/optional </w:t>
      </w:r>
      <w:r w:rsidR="00905914">
        <w:t xml:space="preserve">support of Rel-15 </w:t>
      </w:r>
      <w:r w:rsidR="005B2B8E">
        <w:t>and Rel-16</w:t>
      </w:r>
      <w:r w:rsidR="00905914">
        <w:t xml:space="preserve"> features by</w:t>
      </w:r>
      <w:r w:rsidR="00222BA5">
        <w:t xml:space="preserve"> IAB-MT</w:t>
      </w:r>
      <w:r w:rsidR="00905914">
        <w:t>s</w:t>
      </w:r>
      <w:r w:rsidR="005B2B8E">
        <w:t xml:space="preserve"> and the handling of capability signaling for IAB-nodes</w:t>
      </w:r>
      <w:r w:rsidR="00522F4F">
        <w:t>.</w:t>
      </w:r>
    </w:p>
    <w:p w14:paraId="3CB3D93D" w14:textId="77777777" w:rsidR="00DE0E10" w:rsidRPr="00F4616A" w:rsidRDefault="00DE0E10" w:rsidP="00DE0E10">
      <w:pPr>
        <w:rPr>
          <w:rFonts w:ascii="Calibri" w:eastAsia="Malgun Gothic" w:hAnsi="Calibri" w:cs="Batang"/>
          <w:lang w:val="en-GB" w:eastAsia="ko-KR"/>
        </w:rPr>
      </w:pPr>
    </w:p>
    <w:p w14:paraId="23B2B195" w14:textId="6B468D0A" w:rsidR="002C3890" w:rsidRPr="00172743" w:rsidRDefault="005B2B8E" w:rsidP="002C3890">
      <w:pPr>
        <w:pStyle w:val="Heading1"/>
      </w:pPr>
      <w:r>
        <w:t>IAB-node Capabilities</w:t>
      </w:r>
    </w:p>
    <w:p w14:paraId="75DAA0C2" w14:textId="0BE577B3" w:rsidR="002C3890" w:rsidRDefault="002C3890" w:rsidP="002C3890">
      <w:pPr>
        <w:rPr>
          <w:rFonts w:ascii="Calibri" w:eastAsia="Calibri" w:hAnsi="Calibri"/>
          <w:sz w:val="22"/>
          <w:szCs w:val="22"/>
        </w:rPr>
      </w:pPr>
      <w:r w:rsidRPr="002C3890">
        <w:rPr>
          <w:rFonts w:ascii="Calibri" w:eastAsia="Calibri" w:hAnsi="Calibri"/>
          <w:sz w:val="22"/>
          <w:szCs w:val="22"/>
        </w:rPr>
        <w:t>During RAN#87e the following agreements were reached:</w:t>
      </w:r>
    </w:p>
    <w:p w14:paraId="7D2DB86F" w14:textId="77777777" w:rsidR="002F74FD" w:rsidRDefault="002F74FD" w:rsidP="002C3890">
      <w:pPr>
        <w:rPr>
          <w:rFonts w:eastAsia="MS Mincho"/>
          <w:sz w:val="22"/>
          <w:szCs w:val="22"/>
        </w:rPr>
      </w:pPr>
    </w:p>
    <w:p w14:paraId="2860828C" w14:textId="77777777" w:rsidR="00925F00" w:rsidRDefault="002C3890" w:rsidP="00E25452">
      <w:pPr>
        <w:pStyle w:val="ListParagraph"/>
        <w:numPr>
          <w:ilvl w:val="0"/>
          <w:numId w:val="39"/>
        </w:numPr>
        <w:wordWrap w:val="0"/>
        <w:spacing w:before="0" w:after="0"/>
        <w:contextualSpacing w:val="0"/>
        <w:jc w:val="left"/>
        <w:rPr>
          <w:rFonts w:ascii="Calibri" w:hAnsi="Calibri" w:cs="Calibri"/>
          <w:color w:val="17375E"/>
          <w:sz w:val="22"/>
          <w:szCs w:val="22"/>
        </w:rPr>
      </w:pPr>
      <w:r>
        <w:rPr>
          <w:rFonts w:ascii="Calibri" w:hAnsi="Calibri" w:cs="Calibri"/>
          <w:color w:val="17375E"/>
          <w:sz w:val="22"/>
          <w:szCs w:val="22"/>
        </w:rPr>
        <w:t>RAN WGs to investigate which of the mandatory Rel-15 UE features (as defined in TR 38.822) can be</w:t>
      </w:r>
    </w:p>
    <w:p w14:paraId="5F5624E4" w14:textId="2B027314" w:rsidR="002C3890" w:rsidRDefault="002C3890" w:rsidP="00E25452">
      <w:pPr>
        <w:pStyle w:val="ListParagraph"/>
        <w:wordWrap w:val="0"/>
        <w:spacing w:before="0" w:after="0"/>
        <w:contextualSpacing w:val="0"/>
        <w:jc w:val="left"/>
        <w:rPr>
          <w:rFonts w:ascii="Calibri" w:hAnsi="Calibri" w:cs="Calibri"/>
          <w:color w:val="17375E"/>
          <w:sz w:val="22"/>
          <w:szCs w:val="22"/>
        </w:rPr>
      </w:pPr>
      <w:r>
        <w:rPr>
          <w:rFonts w:ascii="Calibri" w:hAnsi="Calibri" w:cs="Calibri"/>
          <w:color w:val="17375E"/>
          <w:sz w:val="22"/>
          <w:szCs w:val="22"/>
        </w:rPr>
        <w:t>optional for basic operation (and if found useful, for different classes of IAB-MTs as defined by RAN4).</w:t>
      </w:r>
    </w:p>
    <w:p w14:paraId="06D226C2" w14:textId="5E09732F" w:rsidR="002C3890" w:rsidRDefault="002C3890" w:rsidP="002F74FD">
      <w:pPr>
        <w:pStyle w:val="ListParagraph"/>
        <w:numPr>
          <w:ilvl w:val="0"/>
          <w:numId w:val="39"/>
        </w:numPr>
        <w:wordWrap w:val="0"/>
        <w:spacing w:before="0" w:after="0"/>
        <w:contextualSpacing w:val="0"/>
        <w:jc w:val="left"/>
        <w:rPr>
          <w:rFonts w:ascii="Calibri" w:hAnsi="Calibri" w:cs="Calibri"/>
          <w:color w:val="17375E"/>
          <w:sz w:val="22"/>
          <w:szCs w:val="22"/>
        </w:rPr>
      </w:pPr>
      <w:r>
        <w:rPr>
          <w:rFonts w:ascii="Calibri" w:hAnsi="Calibri" w:cs="Calibri"/>
          <w:color w:val="17375E"/>
          <w:sz w:val="22"/>
          <w:szCs w:val="22"/>
        </w:rPr>
        <w:t>RAN WGs should strive to minimize specification impact.</w:t>
      </w:r>
    </w:p>
    <w:p w14:paraId="2B94AB77" w14:textId="77777777" w:rsidR="002F74FD" w:rsidRDefault="002F74FD" w:rsidP="00E25452">
      <w:pPr>
        <w:pStyle w:val="ListParagraph"/>
        <w:wordWrap w:val="0"/>
        <w:spacing w:before="0" w:after="0"/>
        <w:contextualSpacing w:val="0"/>
        <w:jc w:val="left"/>
        <w:rPr>
          <w:rFonts w:ascii="Calibri" w:hAnsi="Calibri" w:cs="Calibri"/>
          <w:color w:val="17375E"/>
          <w:sz w:val="22"/>
          <w:szCs w:val="22"/>
        </w:rPr>
      </w:pPr>
    </w:p>
    <w:p w14:paraId="17650E99" w14:textId="77777777" w:rsidR="0041563B" w:rsidRDefault="005B2B8E" w:rsidP="0041563B">
      <w:pPr>
        <w:rPr>
          <w:rFonts w:ascii="Calibri" w:eastAsia="Calibri" w:hAnsi="Calibri"/>
          <w:sz w:val="22"/>
          <w:szCs w:val="22"/>
        </w:rPr>
      </w:pPr>
      <w:r>
        <w:rPr>
          <w:rFonts w:ascii="Calibri" w:eastAsia="Calibri" w:hAnsi="Calibri"/>
          <w:sz w:val="22"/>
          <w:szCs w:val="22"/>
        </w:rPr>
        <w:t xml:space="preserve">In addition, during the May/June WG e-meetings, RAN1/RAN2/RAN3/RAN4 all discussed and reached various agreements on the mandatory/optional support of features for IAB-MTs and IAB-DUs of an IAB-node as well as the applicability of capability signaling for IAB nodes. This contribution discusses the </w:t>
      </w:r>
      <w:r w:rsidR="0041563B">
        <w:rPr>
          <w:rFonts w:ascii="Calibri" w:eastAsia="Calibri" w:hAnsi="Calibri"/>
          <w:sz w:val="22"/>
          <w:szCs w:val="22"/>
        </w:rPr>
        <w:t xml:space="preserve">remaining open issues and proposes a holistic treatment of IAB-node features and applicability of capability signaling across all working groups to ensure consistent support of critical Rel-16 WI objectives. </w:t>
      </w:r>
    </w:p>
    <w:p w14:paraId="2BA8D6BA" w14:textId="77777777" w:rsidR="0041563B" w:rsidRDefault="0041563B" w:rsidP="0041563B">
      <w:pPr>
        <w:rPr>
          <w:rFonts w:ascii="Calibri" w:eastAsia="Calibri" w:hAnsi="Calibri"/>
          <w:sz w:val="22"/>
          <w:szCs w:val="22"/>
        </w:rPr>
      </w:pPr>
    </w:p>
    <w:p w14:paraId="57DF7F14" w14:textId="1AEDB0EB" w:rsidR="0041563B" w:rsidRDefault="0041563B" w:rsidP="0041563B">
      <w:pPr>
        <w:rPr>
          <w:rFonts w:ascii="Calibri" w:eastAsia="Calibri" w:hAnsi="Calibri"/>
          <w:sz w:val="22"/>
          <w:szCs w:val="22"/>
        </w:rPr>
      </w:pPr>
      <w:r>
        <w:rPr>
          <w:rFonts w:ascii="Calibri" w:eastAsia="Calibri" w:hAnsi="Calibri"/>
          <w:sz w:val="22"/>
          <w:szCs w:val="22"/>
        </w:rPr>
        <w:t xml:space="preserve">For example, one </w:t>
      </w:r>
      <w:proofErr w:type="gramStart"/>
      <w:r>
        <w:rPr>
          <w:rFonts w:ascii="Calibri" w:eastAsia="Calibri" w:hAnsi="Calibri"/>
          <w:sz w:val="22"/>
          <w:szCs w:val="22"/>
        </w:rPr>
        <w:t>criteria</w:t>
      </w:r>
      <w:proofErr w:type="gramEnd"/>
      <w:r>
        <w:rPr>
          <w:rFonts w:ascii="Calibri" w:eastAsia="Calibri" w:hAnsi="Calibri"/>
          <w:sz w:val="22"/>
          <w:szCs w:val="22"/>
        </w:rPr>
        <w:t xml:space="preserve"> for mandatory/optional support of a feature by an IAB-MT is whether the feature can be considered as part of a minimum set of features, which at least include </w:t>
      </w:r>
      <w:r w:rsidRPr="00126FAD">
        <w:rPr>
          <w:rFonts w:ascii="Calibri" w:eastAsia="Calibri" w:hAnsi="Calibri"/>
          <w:sz w:val="22"/>
          <w:szCs w:val="22"/>
        </w:rPr>
        <w:t xml:space="preserve">features required for </w:t>
      </w:r>
      <w:r>
        <w:rPr>
          <w:rFonts w:ascii="Calibri" w:eastAsia="Calibri" w:hAnsi="Calibri"/>
          <w:sz w:val="22"/>
          <w:szCs w:val="22"/>
        </w:rPr>
        <w:t xml:space="preserve">establishing a connection between the IAB-MT and the network and beginning the basic backhaul link setup and operation. This would therefore correspond to features including </w:t>
      </w:r>
      <w:r w:rsidRPr="00126FAD">
        <w:rPr>
          <w:rFonts w:ascii="Calibri" w:eastAsia="Calibri" w:hAnsi="Calibri"/>
          <w:sz w:val="22"/>
          <w:szCs w:val="22"/>
        </w:rPr>
        <w:t>Initial Access</w:t>
      </w:r>
      <w:r>
        <w:rPr>
          <w:rFonts w:ascii="Calibri" w:eastAsia="Calibri" w:hAnsi="Calibri"/>
          <w:sz w:val="22"/>
          <w:szCs w:val="22"/>
        </w:rPr>
        <w:t xml:space="preserve">, performing </w:t>
      </w:r>
      <w:r w:rsidRPr="00126FAD">
        <w:rPr>
          <w:rFonts w:ascii="Calibri" w:eastAsia="Calibri" w:hAnsi="Calibri"/>
          <w:sz w:val="22"/>
          <w:szCs w:val="22"/>
        </w:rPr>
        <w:t>RRC Connection establishment</w:t>
      </w:r>
      <w:r>
        <w:rPr>
          <w:rFonts w:ascii="Calibri" w:eastAsia="Calibri" w:hAnsi="Calibri"/>
          <w:sz w:val="22"/>
          <w:szCs w:val="22"/>
        </w:rPr>
        <w:t xml:space="preserve">, enabling </w:t>
      </w:r>
      <w:r w:rsidRPr="00126FAD">
        <w:rPr>
          <w:rFonts w:ascii="Calibri" w:eastAsia="Calibri" w:hAnsi="Calibri"/>
          <w:sz w:val="22"/>
          <w:szCs w:val="22"/>
        </w:rPr>
        <w:t>OAM connectivity</w:t>
      </w:r>
      <w:r>
        <w:rPr>
          <w:rFonts w:ascii="Calibri" w:eastAsia="Calibri" w:hAnsi="Calibri"/>
          <w:sz w:val="22"/>
          <w:szCs w:val="22"/>
        </w:rPr>
        <w:t xml:space="preserve">, and basic BAP layer functionality. </w:t>
      </w:r>
    </w:p>
    <w:p w14:paraId="0B23BF87" w14:textId="77777777" w:rsidR="0041563B" w:rsidRDefault="0041563B" w:rsidP="0041563B">
      <w:pPr>
        <w:rPr>
          <w:rFonts w:ascii="Calibri" w:eastAsia="Calibri" w:hAnsi="Calibri"/>
          <w:sz w:val="22"/>
          <w:szCs w:val="22"/>
        </w:rPr>
      </w:pPr>
    </w:p>
    <w:p w14:paraId="5D1FB59E" w14:textId="1805A02F" w:rsidR="0041563B" w:rsidRPr="0041563B" w:rsidRDefault="0041563B" w:rsidP="0041563B">
      <w:pPr>
        <w:rPr>
          <w:rFonts w:ascii="Calibri" w:eastAsia="Calibri" w:hAnsi="Calibri"/>
          <w:sz w:val="22"/>
          <w:szCs w:val="22"/>
        </w:rPr>
      </w:pPr>
      <w:r>
        <w:rPr>
          <w:rFonts w:ascii="Calibri" w:eastAsia="Calibri" w:hAnsi="Calibri"/>
          <w:sz w:val="22"/>
          <w:szCs w:val="22"/>
        </w:rPr>
        <w:t xml:space="preserve">However, another critical functionality for IAB nodes is </w:t>
      </w:r>
      <w:r w:rsidR="00925F00">
        <w:rPr>
          <w:rFonts w:ascii="Calibri" w:eastAsia="Calibri" w:hAnsi="Calibri"/>
          <w:sz w:val="22"/>
          <w:szCs w:val="22"/>
        </w:rPr>
        <w:t xml:space="preserve">to </w:t>
      </w:r>
      <w:r>
        <w:rPr>
          <w:rFonts w:ascii="Calibri" w:eastAsia="Calibri" w:hAnsi="Calibri"/>
          <w:sz w:val="22"/>
          <w:szCs w:val="22"/>
        </w:rPr>
        <w:t xml:space="preserve">support topology adaptation (i.e. RRM measurements, reports, and handovers) </w:t>
      </w:r>
      <w:r w:rsidRPr="00E237EC">
        <w:rPr>
          <w:rFonts w:ascii="Calibri" w:eastAsia="Calibri" w:hAnsi="Calibri"/>
          <w:sz w:val="22"/>
          <w:szCs w:val="22"/>
        </w:rPr>
        <w:t>to ensure optimal routes for the backhaul links can be configured by the Donor CU.</w:t>
      </w:r>
      <w:r>
        <w:rPr>
          <w:rFonts w:ascii="Calibri" w:eastAsia="Calibri" w:hAnsi="Calibri"/>
          <w:sz w:val="22"/>
          <w:szCs w:val="22"/>
        </w:rPr>
        <w:t xml:space="preserve"> This should not be left to OAM or implementation as one of the key differentiators of IAB from other self-backhauling technologies is the ability to </w:t>
      </w:r>
      <w:r w:rsidRPr="0041563B">
        <w:rPr>
          <w:rFonts w:ascii="Calibri" w:eastAsia="Calibri" w:hAnsi="Calibri"/>
          <w:b/>
          <w:bCs/>
          <w:sz w:val="22"/>
          <w:szCs w:val="22"/>
          <w:u w:val="single"/>
        </w:rPr>
        <w:t>scale dense deployments</w:t>
      </w:r>
      <w:r>
        <w:rPr>
          <w:rFonts w:ascii="Calibri" w:eastAsia="Calibri" w:hAnsi="Calibri"/>
          <w:sz w:val="22"/>
          <w:szCs w:val="22"/>
        </w:rPr>
        <w:t xml:space="preserve"> of IAB nodes and manage the backhaul link operation and routing </w:t>
      </w:r>
      <w:r>
        <w:rPr>
          <w:rFonts w:ascii="Calibri" w:eastAsia="Calibri" w:hAnsi="Calibri"/>
          <w:b/>
          <w:bCs/>
          <w:sz w:val="22"/>
          <w:szCs w:val="22"/>
          <w:u w:val="single"/>
        </w:rPr>
        <w:t>within</w:t>
      </w:r>
      <w:r w:rsidRPr="0041563B">
        <w:rPr>
          <w:rFonts w:ascii="Calibri" w:eastAsia="Calibri" w:hAnsi="Calibri"/>
          <w:b/>
          <w:bCs/>
          <w:sz w:val="22"/>
          <w:szCs w:val="22"/>
          <w:u w:val="single"/>
        </w:rPr>
        <w:t xml:space="preserve"> the RAN</w:t>
      </w:r>
      <w:r>
        <w:rPr>
          <w:rFonts w:ascii="Calibri" w:eastAsia="Calibri" w:hAnsi="Calibri"/>
          <w:sz w:val="22"/>
          <w:szCs w:val="22"/>
        </w:rPr>
        <w:t xml:space="preserve">. As a result, relevant features for topology adaptation should be mandatory to support for all IAB-MTs starting from Rel. 16, even if in some cases the related RRM requirements are not fully specified in Rel. 16. </w:t>
      </w:r>
    </w:p>
    <w:p w14:paraId="215DD7EF" w14:textId="6CA010E4" w:rsidR="008E05AA" w:rsidRDefault="008E05AA" w:rsidP="002C3890">
      <w:pPr>
        <w:rPr>
          <w:rFonts w:ascii="Calibri" w:eastAsia="Calibri" w:hAnsi="Calibri"/>
          <w:sz w:val="22"/>
          <w:szCs w:val="22"/>
        </w:rPr>
      </w:pPr>
    </w:p>
    <w:p w14:paraId="69DC2C05" w14:textId="77777777" w:rsidR="001B409C" w:rsidRDefault="001B409C" w:rsidP="001B409C">
      <w:pPr>
        <w:rPr>
          <w:rFonts w:ascii="Calibri" w:eastAsia="Calibri" w:hAnsi="Calibri"/>
          <w:b/>
          <w:bCs/>
          <w:sz w:val="22"/>
          <w:szCs w:val="22"/>
        </w:rPr>
      </w:pPr>
      <w:r>
        <w:rPr>
          <w:rFonts w:ascii="Calibri" w:eastAsia="Calibri" w:hAnsi="Calibri"/>
          <w:b/>
          <w:bCs/>
          <w:sz w:val="22"/>
          <w:szCs w:val="22"/>
        </w:rPr>
        <w:t xml:space="preserve">Proposal 1: Support for basic topology adaptation functionality </w:t>
      </w:r>
      <w:r w:rsidRPr="0041563B">
        <w:rPr>
          <w:rFonts w:ascii="Calibri" w:eastAsia="Calibri" w:hAnsi="Calibri"/>
          <w:b/>
          <w:bCs/>
          <w:sz w:val="22"/>
          <w:szCs w:val="22"/>
        </w:rPr>
        <w:t>(i.e. RRM measurements, reports, and handovers</w:t>
      </w:r>
      <w:r>
        <w:rPr>
          <w:rFonts w:ascii="Calibri" w:eastAsia="Calibri" w:hAnsi="Calibri"/>
          <w:b/>
          <w:bCs/>
          <w:sz w:val="22"/>
          <w:szCs w:val="22"/>
        </w:rPr>
        <w:t>) is mandatory for both wide-area and local-area IAB-MTs.</w:t>
      </w:r>
    </w:p>
    <w:p w14:paraId="53B4E18E" w14:textId="77777777" w:rsidR="0041563B" w:rsidRDefault="0041563B" w:rsidP="002C3890">
      <w:pPr>
        <w:rPr>
          <w:rFonts w:ascii="Calibri" w:eastAsia="Calibri" w:hAnsi="Calibri"/>
          <w:sz w:val="22"/>
          <w:szCs w:val="22"/>
        </w:rPr>
      </w:pPr>
    </w:p>
    <w:p w14:paraId="6CA1B9F9" w14:textId="0573076F" w:rsidR="0041563B" w:rsidRDefault="0041563B" w:rsidP="002C3890">
      <w:pPr>
        <w:rPr>
          <w:rFonts w:ascii="Calibri" w:eastAsia="Calibri" w:hAnsi="Calibri"/>
          <w:sz w:val="22"/>
          <w:szCs w:val="22"/>
        </w:rPr>
      </w:pPr>
    </w:p>
    <w:p w14:paraId="28F0D8B6" w14:textId="77777777" w:rsidR="0041563B" w:rsidRDefault="0041563B" w:rsidP="002C3890">
      <w:pPr>
        <w:rPr>
          <w:rFonts w:ascii="Calibri" w:eastAsia="Calibri" w:hAnsi="Calibri"/>
          <w:sz w:val="22"/>
          <w:szCs w:val="22"/>
        </w:rPr>
      </w:pPr>
    </w:p>
    <w:p w14:paraId="65DF1D77" w14:textId="3C9B7C60" w:rsidR="008E05AA" w:rsidRPr="00172743" w:rsidRDefault="00BC73D7" w:rsidP="008E05AA">
      <w:pPr>
        <w:pStyle w:val="Heading2"/>
      </w:pPr>
      <w:r>
        <w:lastRenderedPageBreak/>
        <w:t xml:space="preserve">Layer-1 </w:t>
      </w:r>
      <w:r w:rsidR="00A81C8D">
        <w:t>IAB-MT</w:t>
      </w:r>
      <w:r w:rsidR="008E05AA">
        <w:t xml:space="preserve"> Features</w:t>
      </w:r>
    </w:p>
    <w:p w14:paraId="6650F751" w14:textId="2838A24B" w:rsidR="0041563B" w:rsidRDefault="0041563B" w:rsidP="00A81C8D">
      <w:pPr>
        <w:rPr>
          <w:rFonts w:ascii="Calibri" w:eastAsia="Calibri" w:hAnsi="Calibri"/>
          <w:sz w:val="22"/>
          <w:szCs w:val="22"/>
        </w:rPr>
      </w:pPr>
      <w:r w:rsidRPr="002C3890">
        <w:rPr>
          <w:rFonts w:ascii="Calibri" w:eastAsia="Calibri" w:hAnsi="Calibri"/>
          <w:sz w:val="22"/>
          <w:szCs w:val="22"/>
        </w:rPr>
        <w:t>During RAN</w:t>
      </w:r>
      <w:r>
        <w:rPr>
          <w:rFonts w:ascii="Calibri" w:eastAsia="Calibri" w:hAnsi="Calibri"/>
          <w:sz w:val="22"/>
          <w:szCs w:val="22"/>
        </w:rPr>
        <w:t>1#101-e</w:t>
      </w:r>
      <w:r w:rsidRPr="002C3890">
        <w:rPr>
          <w:rFonts w:ascii="Calibri" w:eastAsia="Calibri" w:hAnsi="Calibri"/>
          <w:sz w:val="22"/>
          <w:szCs w:val="22"/>
        </w:rPr>
        <w:t xml:space="preserve"> the following agreements were reached:</w:t>
      </w:r>
    </w:p>
    <w:p w14:paraId="6547ED30" w14:textId="4B2CD975" w:rsidR="00A81C8D" w:rsidRPr="00C3257E" w:rsidRDefault="00A81C8D" w:rsidP="00A81C8D">
      <w:pPr>
        <w:rPr>
          <w:b/>
          <w:bCs/>
          <w:highlight w:val="green"/>
        </w:rPr>
      </w:pPr>
      <w:r w:rsidRPr="00C3257E">
        <w:rPr>
          <w:rStyle w:val="Strong"/>
          <w:rFonts w:ascii="Calibri" w:hAnsi="Calibri"/>
          <w:b w:val="0"/>
          <w:bCs w:val="0"/>
          <w:sz w:val="22"/>
          <w:szCs w:val="22"/>
          <w:highlight w:val="green"/>
          <w:lang w:eastAsia="ko-KR"/>
        </w:rPr>
        <w:t>Agreement:</w:t>
      </w:r>
    </w:p>
    <w:p w14:paraId="13632C99" w14:textId="2ADEDD5A" w:rsidR="00A81C8D" w:rsidRDefault="00A81C8D" w:rsidP="00A81C8D">
      <w:pPr>
        <w:pStyle w:val="maintext"/>
        <w:numPr>
          <w:ilvl w:val="0"/>
          <w:numId w:val="41"/>
        </w:numPr>
        <w:ind w:firstLineChars="0"/>
      </w:pPr>
      <w:r>
        <w:rPr>
          <w:rFonts w:ascii="Calibri" w:hAnsi="Calibri"/>
        </w:rPr>
        <w:t>Wide-area IAB-MTs s</w:t>
      </w:r>
      <w:r>
        <w:rPr>
          <w:rFonts w:ascii="Calibri" w:hAnsi="Calibri"/>
          <w:color w:val="000000"/>
        </w:rPr>
        <w:t>upport</w:t>
      </w:r>
      <w:r>
        <w:rPr>
          <w:rFonts w:ascii="Calibri" w:hAnsi="Calibri"/>
          <w:color w:val="FF0000"/>
        </w:rPr>
        <w:t xml:space="preserve"> </w:t>
      </w:r>
      <w:r>
        <w:rPr>
          <w:rFonts w:ascii="Calibri" w:hAnsi="Calibri"/>
          <w:color w:val="000000"/>
        </w:rPr>
        <w:t xml:space="preserve">the following Rel. 15 layer-1 mandatory UE features (as defined in </w:t>
      </w:r>
      <w:r w:rsidR="00892C47">
        <w:rPr>
          <w:rFonts w:ascii="Calibri" w:hAnsi="Calibri"/>
          <w:color w:val="000000"/>
        </w:rPr>
        <w:t>TR 38.822</w:t>
      </w:r>
      <w:r>
        <w:rPr>
          <w:rFonts w:ascii="Calibri" w:hAnsi="Calibri"/>
          <w:color w:val="000000"/>
        </w:rPr>
        <w:t>)</w:t>
      </w:r>
    </w:p>
    <w:p w14:paraId="5EB29B1C" w14:textId="41E0D14B" w:rsidR="00A81C8D" w:rsidRDefault="00A81C8D" w:rsidP="00A81C8D">
      <w:pPr>
        <w:pStyle w:val="maintext"/>
        <w:numPr>
          <w:ilvl w:val="1"/>
          <w:numId w:val="42"/>
        </w:numPr>
        <w:ind w:left="1800" w:firstLineChars="0"/>
      </w:pPr>
      <w:r>
        <w:rPr>
          <w:rFonts w:ascii="Calibri" w:hAnsi="Calibri"/>
          <w:color w:val="000000"/>
        </w:rPr>
        <w:t xml:space="preserve">Without capability </w:t>
      </w:r>
      <w:r w:rsidR="0024712F">
        <w:rPr>
          <w:rFonts w:ascii="Calibri" w:hAnsi="Calibri"/>
          <w:color w:val="000000"/>
        </w:rPr>
        <w:t>(</w:t>
      </w:r>
      <w:proofErr w:type="spellStart"/>
      <w:r w:rsidR="0024712F">
        <w:rPr>
          <w:rFonts w:ascii="Calibri" w:hAnsi="Calibri"/>
          <w:color w:val="000000"/>
        </w:rPr>
        <w:t>signaling</w:t>
      </w:r>
      <w:proofErr w:type="spellEnd"/>
      <w:r w:rsidR="0024712F">
        <w:rPr>
          <w:rFonts w:ascii="Calibri" w:hAnsi="Calibri"/>
          <w:color w:val="000000"/>
        </w:rPr>
        <w:t>)</w:t>
      </w:r>
    </w:p>
    <w:p w14:paraId="04F55D7D" w14:textId="77777777" w:rsidR="00A81C8D" w:rsidRDefault="00A81C8D" w:rsidP="00A81C8D">
      <w:pPr>
        <w:pStyle w:val="maintext"/>
        <w:numPr>
          <w:ilvl w:val="2"/>
          <w:numId w:val="42"/>
        </w:numPr>
        <w:ind w:left="2520" w:firstLineChars="0"/>
      </w:pPr>
      <w:r>
        <w:rPr>
          <w:rFonts w:ascii="Calibri" w:hAnsi="Calibri"/>
          <w:color w:val="000000"/>
        </w:rPr>
        <w:t>0-1, 0-3, 0-4, 1-1 (only 1 preamble for component 1, component 2, component 3 except paging), 2-1, 2-5, 2-6, 2-12, 2-16, 2-16a, 2-32 (only components 1-4 and 7), 2-50 (only components 1,2), 2-52 (only components 1, 2), 3-1 (only components 1,2,3,4,5), 4-1, 5-1 (only components 1/2/3/4/5/6/7/9/10/12), 6-1, 7-1, 8-3</w:t>
      </w:r>
    </w:p>
    <w:p w14:paraId="54102F7E" w14:textId="77777777" w:rsidR="00A81C8D" w:rsidRDefault="00A81C8D" w:rsidP="00A81C8D">
      <w:pPr>
        <w:pStyle w:val="maintext"/>
        <w:numPr>
          <w:ilvl w:val="1"/>
          <w:numId w:val="42"/>
        </w:numPr>
        <w:ind w:left="1800" w:firstLineChars="0"/>
      </w:pPr>
      <w:r>
        <w:rPr>
          <w:rFonts w:ascii="Calibri" w:hAnsi="Calibri"/>
          <w:color w:val="000000"/>
        </w:rPr>
        <w:t xml:space="preserve">With capability </w:t>
      </w:r>
      <w:proofErr w:type="spellStart"/>
      <w:r>
        <w:rPr>
          <w:rFonts w:ascii="Calibri" w:hAnsi="Calibri"/>
          <w:color w:val="000000"/>
        </w:rPr>
        <w:t>signaling</w:t>
      </w:r>
      <w:proofErr w:type="spellEnd"/>
      <w:r>
        <w:rPr>
          <w:rFonts w:ascii="Calibri" w:hAnsi="Calibri"/>
          <w:color w:val="000000"/>
        </w:rPr>
        <w:t xml:space="preserve"> which shall be set to '1'</w:t>
      </w:r>
    </w:p>
    <w:p w14:paraId="0BFADFA0" w14:textId="77777777" w:rsidR="00A81C8D" w:rsidRDefault="00A81C8D" w:rsidP="00A81C8D">
      <w:pPr>
        <w:pStyle w:val="maintext"/>
        <w:numPr>
          <w:ilvl w:val="2"/>
          <w:numId w:val="42"/>
        </w:numPr>
        <w:ind w:left="2520" w:firstLineChars="0"/>
      </w:pPr>
      <w:r>
        <w:rPr>
          <w:rFonts w:ascii="Calibri" w:hAnsi="Calibri"/>
          <w:color w:val="000000"/>
        </w:rPr>
        <w:t>1-3, 2-22, 4-10</w:t>
      </w:r>
    </w:p>
    <w:p w14:paraId="3261B15A" w14:textId="77777777" w:rsidR="00A81C8D" w:rsidRDefault="00A81C8D" w:rsidP="00A81C8D">
      <w:pPr>
        <w:pStyle w:val="maintext"/>
        <w:numPr>
          <w:ilvl w:val="1"/>
          <w:numId w:val="42"/>
        </w:numPr>
        <w:ind w:left="1800" w:firstLineChars="0"/>
      </w:pPr>
      <w:r>
        <w:rPr>
          <w:rFonts w:ascii="Calibri" w:hAnsi="Calibri"/>
          <w:color w:val="000000"/>
          <w:sz w:val="21"/>
          <w:szCs w:val="21"/>
        </w:rPr>
        <w:t>The rest of Rel-15 layer-1 UE features other than the ones as listed above are optional for wide-area IAB-MTs.</w:t>
      </w:r>
    </w:p>
    <w:p w14:paraId="68DD9452" w14:textId="77777777" w:rsidR="00A81C8D" w:rsidRDefault="00A81C8D" w:rsidP="00A81C8D">
      <w:pPr>
        <w:pStyle w:val="maintext"/>
        <w:numPr>
          <w:ilvl w:val="0"/>
          <w:numId w:val="41"/>
        </w:numPr>
        <w:ind w:firstLineChars="0"/>
      </w:pPr>
      <w:r>
        <w:rPr>
          <w:rFonts w:ascii="Calibri" w:hAnsi="Calibri"/>
          <w:color w:val="000000"/>
          <w:sz w:val="21"/>
          <w:szCs w:val="21"/>
        </w:rPr>
        <w:t>Note: Mandatory MT capabilities are independent from DU capabilities and do not imply a corresponding mandatory DU capability.</w:t>
      </w:r>
    </w:p>
    <w:p w14:paraId="17900AB3" w14:textId="77777777" w:rsidR="00A81C8D" w:rsidRDefault="00A81C8D" w:rsidP="00A81C8D">
      <w:pPr>
        <w:pStyle w:val="maintext"/>
        <w:numPr>
          <w:ilvl w:val="0"/>
          <w:numId w:val="41"/>
        </w:numPr>
        <w:ind w:firstLineChars="0"/>
      </w:pPr>
      <w:r>
        <w:rPr>
          <w:rFonts w:ascii="Calibri" w:hAnsi="Calibri"/>
          <w:color w:val="000000"/>
        </w:rPr>
        <w:t>The U</w:t>
      </w:r>
      <w:r>
        <w:rPr>
          <w:rFonts w:ascii="Calibri" w:hAnsi="Calibri"/>
        </w:rPr>
        <w:t>E feature list for local-area IAB</w:t>
      </w:r>
      <w:r>
        <w:rPr>
          <w:rFonts w:ascii="Calibri" w:hAnsi="Calibri"/>
          <w:color w:val="000000"/>
        </w:rPr>
        <w:t>-MTs</w:t>
      </w:r>
      <w:r>
        <w:rPr>
          <w:rFonts w:ascii="Calibri" w:hAnsi="Calibri"/>
          <w:color w:val="FF0000"/>
        </w:rPr>
        <w:t xml:space="preserve"> </w:t>
      </w:r>
      <w:r>
        <w:rPr>
          <w:rFonts w:ascii="Calibri" w:hAnsi="Calibri"/>
        </w:rPr>
        <w:t>is FFS</w:t>
      </w:r>
    </w:p>
    <w:p w14:paraId="44AA766D" w14:textId="77777777" w:rsidR="00817303" w:rsidRDefault="00817303" w:rsidP="002C3890">
      <w:pPr>
        <w:rPr>
          <w:rFonts w:ascii="Calibri" w:eastAsia="Calibri" w:hAnsi="Calibri"/>
          <w:b/>
          <w:bCs/>
          <w:sz w:val="22"/>
          <w:szCs w:val="22"/>
        </w:rPr>
      </w:pPr>
    </w:p>
    <w:p w14:paraId="44B75044" w14:textId="70EBC454" w:rsidR="00817303" w:rsidRDefault="0041563B" w:rsidP="002C3890">
      <w:pPr>
        <w:rPr>
          <w:rFonts w:ascii="Calibri" w:eastAsia="Calibri" w:hAnsi="Calibri"/>
          <w:sz w:val="22"/>
          <w:szCs w:val="22"/>
        </w:rPr>
      </w:pPr>
      <w:r>
        <w:rPr>
          <w:rFonts w:ascii="Calibri" w:eastAsia="Calibri" w:hAnsi="Calibri"/>
          <w:sz w:val="22"/>
          <w:szCs w:val="22"/>
        </w:rPr>
        <w:t xml:space="preserve">Based on the RAN1 agreement, the only remaining issue for Rel-15 UE Features is their applicability for local-area IAB-MTs. However given the discussion in the previous section and that given local-area IAB nodes may be </w:t>
      </w:r>
      <w:r w:rsidR="004D5AAB">
        <w:rPr>
          <w:rFonts w:ascii="Calibri" w:eastAsia="Calibri" w:hAnsi="Calibri"/>
          <w:sz w:val="22"/>
          <w:szCs w:val="22"/>
        </w:rPr>
        <w:t>installed</w:t>
      </w:r>
      <w:r w:rsidR="00FC6596">
        <w:rPr>
          <w:rFonts w:ascii="Calibri" w:eastAsia="Calibri" w:hAnsi="Calibri"/>
          <w:sz w:val="22"/>
          <w:szCs w:val="22"/>
        </w:rPr>
        <w:t xml:space="preserve"> </w:t>
      </w:r>
      <w:r>
        <w:rPr>
          <w:rFonts w:ascii="Calibri" w:eastAsia="Calibri" w:hAnsi="Calibri"/>
          <w:sz w:val="22"/>
          <w:szCs w:val="22"/>
        </w:rPr>
        <w:t xml:space="preserve">in a broader range of deployments than wide-area IAB nodes, it is logical to assume that the same support for Rel-15 layer-1 mandatory UE features (as defined in </w:t>
      </w:r>
      <w:r w:rsidR="00892C47">
        <w:rPr>
          <w:rFonts w:ascii="Calibri" w:eastAsia="Calibri" w:hAnsi="Calibri"/>
          <w:sz w:val="22"/>
          <w:szCs w:val="22"/>
        </w:rPr>
        <w:t>TR 38.822</w:t>
      </w:r>
      <w:r>
        <w:rPr>
          <w:rFonts w:ascii="Calibri" w:eastAsia="Calibri" w:hAnsi="Calibri"/>
          <w:sz w:val="22"/>
          <w:szCs w:val="22"/>
        </w:rPr>
        <w:t>) applies to both classes of IAB nodes.</w:t>
      </w:r>
      <w:r w:rsidR="0068498D">
        <w:rPr>
          <w:rFonts w:ascii="Calibri" w:eastAsia="Calibri" w:hAnsi="Calibri"/>
          <w:sz w:val="22"/>
          <w:szCs w:val="22"/>
        </w:rPr>
        <w:t xml:space="preserve"> In other words, the </w:t>
      </w:r>
      <w:r w:rsidR="004A6C37">
        <w:rPr>
          <w:rFonts w:ascii="Calibri" w:eastAsia="Calibri" w:hAnsi="Calibri"/>
          <w:sz w:val="22"/>
          <w:szCs w:val="22"/>
        </w:rPr>
        <w:t>main difference</w:t>
      </w:r>
      <w:r w:rsidR="0068498D">
        <w:rPr>
          <w:rFonts w:ascii="Calibri" w:eastAsia="Calibri" w:hAnsi="Calibri"/>
          <w:sz w:val="22"/>
          <w:szCs w:val="22"/>
        </w:rPr>
        <w:t xml:space="preserve"> between WA-IAB nodes and LA-IAB nodes is in how many are deployed</w:t>
      </w:r>
      <w:r w:rsidR="000E14CC">
        <w:rPr>
          <w:rFonts w:ascii="Calibri" w:eastAsia="Calibri" w:hAnsi="Calibri"/>
          <w:sz w:val="22"/>
          <w:szCs w:val="22"/>
        </w:rPr>
        <w:t xml:space="preserve"> (</w:t>
      </w:r>
      <w:r w:rsidR="0068498D">
        <w:rPr>
          <w:rFonts w:ascii="Calibri" w:eastAsia="Calibri" w:hAnsi="Calibri"/>
          <w:sz w:val="22"/>
          <w:szCs w:val="22"/>
        </w:rPr>
        <w:t>albeit, WA-IAB nodes may also transmit at a higher p</w:t>
      </w:r>
      <w:r w:rsidR="004477BA">
        <w:rPr>
          <w:rFonts w:ascii="Calibri" w:eastAsia="Calibri" w:hAnsi="Calibri"/>
          <w:sz w:val="22"/>
          <w:szCs w:val="22"/>
        </w:rPr>
        <w:t>o</w:t>
      </w:r>
      <w:r w:rsidR="0068498D">
        <w:rPr>
          <w:rFonts w:ascii="Calibri" w:eastAsia="Calibri" w:hAnsi="Calibri"/>
          <w:sz w:val="22"/>
          <w:szCs w:val="22"/>
        </w:rPr>
        <w:t>wer</w:t>
      </w:r>
      <w:r w:rsidR="00E53B27">
        <w:rPr>
          <w:rFonts w:ascii="Calibri" w:eastAsia="Calibri" w:hAnsi="Calibri"/>
          <w:sz w:val="22"/>
          <w:szCs w:val="22"/>
        </w:rPr>
        <w:t>, among other aspects</w:t>
      </w:r>
      <w:r w:rsidR="0068498D">
        <w:rPr>
          <w:rFonts w:ascii="Calibri" w:eastAsia="Calibri" w:hAnsi="Calibri"/>
          <w:sz w:val="22"/>
          <w:szCs w:val="22"/>
        </w:rPr>
        <w:t>).</w:t>
      </w:r>
    </w:p>
    <w:p w14:paraId="543F33CA" w14:textId="00F9B60F" w:rsidR="0041563B" w:rsidRDefault="0041563B" w:rsidP="002C3890">
      <w:pPr>
        <w:rPr>
          <w:rFonts w:ascii="Calibri" w:eastAsia="Calibri" w:hAnsi="Calibri"/>
          <w:sz w:val="22"/>
          <w:szCs w:val="22"/>
        </w:rPr>
      </w:pPr>
    </w:p>
    <w:p w14:paraId="0FEFB1AC" w14:textId="1FD7B91D" w:rsidR="0041563B" w:rsidRDefault="0041563B" w:rsidP="0041563B">
      <w:pPr>
        <w:rPr>
          <w:rFonts w:ascii="Calibri" w:eastAsia="Calibri" w:hAnsi="Calibri"/>
          <w:b/>
          <w:bCs/>
          <w:sz w:val="22"/>
          <w:szCs w:val="22"/>
        </w:rPr>
      </w:pPr>
      <w:r>
        <w:rPr>
          <w:rFonts w:ascii="Calibri" w:eastAsia="Calibri" w:hAnsi="Calibri"/>
          <w:b/>
          <w:bCs/>
          <w:sz w:val="22"/>
          <w:szCs w:val="22"/>
        </w:rPr>
        <w:t xml:space="preserve">Proposal 2: Local-area IAB-MTs support the same Rel-15 layer-1 mandatory UE </w:t>
      </w:r>
      <w:proofErr w:type="gramStart"/>
      <w:r>
        <w:rPr>
          <w:rFonts w:ascii="Calibri" w:eastAsia="Calibri" w:hAnsi="Calibri"/>
          <w:b/>
          <w:bCs/>
          <w:sz w:val="22"/>
          <w:szCs w:val="22"/>
        </w:rPr>
        <w:t>features</w:t>
      </w:r>
      <w:proofErr w:type="gramEnd"/>
      <w:r>
        <w:rPr>
          <w:rFonts w:ascii="Calibri" w:eastAsia="Calibri" w:hAnsi="Calibri"/>
          <w:b/>
          <w:bCs/>
          <w:sz w:val="22"/>
          <w:szCs w:val="22"/>
        </w:rPr>
        <w:t xml:space="preserve"> (as defined in TR</w:t>
      </w:r>
      <w:r w:rsidR="00892C47">
        <w:rPr>
          <w:rFonts w:ascii="Calibri" w:eastAsia="Calibri" w:hAnsi="Calibri"/>
          <w:b/>
          <w:bCs/>
          <w:sz w:val="22"/>
          <w:szCs w:val="22"/>
        </w:rPr>
        <w:t xml:space="preserve"> </w:t>
      </w:r>
      <w:r>
        <w:rPr>
          <w:rFonts w:ascii="Calibri" w:eastAsia="Calibri" w:hAnsi="Calibri"/>
          <w:b/>
          <w:bCs/>
          <w:sz w:val="22"/>
          <w:szCs w:val="22"/>
        </w:rPr>
        <w:t>38.822) as wide-area IAB-MTs.</w:t>
      </w:r>
    </w:p>
    <w:p w14:paraId="06CA0A09" w14:textId="0B3EB4A0" w:rsidR="0041563B" w:rsidRDefault="0041563B" w:rsidP="002C3890">
      <w:pPr>
        <w:rPr>
          <w:rFonts w:ascii="Calibri" w:eastAsia="Calibri" w:hAnsi="Calibri"/>
          <w:b/>
          <w:bCs/>
          <w:sz w:val="22"/>
          <w:szCs w:val="22"/>
        </w:rPr>
      </w:pPr>
    </w:p>
    <w:p w14:paraId="7FA406BC" w14:textId="31E544E9" w:rsidR="0041563B" w:rsidRDefault="0041563B" w:rsidP="002C3890">
      <w:pPr>
        <w:rPr>
          <w:rFonts w:ascii="Calibri" w:eastAsia="Calibri" w:hAnsi="Calibri"/>
          <w:sz w:val="22"/>
          <w:szCs w:val="22"/>
        </w:rPr>
      </w:pPr>
      <w:r>
        <w:rPr>
          <w:rFonts w:ascii="Calibri" w:eastAsia="Calibri" w:hAnsi="Calibri"/>
          <w:sz w:val="22"/>
          <w:szCs w:val="22"/>
        </w:rPr>
        <w:t xml:space="preserve">Finally, for Rel-16 layer-1 IAB-MT features, the following </w:t>
      </w:r>
      <w:r w:rsidR="007B0600">
        <w:rPr>
          <w:rFonts w:ascii="Calibri" w:eastAsia="Calibri" w:hAnsi="Calibri"/>
          <w:sz w:val="22"/>
          <w:szCs w:val="22"/>
        </w:rPr>
        <w:t xml:space="preserve">FGs </w:t>
      </w:r>
      <w:r>
        <w:rPr>
          <w:rFonts w:ascii="Calibri" w:eastAsia="Calibri" w:hAnsi="Calibri"/>
          <w:sz w:val="22"/>
          <w:szCs w:val="22"/>
        </w:rPr>
        <w:t>have an FFS point when it comes to whether they are optional or mandatory (i.e. capability bit set to ‘1’):</w:t>
      </w:r>
    </w:p>
    <w:p w14:paraId="50858681" w14:textId="2D85EA0A" w:rsidR="0041563B" w:rsidRDefault="0041563B" w:rsidP="002C3890">
      <w:pPr>
        <w:rPr>
          <w:rFonts w:ascii="Calibri" w:eastAsia="Calibri" w:hAnsi="Calibri"/>
          <w:sz w:val="22"/>
          <w:szCs w:val="22"/>
        </w:rPr>
      </w:pPr>
    </w:p>
    <w:p w14:paraId="0570600C" w14:textId="77777777" w:rsidR="0041563B" w:rsidRPr="0041563B" w:rsidRDefault="0041563B" w:rsidP="002C3890">
      <w:pPr>
        <w:rPr>
          <w:rFonts w:ascii="Calibri" w:eastAsia="Calibri" w:hAnsi="Calibri"/>
          <w:sz w:val="22"/>
          <w:szCs w:val="22"/>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250"/>
        <w:gridCol w:w="4410"/>
        <w:gridCol w:w="2970"/>
      </w:tblGrid>
      <w:tr w:rsidR="0041563B" w:rsidRPr="002149AB" w14:paraId="51A113C6" w14:textId="77777777" w:rsidTr="009F2BEC">
        <w:trPr>
          <w:gridAfter w:val="1"/>
          <w:wAfter w:w="2970" w:type="dxa"/>
          <w:trHeight w:val="20"/>
        </w:trPr>
        <w:tc>
          <w:tcPr>
            <w:tcW w:w="715" w:type="dxa"/>
            <w:tcBorders>
              <w:top w:val="single" w:sz="4" w:space="0" w:color="auto"/>
              <w:left w:val="single" w:sz="4" w:space="0" w:color="auto"/>
              <w:bottom w:val="single" w:sz="4" w:space="0" w:color="auto"/>
              <w:right w:val="single" w:sz="4" w:space="0" w:color="auto"/>
            </w:tcBorders>
            <w:hideMark/>
          </w:tcPr>
          <w:p w14:paraId="1DF03F9B" w14:textId="77777777" w:rsidR="0041563B" w:rsidRPr="002149AB" w:rsidRDefault="0041563B" w:rsidP="00CA1105">
            <w:pPr>
              <w:pStyle w:val="TAH"/>
              <w:rPr>
                <w:color w:val="000000" w:themeColor="text1"/>
              </w:rPr>
            </w:pPr>
            <w:r w:rsidRPr="002149AB">
              <w:rPr>
                <w:color w:val="000000" w:themeColor="text1"/>
              </w:rPr>
              <w:t>Index</w:t>
            </w:r>
          </w:p>
        </w:tc>
        <w:tc>
          <w:tcPr>
            <w:tcW w:w="2250" w:type="dxa"/>
            <w:tcBorders>
              <w:top w:val="single" w:sz="4" w:space="0" w:color="auto"/>
              <w:left w:val="single" w:sz="4" w:space="0" w:color="auto"/>
              <w:bottom w:val="single" w:sz="4" w:space="0" w:color="auto"/>
              <w:right w:val="single" w:sz="4" w:space="0" w:color="auto"/>
            </w:tcBorders>
            <w:hideMark/>
          </w:tcPr>
          <w:p w14:paraId="24C4D79B" w14:textId="77777777" w:rsidR="0041563B" w:rsidRPr="002149AB" w:rsidRDefault="0041563B" w:rsidP="00CA1105">
            <w:pPr>
              <w:pStyle w:val="TAH"/>
              <w:rPr>
                <w:color w:val="000000" w:themeColor="text1"/>
              </w:rPr>
            </w:pPr>
            <w:r w:rsidRPr="002149AB">
              <w:rPr>
                <w:color w:val="000000" w:themeColor="text1"/>
              </w:rPr>
              <w:t>Feature group</w:t>
            </w:r>
          </w:p>
        </w:tc>
        <w:tc>
          <w:tcPr>
            <w:tcW w:w="4410" w:type="dxa"/>
            <w:tcBorders>
              <w:top w:val="single" w:sz="4" w:space="0" w:color="auto"/>
              <w:left w:val="single" w:sz="4" w:space="0" w:color="auto"/>
              <w:bottom w:val="single" w:sz="4" w:space="0" w:color="auto"/>
              <w:right w:val="single" w:sz="4" w:space="0" w:color="auto"/>
            </w:tcBorders>
            <w:hideMark/>
          </w:tcPr>
          <w:p w14:paraId="2E9014ED" w14:textId="77777777" w:rsidR="0041563B" w:rsidRPr="002149AB" w:rsidRDefault="0041563B" w:rsidP="00CA1105">
            <w:pPr>
              <w:pStyle w:val="TAH"/>
              <w:rPr>
                <w:color w:val="000000" w:themeColor="text1"/>
              </w:rPr>
            </w:pPr>
            <w:r w:rsidRPr="002149AB">
              <w:rPr>
                <w:color w:val="000000" w:themeColor="text1"/>
              </w:rPr>
              <w:t>Components</w:t>
            </w:r>
          </w:p>
        </w:tc>
      </w:tr>
      <w:tr w:rsidR="0041563B" w:rsidRPr="002149AB" w14:paraId="0493D2B3" w14:textId="77777777" w:rsidTr="009F2BEC">
        <w:trPr>
          <w:trHeight w:val="20"/>
        </w:trPr>
        <w:tc>
          <w:tcPr>
            <w:tcW w:w="715" w:type="dxa"/>
            <w:tcBorders>
              <w:top w:val="single" w:sz="4" w:space="0" w:color="auto"/>
              <w:left w:val="single" w:sz="4" w:space="0" w:color="auto"/>
              <w:bottom w:val="single" w:sz="4" w:space="0" w:color="auto"/>
              <w:right w:val="single" w:sz="4" w:space="0" w:color="auto"/>
            </w:tcBorders>
            <w:hideMark/>
          </w:tcPr>
          <w:p w14:paraId="2B80790F" w14:textId="77777777" w:rsidR="0041563B" w:rsidRPr="002149AB" w:rsidRDefault="0041563B" w:rsidP="00CA1105">
            <w:pPr>
              <w:pStyle w:val="TAL"/>
              <w:rPr>
                <w:color w:val="000000" w:themeColor="text1"/>
              </w:rPr>
            </w:pPr>
            <w:r w:rsidRPr="002149AB">
              <w:rPr>
                <w:color w:val="000000" w:themeColor="text1"/>
              </w:rPr>
              <w:t>20-2</w:t>
            </w:r>
          </w:p>
        </w:tc>
        <w:tc>
          <w:tcPr>
            <w:tcW w:w="2250" w:type="dxa"/>
            <w:tcBorders>
              <w:top w:val="single" w:sz="4" w:space="0" w:color="auto"/>
              <w:left w:val="single" w:sz="4" w:space="0" w:color="auto"/>
              <w:bottom w:val="single" w:sz="4" w:space="0" w:color="auto"/>
              <w:right w:val="single" w:sz="4" w:space="0" w:color="auto"/>
            </w:tcBorders>
            <w:hideMark/>
          </w:tcPr>
          <w:p w14:paraId="7AB0FE07" w14:textId="77777777" w:rsidR="0041563B" w:rsidRPr="002149AB" w:rsidRDefault="0041563B" w:rsidP="00CA1105">
            <w:pPr>
              <w:pStyle w:val="TAL"/>
              <w:rPr>
                <w:color w:val="000000" w:themeColor="text1"/>
              </w:rPr>
            </w:pPr>
            <w:r w:rsidRPr="002149AB">
              <w:rPr>
                <w:color w:val="000000" w:themeColor="text1"/>
              </w:rPr>
              <w:t xml:space="preserve">Inter-IAB-node discovery and measurements: SSB reception configuration </w:t>
            </w:r>
          </w:p>
        </w:tc>
        <w:tc>
          <w:tcPr>
            <w:tcW w:w="4410" w:type="dxa"/>
            <w:tcBorders>
              <w:top w:val="single" w:sz="4" w:space="0" w:color="auto"/>
              <w:left w:val="single" w:sz="4" w:space="0" w:color="auto"/>
              <w:bottom w:val="single" w:sz="4" w:space="0" w:color="auto"/>
              <w:right w:val="single" w:sz="4" w:space="0" w:color="auto"/>
            </w:tcBorders>
            <w:hideMark/>
          </w:tcPr>
          <w:p w14:paraId="730E3A9E" w14:textId="77777777" w:rsidR="0041563B" w:rsidRPr="002149AB" w:rsidRDefault="0041563B" w:rsidP="00CA1105">
            <w:pPr>
              <w:pStyle w:val="TAL"/>
              <w:rPr>
                <w:rFonts w:eastAsia="SimSun"/>
                <w:color w:val="000000" w:themeColor="text1"/>
                <w:lang w:eastAsia="zh-CN"/>
              </w:rPr>
            </w:pPr>
            <w:r w:rsidRPr="002149AB">
              <w:rPr>
                <w:color w:val="000000" w:themeColor="text1"/>
                <w:lang w:eastAsia="zh-CN"/>
              </w:rPr>
              <w:t>Support up to 4 SMTCs configured for an IAB node MT per frequency location, including IAB-specific SMTC window periodicities</w:t>
            </w:r>
          </w:p>
        </w:tc>
        <w:tc>
          <w:tcPr>
            <w:tcW w:w="2970" w:type="dxa"/>
            <w:tcBorders>
              <w:top w:val="single" w:sz="4" w:space="0" w:color="auto"/>
              <w:left w:val="single" w:sz="4" w:space="0" w:color="auto"/>
              <w:bottom w:val="single" w:sz="4" w:space="0" w:color="auto"/>
              <w:right w:val="single" w:sz="4" w:space="0" w:color="auto"/>
            </w:tcBorders>
            <w:hideMark/>
          </w:tcPr>
          <w:p w14:paraId="10BB82C1" w14:textId="77777777" w:rsidR="0041563B" w:rsidRPr="002149AB" w:rsidRDefault="0041563B" w:rsidP="00CA1105">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41563B" w:rsidRPr="002149AB" w14:paraId="6F0BE190" w14:textId="77777777" w:rsidTr="009F2BEC">
        <w:trPr>
          <w:trHeight w:val="20"/>
        </w:trPr>
        <w:tc>
          <w:tcPr>
            <w:tcW w:w="715" w:type="dxa"/>
            <w:tcBorders>
              <w:top w:val="single" w:sz="4" w:space="0" w:color="auto"/>
              <w:left w:val="single" w:sz="4" w:space="0" w:color="auto"/>
              <w:bottom w:val="single" w:sz="4" w:space="0" w:color="auto"/>
              <w:right w:val="single" w:sz="4" w:space="0" w:color="auto"/>
            </w:tcBorders>
            <w:hideMark/>
          </w:tcPr>
          <w:p w14:paraId="3606D36D" w14:textId="77777777" w:rsidR="0041563B" w:rsidRPr="002149AB" w:rsidRDefault="0041563B" w:rsidP="00CA1105">
            <w:pPr>
              <w:pStyle w:val="TAL"/>
              <w:rPr>
                <w:color w:val="000000" w:themeColor="text1"/>
              </w:rPr>
            </w:pPr>
            <w:r w:rsidRPr="002149AB">
              <w:rPr>
                <w:color w:val="000000" w:themeColor="text1"/>
              </w:rPr>
              <w:t>20-3</w:t>
            </w:r>
          </w:p>
        </w:tc>
        <w:tc>
          <w:tcPr>
            <w:tcW w:w="2250" w:type="dxa"/>
            <w:tcBorders>
              <w:top w:val="single" w:sz="4" w:space="0" w:color="auto"/>
              <w:left w:val="single" w:sz="4" w:space="0" w:color="auto"/>
              <w:bottom w:val="single" w:sz="4" w:space="0" w:color="auto"/>
              <w:right w:val="single" w:sz="4" w:space="0" w:color="auto"/>
            </w:tcBorders>
            <w:hideMark/>
          </w:tcPr>
          <w:p w14:paraId="3EE9D17E" w14:textId="77777777" w:rsidR="0041563B" w:rsidRPr="002149AB" w:rsidRDefault="0041563B" w:rsidP="00CA1105">
            <w:pPr>
              <w:pStyle w:val="TAL"/>
              <w:rPr>
                <w:color w:val="000000" w:themeColor="text1"/>
              </w:rPr>
            </w:pPr>
            <w:r w:rsidRPr="002149AB">
              <w:rPr>
                <w:color w:val="000000" w:themeColor="text1"/>
              </w:rPr>
              <w:t>Extension of RACH occasions and periodicities for backhaul RACH resources</w:t>
            </w:r>
          </w:p>
        </w:tc>
        <w:tc>
          <w:tcPr>
            <w:tcW w:w="4410" w:type="dxa"/>
            <w:tcBorders>
              <w:top w:val="single" w:sz="4" w:space="0" w:color="auto"/>
              <w:left w:val="single" w:sz="4" w:space="0" w:color="auto"/>
              <w:bottom w:val="single" w:sz="4" w:space="0" w:color="auto"/>
              <w:right w:val="single" w:sz="4" w:space="0" w:color="auto"/>
            </w:tcBorders>
            <w:hideMark/>
          </w:tcPr>
          <w:p w14:paraId="2B16A0E5" w14:textId="77777777" w:rsidR="0041563B" w:rsidRPr="002149AB" w:rsidRDefault="0041563B" w:rsidP="00CA1105">
            <w:pPr>
              <w:pStyle w:val="TAL"/>
              <w:rPr>
                <w:rFonts w:eastAsia="SimSun"/>
                <w:color w:val="000000" w:themeColor="text1"/>
                <w:lang w:eastAsia="zh-CN"/>
              </w:rPr>
            </w:pPr>
            <w:r w:rsidRPr="002149AB">
              <w:rPr>
                <w:color w:val="000000" w:themeColor="text1"/>
                <w:lang w:eastAsia="zh-CN"/>
              </w:rPr>
              <w:t>Support RACH configuration for IAB-MT separately from the RACH configuration for UE access, including new IAB-specific offset and scaling factors</w:t>
            </w:r>
          </w:p>
        </w:tc>
        <w:tc>
          <w:tcPr>
            <w:tcW w:w="2970" w:type="dxa"/>
            <w:tcBorders>
              <w:top w:val="single" w:sz="4" w:space="0" w:color="auto"/>
              <w:left w:val="single" w:sz="4" w:space="0" w:color="auto"/>
              <w:bottom w:val="single" w:sz="4" w:space="0" w:color="auto"/>
              <w:right w:val="single" w:sz="4" w:space="0" w:color="auto"/>
            </w:tcBorders>
            <w:hideMark/>
          </w:tcPr>
          <w:p w14:paraId="0BD1147E" w14:textId="77777777" w:rsidR="0041563B" w:rsidRPr="002149AB" w:rsidRDefault="0041563B" w:rsidP="00CA1105">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bl>
    <w:p w14:paraId="4F842223" w14:textId="43F700BA" w:rsidR="00A81C8D" w:rsidRDefault="00A81C8D" w:rsidP="002C3890">
      <w:pPr>
        <w:rPr>
          <w:rFonts w:ascii="Calibri" w:eastAsia="Calibri" w:hAnsi="Calibri"/>
          <w:sz w:val="22"/>
          <w:szCs w:val="22"/>
        </w:rPr>
      </w:pPr>
    </w:p>
    <w:p w14:paraId="75E3BB5B" w14:textId="3C977F74" w:rsidR="0041563B" w:rsidRDefault="0041563B" w:rsidP="002C3890">
      <w:pPr>
        <w:rPr>
          <w:rFonts w:ascii="Calibri" w:eastAsia="Calibri" w:hAnsi="Calibri"/>
          <w:sz w:val="22"/>
          <w:szCs w:val="22"/>
        </w:rPr>
      </w:pPr>
    </w:p>
    <w:p w14:paraId="550CE9FB" w14:textId="43915B09" w:rsidR="009F2BEC" w:rsidRPr="009F2BEC" w:rsidRDefault="009F2BEC" w:rsidP="009F2BEC">
      <w:pPr>
        <w:rPr>
          <w:rFonts w:ascii="SimSun" w:eastAsia="SimSun" w:hAnsi="SimSun"/>
          <w:color w:val="000000"/>
        </w:rPr>
      </w:pPr>
      <w:r w:rsidRPr="009F2BEC">
        <w:rPr>
          <w:rFonts w:ascii="Calibri" w:eastAsia="SimSun" w:hAnsi="Calibri" w:cs="Calibri"/>
          <w:color w:val="000000"/>
          <w:sz w:val="22"/>
          <w:szCs w:val="22"/>
        </w:rPr>
        <w:t>For </w:t>
      </w:r>
      <w:r w:rsidRPr="009F2BEC">
        <w:rPr>
          <w:rFonts w:ascii="Calibri" w:eastAsia="SimSun" w:hAnsi="Calibri" w:cs="Calibri"/>
          <w:b/>
          <w:bCs/>
          <w:color w:val="000000"/>
          <w:sz w:val="22"/>
          <w:szCs w:val="22"/>
        </w:rPr>
        <w:t>20-2</w:t>
      </w:r>
      <w:r w:rsidRPr="009F2BEC">
        <w:rPr>
          <w:rFonts w:ascii="Calibri" w:eastAsia="SimSun" w:hAnsi="Calibri" w:cs="Calibri"/>
          <w:color w:val="000000"/>
          <w:sz w:val="22"/>
          <w:szCs w:val="22"/>
        </w:rPr>
        <w:t xml:space="preserve">, </w:t>
      </w:r>
      <w:r>
        <w:rPr>
          <w:rFonts w:ascii="Calibri" w:eastAsia="SimSun" w:hAnsi="Calibri" w:cs="Calibri"/>
          <w:color w:val="000000"/>
          <w:sz w:val="22"/>
          <w:szCs w:val="22"/>
        </w:rPr>
        <w:t>given that SSB-based RRM measurements are mandatory for IAB-MTs, it is straightforward for the</w:t>
      </w:r>
      <w:r w:rsidRPr="009F2BEC">
        <w:rPr>
          <w:rFonts w:ascii="Calibri" w:eastAsia="SimSun" w:hAnsi="Calibri" w:cs="Calibri"/>
          <w:color w:val="000000"/>
          <w:sz w:val="22"/>
          <w:szCs w:val="22"/>
        </w:rPr>
        <w:t xml:space="preserve"> network </w:t>
      </w:r>
      <w:r>
        <w:rPr>
          <w:rFonts w:ascii="Calibri" w:eastAsia="SimSun" w:hAnsi="Calibri" w:cs="Calibri"/>
          <w:color w:val="000000"/>
          <w:sz w:val="22"/>
          <w:szCs w:val="22"/>
        </w:rPr>
        <w:t xml:space="preserve">to support the </w:t>
      </w:r>
      <w:r w:rsidRPr="009F2BEC">
        <w:rPr>
          <w:rFonts w:ascii="Calibri" w:eastAsia="SimSun" w:hAnsi="Calibri" w:cs="Calibri"/>
          <w:color w:val="000000"/>
          <w:sz w:val="22"/>
          <w:szCs w:val="22"/>
        </w:rPr>
        <w:t xml:space="preserve">configuration of the multiple STCs/SMTCs </w:t>
      </w:r>
      <w:r>
        <w:rPr>
          <w:rFonts w:ascii="Calibri" w:eastAsia="SimSun" w:hAnsi="Calibri" w:cs="Calibri"/>
          <w:color w:val="000000"/>
          <w:sz w:val="22"/>
          <w:szCs w:val="22"/>
        </w:rPr>
        <w:t>in order</w:t>
      </w:r>
      <w:r w:rsidRPr="009F2BEC">
        <w:rPr>
          <w:rFonts w:ascii="Calibri" w:eastAsia="SimSun" w:hAnsi="Calibri" w:cs="Calibri"/>
          <w:color w:val="000000"/>
          <w:sz w:val="22"/>
          <w:szCs w:val="22"/>
        </w:rPr>
        <w:t xml:space="preserve"> to </w:t>
      </w:r>
      <w:r>
        <w:rPr>
          <w:rFonts w:ascii="Calibri" w:eastAsia="SimSun" w:hAnsi="Calibri" w:cs="Calibri"/>
          <w:color w:val="000000"/>
          <w:sz w:val="22"/>
          <w:szCs w:val="22"/>
        </w:rPr>
        <w:t xml:space="preserve">support </w:t>
      </w:r>
      <w:r w:rsidRPr="009F2BEC">
        <w:rPr>
          <w:rFonts w:ascii="Calibri" w:eastAsia="SimSun" w:hAnsi="Calibri" w:cs="Calibri"/>
          <w:color w:val="000000"/>
          <w:sz w:val="22"/>
          <w:szCs w:val="22"/>
        </w:rPr>
        <w:t xml:space="preserve">multi-hop </w:t>
      </w:r>
      <w:r>
        <w:rPr>
          <w:rFonts w:ascii="Calibri" w:eastAsia="SimSun" w:hAnsi="Calibri" w:cs="Calibri"/>
          <w:color w:val="000000"/>
          <w:sz w:val="22"/>
          <w:szCs w:val="22"/>
        </w:rPr>
        <w:t>deployments which is a fundamental objective of the IAB WI. Given that Rel-16 IAB is based on TDM operation for access and backhaul multiplexing, it is reasonable and consistent that this also applies to Initial access and topology adaptation as well. While it has been proposed that the use of</w:t>
      </w:r>
      <w:r w:rsidRPr="009F2BEC">
        <w:rPr>
          <w:rFonts w:ascii="Calibri" w:eastAsia="SimSun" w:hAnsi="Calibri" w:cs="Calibri"/>
          <w:color w:val="000000"/>
          <w:sz w:val="22"/>
          <w:szCs w:val="22"/>
        </w:rPr>
        <w:t xml:space="preserve"> CSI-RS based RRM</w:t>
      </w:r>
      <w:r>
        <w:rPr>
          <w:rFonts w:ascii="Calibri" w:eastAsia="SimSun" w:hAnsi="Calibri" w:cs="Calibri"/>
          <w:color w:val="000000"/>
          <w:sz w:val="22"/>
          <w:szCs w:val="22"/>
        </w:rPr>
        <w:t xml:space="preserve"> is an alternative solution to the multiple SMTC configurations, given the corresponding Rel-15 features are optional for IAB-MTs, this is not an acceptable solution to guarantee multi-hop topology adaptation is supported in Rel-16.</w:t>
      </w:r>
    </w:p>
    <w:p w14:paraId="6B791859" w14:textId="77777777" w:rsidR="009F2BEC" w:rsidRPr="009F2BEC" w:rsidRDefault="009F2BEC" w:rsidP="009F2BEC">
      <w:pPr>
        <w:rPr>
          <w:rFonts w:ascii="SimSun" w:eastAsia="SimSun" w:hAnsi="SimSun"/>
          <w:color w:val="000000"/>
        </w:rPr>
      </w:pPr>
      <w:r w:rsidRPr="009F2BEC">
        <w:rPr>
          <w:rFonts w:ascii="Calibri" w:eastAsia="SimSun" w:hAnsi="Calibri" w:cs="Calibri"/>
          <w:color w:val="000000"/>
          <w:sz w:val="22"/>
          <w:szCs w:val="22"/>
        </w:rPr>
        <w:lastRenderedPageBreak/>
        <w:t> </w:t>
      </w:r>
    </w:p>
    <w:p w14:paraId="1FA80A31" w14:textId="3A5E518B" w:rsidR="009F2BEC" w:rsidRPr="009F2BEC" w:rsidRDefault="009F2BEC" w:rsidP="009F2BEC">
      <w:pPr>
        <w:rPr>
          <w:rFonts w:ascii="SimSun" w:eastAsia="SimSun" w:hAnsi="SimSun"/>
          <w:color w:val="000000"/>
        </w:rPr>
      </w:pPr>
      <w:r w:rsidRPr="009F2BEC">
        <w:rPr>
          <w:rFonts w:ascii="Calibri" w:eastAsia="SimSun" w:hAnsi="Calibri" w:cs="Calibri"/>
          <w:color w:val="000000"/>
          <w:sz w:val="22"/>
          <w:szCs w:val="22"/>
        </w:rPr>
        <w:t xml:space="preserve">For </w:t>
      </w:r>
      <w:r w:rsidRPr="009F2BEC">
        <w:rPr>
          <w:rFonts w:ascii="Calibri" w:eastAsia="SimSun" w:hAnsi="Calibri" w:cs="Calibri"/>
          <w:b/>
          <w:bCs/>
          <w:color w:val="000000"/>
          <w:sz w:val="22"/>
          <w:szCs w:val="22"/>
        </w:rPr>
        <w:t>20-3</w:t>
      </w:r>
      <w:r w:rsidRPr="009F2BEC">
        <w:rPr>
          <w:rFonts w:ascii="Calibri" w:eastAsia="SimSun" w:hAnsi="Calibri" w:cs="Calibri"/>
          <w:color w:val="000000"/>
          <w:sz w:val="22"/>
          <w:szCs w:val="22"/>
        </w:rPr>
        <w:t xml:space="preserve">, we believe </w:t>
      </w:r>
      <w:r w:rsidR="007B0600">
        <w:rPr>
          <w:rFonts w:ascii="Calibri" w:eastAsia="SimSun" w:hAnsi="Calibri" w:cs="Calibri"/>
          <w:color w:val="000000"/>
          <w:sz w:val="22"/>
          <w:szCs w:val="22"/>
        </w:rPr>
        <w:t>it</w:t>
      </w:r>
      <w:r w:rsidR="007B0600" w:rsidRPr="009F2BEC">
        <w:rPr>
          <w:rFonts w:ascii="Calibri" w:eastAsia="SimSun" w:hAnsi="Calibri" w:cs="Calibri"/>
          <w:color w:val="000000"/>
          <w:sz w:val="22"/>
          <w:szCs w:val="22"/>
        </w:rPr>
        <w:t xml:space="preserve"> </w:t>
      </w:r>
      <w:r w:rsidRPr="009F2BEC">
        <w:rPr>
          <w:rFonts w:ascii="Calibri" w:eastAsia="SimSun" w:hAnsi="Calibri" w:cs="Calibri"/>
          <w:color w:val="000000"/>
          <w:sz w:val="22"/>
          <w:szCs w:val="22"/>
        </w:rPr>
        <w:t xml:space="preserve">is even more critical for wide-area IAB-MTs to support the separate IAB-specific RACH resource configurations compared to local-area IAB-MTs. The backhaul link coverage requirements for planned deployments is expected to be different from the access link due to the different propagation environments and RF/PHY capabilities of IAB nodes compared to UEs. As a result, sharing the same RACH resources across UEs and IAB-MTs may impact both </w:t>
      </w:r>
      <w:r w:rsidR="009D7926">
        <w:rPr>
          <w:rFonts w:ascii="Calibri" w:eastAsia="SimSun" w:hAnsi="Calibri" w:cs="Calibri"/>
          <w:color w:val="000000"/>
          <w:sz w:val="22"/>
          <w:szCs w:val="22"/>
        </w:rPr>
        <w:t xml:space="preserve">UE and </w:t>
      </w:r>
      <w:r w:rsidRPr="009F2BEC">
        <w:rPr>
          <w:rFonts w:ascii="Calibri" w:eastAsia="SimSun" w:hAnsi="Calibri" w:cs="Calibri"/>
          <w:color w:val="000000"/>
          <w:sz w:val="22"/>
          <w:szCs w:val="22"/>
        </w:rPr>
        <w:t>network performance. In addition, since wide-are IAB-MTs are basically fixed nodes in Rel-16, the new </w:t>
      </w:r>
      <w:proofErr w:type="spellStart"/>
      <w:r w:rsidRPr="009F2BEC">
        <w:rPr>
          <w:rFonts w:ascii="Calibri" w:eastAsia="SimSun" w:hAnsi="Calibri" w:cs="Calibri"/>
          <w:i/>
          <w:iCs/>
          <w:color w:val="000000"/>
          <w:sz w:val="22"/>
          <w:szCs w:val="22"/>
        </w:rPr>
        <w:t>prach-ConfigurationPeriodScaling</w:t>
      </w:r>
      <w:proofErr w:type="spellEnd"/>
      <w:r w:rsidRPr="009F2BEC">
        <w:rPr>
          <w:rFonts w:ascii="Calibri" w:eastAsia="SimSun" w:hAnsi="Calibri" w:cs="Calibri"/>
          <w:color w:val="000000"/>
          <w:sz w:val="22"/>
          <w:szCs w:val="22"/>
        </w:rPr>
        <w:t> factors are very beneficial to reduce the overhead of supporting RACH on the backhaul link and we don’t see how they introduce a significant burden on IAB node implementation given they are a simple scaling of the existing values.</w:t>
      </w:r>
    </w:p>
    <w:p w14:paraId="1B01667A" w14:textId="0C9BB705" w:rsidR="0041563B" w:rsidRDefault="0041563B" w:rsidP="009F2BEC">
      <w:pPr>
        <w:rPr>
          <w:rFonts w:ascii="Calibri" w:eastAsia="Calibri" w:hAnsi="Calibri"/>
          <w:sz w:val="22"/>
          <w:szCs w:val="22"/>
        </w:rPr>
      </w:pPr>
    </w:p>
    <w:p w14:paraId="126AFFA9" w14:textId="25542215" w:rsidR="009F2BEC" w:rsidRPr="009F2BEC" w:rsidRDefault="009F2BEC" w:rsidP="002C3890">
      <w:pPr>
        <w:rPr>
          <w:rFonts w:ascii="Calibri" w:eastAsia="Calibri" w:hAnsi="Calibri"/>
          <w:b/>
          <w:bCs/>
          <w:sz w:val="22"/>
          <w:szCs w:val="22"/>
        </w:rPr>
      </w:pPr>
      <w:r w:rsidRPr="009F2BEC">
        <w:rPr>
          <w:rFonts w:ascii="Calibri" w:eastAsia="Calibri" w:hAnsi="Calibri"/>
          <w:b/>
          <w:bCs/>
          <w:sz w:val="22"/>
          <w:szCs w:val="22"/>
        </w:rPr>
        <w:t>Proposal 3: For FGs 20-2 and 20-3 in the Rel-16 NR UE Feature list, the following is agreed:</w:t>
      </w:r>
    </w:p>
    <w:p w14:paraId="417962CB" w14:textId="77777777" w:rsidR="009F2BEC" w:rsidRDefault="009F2BEC" w:rsidP="002C3890">
      <w:pPr>
        <w:rPr>
          <w:rFonts w:ascii="Calibri" w:eastAsia="SimSun" w:hAnsi="Calibri" w:cs="Calibri"/>
          <w:b/>
          <w:bCs/>
          <w:color w:val="000000"/>
          <w:sz w:val="22"/>
          <w:szCs w:val="22"/>
        </w:rPr>
      </w:pPr>
    </w:p>
    <w:p w14:paraId="507E2F1D" w14:textId="26590DF6" w:rsidR="009F2BEC" w:rsidRPr="009F2BEC" w:rsidRDefault="009F2BEC" w:rsidP="009F2BEC">
      <w:pPr>
        <w:ind w:firstLine="576"/>
        <w:rPr>
          <w:rFonts w:ascii="Calibri" w:eastAsia="SimSun" w:hAnsi="Calibri" w:cs="Calibri"/>
          <w:b/>
          <w:bCs/>
          <w:color w:val="000000"/>
          <w:sz w:val="22"/>
          <w:szCs w:val="22"/>
        </w:rPr>
      </w:pPr>
      <w:r w:rsidRPr="009F2BEC">
        <w:rPr>
          <w:rFonts w:ascii="Calibri" w:eastAsia="SimSun" w:hAnsi="Calibri" w:cs="Calibri"/>
          <w:b/>
          <w:bCs/>
          <w:color w:val="000000"/>
          <w:sz w:val="22"/>
          <w:szCs w:val="22"/>
        </w:rPr>
        <w:t xml:space="preserve">Optional with capability </w:t>
      </w:r>
      <w:proofErr w:type="spellStart"/>
      <w:r w:rsidRPr="009F2BEC">
        <w:rPr>
          <w:rFonts w:ascii="Calibri" w:eastAsia="SimSun" w:hAnsi="Calibri" w:cs="Calibri"/>
          <w:b/>
          <w:bCs/>
          <w:color w:val="000000"/>
          <w:sz w:val="22"/>
          <w:szCs w:val="22"/>
        </w:rPr>
        <w:t>signalling</w:t>
      </w:r>
      <w:proofErr w:type="spellEnd"/>
      <w:r w:rsidRPr="009F2BEC">
        <w:rPr>
          <w:rFonts w:ascii="Calibri" w:eastAsia="SimSun" w:hAnsi="Calibri" w:cs="Calibri"/>
          <w:b/>
          <w:bCs/>
          <w:color w:val="000000"/>
          <w:sz w:val="22"/>
          <w:szCs w:val="22"/>
        </w:rPr>
        <w:t>. Devices supporting IAB backhaul must report this FG as supported.</w:t>
      </w:r>
    </w:p>
    <w:p w14:paraId="4D0610C7" w14:textId="77777777" w:rsidR="009F2BEC" w:rsidRPr="00A81C8D" w:rsidRDefault="009F2BEC" w:rsidP="002C3890">
      <w:pPr>
        <w:rPr>
          <w:rFonts w:ascii="Calibri" w:eastAsia="Calibri" w:hAnsi="Calibri"/>
          <w:sz w:val="22"/>
          <w:szCs w:val="22"/>
        </w:rPr>
      </w:pPr>
    </w:p>
    <w:p w14:paraId="13B77883" w14:textId="597D2D5A" w:rsidR="00BC73D7" w:rsidRPr="00172743" w:rsidRDefault="00A81C8D" w:rsidP="00BC73D7">
      <w:pPr>
        <w:pStyle w:val="Heading2"/>
      </w:pPr>
      <w:r w:rsidRPr="000E3724">
        <w:t xml:space="preserve">Layer-2 and Layer-3 </w:t>
      </w:r>
      <w:r>
        <w:t xml:space="preserve">IAB-MT </w:t>
      </w:r>
      <w:r w:rsidRPr="000E3724">
        <w:t>features</w:t>
      </w:r>
    </w:p>
    <w:p w14:paraId="2EB4BA64" w14:textId="4F6B2334" w:rsidR="009F2BEC" w:rsidRDefault="009F2BEC" w:rsidP="00A81C8D">
      <w:pPr>
        <w:rPr>
          <w:rFonts w:ascii="Calibri" w:eastAsia="Calibri" w:hAnsi="Calibri"/>
          <w:sz w:val="22"/>
          <w:szCs w:val="22"/>
        </w:rPr>
      </w:pPr>
      <w:r>
        <w:rPr>
          <w:rFonts w:ascii="Calibri" w:eastAsia="Calibri" w:hAnsi="Calibri"/>
          <w:sz w:val="22"/>
          <w:szCs w:val="22"/>
        </w:rPr>
        <w:t>During RAN2#110-e the following agreements were reached regarding IAB-MT mandatory capabilities:</w:t>
      </w:r>
    </w:p>
    <w:p w14:paraId="128523A2" w14:textId="77777777" w:rsidR="009F2BEC" w:rsidRPr="00405D30" w:rsidRDefault="009F2BEC" w:rsidP="004B3CA9">
      <w:pPr>
        <w:pStyle w:val="Agreement"/>
        <w:tabs>
          <w:tab w:val="clear" w:pos="1619"/>
          <w:tab w:val="num" w:pos="1080"/>
        </w:tabs>
        <w:ind w:left="1080"/>
        <w:rPr>
          <w:lang w:val="en-US" w:eastAsia="zh-CN"/>
        </w:rPr>
      </w:pPr>
      <w:r w:rsidRPr="00405D30">
        <w:rPr>
          <w:lang w:val="en-US" w:eastAsia="zh-CN"/>
        </w:rPr>
        <w:t>Minimum set of IAB-MT capabilities should contain:</w:t>
      </w:r>
    </w:p>
    <w:p w14:paraId="18B4C290" w14:textId="77777777" w:rsidR="009F2BEC" w:rsidRPr="00405D30" w:rsidRDefault="009F2BEC" w:rsidP="004B3CA9">
      <w:pPr>
        <w:pStyle w:val="ListParagraph"/>
        <w:numPr>
          <w:ilvl w:val="0"/>
          <w:numId w:val="44"/>
        </w:numPr>
        <w:spacing w:before="0" w:after="0" w:line="276" w:lineRule="auto"/>
        <w:ind w:left="1440"/>
        <w:contextualSpacing w:val="0"/>
        <w:jc w:val="left"/>
        <w:rPr>
          <w:b/>
          <w:bCs/>
          <w:lang w:eastAsia="zh-CN"/>
        </w:rPr>
      </w:pPr>
      <w:r w:rsidRPr="00405D30">
        <w:rPr>
          <w:b/>
          <w:bCs/>
          <w:lang w:eastAsia="zh-CN"/>
        </w:rPr>
        <w:t>Features which are indispensable for IAB-MT to perform initial access and establish an RRC connection and OAM connection with the network.</w:t>
      </w:r>
    </w:p>
    <w:p w14:paraId="6998D771" w14:textId="77777777" w:rsidR="009F2BEC" w:rsidRPr="00405D30" w:rsidRDefault="009F2BEC" w:rsidP="004B3CA9">
      <w:pPr>
        <w:pStyle w:val="ListParagraph"/>
        <w:numPr>
          <w:ilvl w:val="0"/>
          <w:numId w:val="44"/>
        </w:numPr>
        <w:spacing w:before="0" w:after="0" w:line="276" w:lineRule="auto"/>
        <w:ind w:left="1440"/>
        <w:contextualSpacing w:val="0"/>
        <w:jc w:val="left"/>
        <w:rPr>
          <w:b/>
          <w:bCs/>
          <w:lang w:eastAsia="zh-CN"/>
        </w:rPr>
      </w:pPr>
      <w:r w:rsidRPr="00405D30">
        <w:rPr>
          <w:b/>
          <w:bCs/>
          <w:lang w:eastAsia="zh-CN"/>
        </w:rPr>
        <w:t>Basic BAP procedures, i.e. routing, bearer mapping</w:t>
      </w:r>
    </w:p>
    <w:p w14:paraId="278DEEAE" w14:textId="77777777" w:rsidR="009F2BEC" w:rsidRDefault="009F2BEC" w:rsidP="004B3CA9">
      <w:pPr>
        <w:pStyle w:val="ListParagraph"/>
        <w:numPr>
          <w:ilvl w:val="0"/>
          <w:numId w:val="44"/>
        </w:numPr>
        <w:spacing w:before="0" w:after="0" w:line="276" w:lineRule="auto"/>
        <w:ind w:left="1440"/>
        <w:contextualSpacing w:val="0"/>
        <w:jc w:val="left"/>
        <w:rPr>
          <w:b/>
          <w:bCs/>
          <w:lang w:eastAsia="zh-CN"/>
        </w:rPr>
      </w:pPr>
      <w:r w:rsidRPr="00405D30">
        <w:rPr>
          <w:b/>
          <w:bCs/>
          <w:lang w:eastAsia="zh-CN"/>
        </w:rPr>
        <w:t xml:space="preserve">IP </w:t>
      </w:r>
      <w:proofErr w:type="spellStart"/>
      <w:r>
        <w:rPr>
          <w:b/>
          <w:bCs/>
          <w:lang w:eastAsia="zh-CN"/>
        </w:rPr>
        <w:t>signalling</w:t>
      </w:r>
      <w:proofErr w:type="spellEnd"/>
      <w:r w:rsidRPr="00405D30">
        <w:rPr>
          <w:b/>
          <w:bCs/>
          <w:lang w:eastAsia="zh-CN"/>
        </w:rPr>
        <w:t xml:space="preserve"> over RRC</w:t>
      </w:r>
    </w:p>
    <w:p w14:paraId="73BC1BD8" w14:textId="0B0A60E1" w:rsidR="009F2BEC" w:rsidRDefault="009F2BEC" w:rsidP="00A81C8D">
      <w:pPr>
        <w:rPr>
          <w:rFonts w:ascii="Calibri" w:eastAsia="Calibri" w:hAnsi="Calibri"/>
          <w:sz w:val="22"/>
          <w:szCs w:val="22"/>
        </w:rPr>
      </w:pPr>
    </w:p>
    <w:p w14:paraId="28335F26" w14:textId="22CEC452" w:rsidR="009F2BEC" w:rsidRDefault="009F2BEC" w:rsidP="00A81C8D">
      <w:pPr>
        <w:rPr>
          <w:rFonts w:ascii="Calibri" w:eastAsia="Calibri" w:hAnsi="Calibri"/>
          <w:sz w:val="22"/>
          <w:szCs w:val="22"/>
        </w:rPr>
      </w:pPr>
      <w:r>
        <w:rPr>
          <w:rFonts w:ascii="Calibri" w:eastAsia="Calibri" w:hAnsi="Calibri"/>
          <w:sz w:val="22"/>
          <w:szCs w:val="22"/>
        </w:rPr>
        <w:t xml:space="preserve">In addition, while support for topology adaptation was discussed, no agreement was </w:t>
      </w:r>
      <w:proofErr w:type="gramStart"/>
      <w:r>
        <w:rPr>
          <w:rFonts w:ascii="Calibri" w:eastAsia="Calibri" w:hAnsi="Calibri"/>
          <w:sz w:val="22"/>
          <w:szCs w:val="22"/>
        </w:rPr>
        <w:t>reached</w:t>
      </w:r>
      <w:proofErr w:type="gramEnd"/>
      <w:r w:rsidR="004B3CA9">
        <w:rPr>
          <w:rFonts w:ascii="Calibri" w:eastAsia="Calibri" w:hAnsi="Calibri"/>
          <w:sz w:val="22"/>
          <w:szCs w:val="22"/>
        </w:rPr>
        <w:t xml:space="preserve"> and the following Chair’s summary was captured in the meeting notes:</w:t>
      </w:r>
    </w:p>
    <w:p w14:paraId="714E49EA" w14:textId="637684D3" w:rsidR="004B3CA9" w:rsidRDefault="004B3CA9" w:rsidP="00A81C8D">
      <w:pPr>
        <w:rPr>
          <w:rFonts w:ascii="Calibri" w:eastAsia="Calibri" w:hAnsi="Calibri"/>
          <w:sz w:val="22"/>
          <w:szCs w:val="22"/>
        </w:rPr>
      </w:pPr>
    </w:p>
    <w:p w14:paraId="54D2855E" w14:textId="34781581" w:rsidR="004B3CA9" w:rsidRDefault="004B3CA9" w:rsidP="004B3CA9">
      <w:pPr>
        <w:ind w:left="720"/>
        <w:rPr>
          <w:rFonts w:ascii="Calibri" w:eastAsia="Calibri" w:hAnsi="Calibri"/>
          <w:sz w:val="22"/>
          <w:szCs w:val="22"/>
        </w:rPr>
      </w:pPr>
      <w:r>
        <w:t>Chair Summary On topology adaptation, Operators and (some) Network Vendors have opposite opinions. Attempt to agree Mandatory, Mandatory only for Local area IAB MT, Mandatory with possibility for early deployment non-support were all blocked by objections.</w:t>
      </w:r>
    </w:p>
    <w:p w14:paraId="36B1FC6A" w14:textId="0C19B2AB" w:rsidR="00A81C8D" w:rsidRDefault="00A81C8D" w:rsidP="00A81C8D">
      <w:pPr>
        <w:rPr>
          <w:rFonts w:ascii="Calibri" w:eastAsia="Calibri" w:hAnsi="Calibri"/>
          <w:sz w:val="22"/>
          <w:szCs w:val="22"/>
        </w:rPr>
      </w:pPr>
    </w:p>
    <w:p w14:paraId="59D3F3C5" w14:textId="3ECB9A24" w:rsidR="00A81C8D" w:rsidRDefault="004B3CA9" w:rsidP="004B3CA9">
      <w:pPr>
        <w:rPr>
          <w:rFonts w:ascii="Calibri" w:eastAsia="Calibri" w:hAnsi="Calibri"/>
          <w:sz w:val="22"/>
          <w:szCs w:val="22"/>
        </w:rPr>
      </w:pPr>
      <w:r>
        <w:rPr>
          <w:rFonts w:ascii="Calibri" w:eastAsia="Calibri" w:hAnsi="Calibri"/>
          <w:sz w:val="22"/>
          <w:szCs w:val="22"/>
        </w:rPr>
        <w:t>As a result, since there was no consensus on the mandatory/optional support for topology adaptation the handling of the following Rel-15 features is left TBD:</w:t>
      </w:r>
    </w:p>
    <w:p w14:paraId="23E52F7F" w14:textId="77777777" w:rsidR="004B3CA9" w:rsidRPr="00E237EC" w:rsidRDefault="004B3CA9" w:rsidP="004B3CA9">
      <w:pPr>
        <w:rPr>
          <w:rFonts w:ascii="Calibri" w:eastAsia="Calibri" w:hAnsi="Calibri"/>
          <w:b/>
          <w:bCs/>
          <w:sz w:val="22"/>
          <w:szCs w:val="22"/>
        </w:rPr>
      </w:pPr>
    </w:p>
    <w:p w14:paraId="333BB7B7" w14:textId="77777777" w:rsidR="00A81C8D" w:rsidRPr="004B3CA9" w:rsidRDefault="00A81C8D" w:rsidP="004B3CA9">
      <w:pPr>
        <w:ind w:left="720"/>
        <w:rPr>
          <w:rFonts w:ascii="Calibri" w:eastAsia="Calibri" w:hAnsi="Calibri"/>
          <w:sz w:val="22"/>
          <w:szCs w:val="22"/>
        </w:rPr>
      </w:pPr>
      <w:r w:rsidRPr="004B3CA9">
        <w:rPr>
          <w:rFonts w:ascii="Calibri" w:eastAsia="Calibri" w:hAnsi="Calibri"/>
          <w:sz w:val="22"/>
          <w:szCs w:val="22"/>
        </w:rPr>
        <w:t>4-1</w:t>
      </w:r>
      <w:r w:rsidRPr="004B3CA9">
        <w:rPr>
          <w:rFonts w:ascii="Calibri" w:eastAsia="Calibri" w:hAnsi="Calibri"/>
          <w:sz w:val="22"/>
          <w:szCs w:val="22"/>
        </w:rPr>
        <w:tab/>
        <w:t>Intra-NR measurements and reports</w:t>
      </w:r>
    </w:p>
    <w:p w14:paraId="1503B795" w14:textId="77777777" w:rsidR="00A81C8D" w:rsidRPr="004B3CA9" w:rsidRDefault="00A81C8D" w:rsidP="004B3CA9">
      <w:pPr>
        <w:ind w:left="720"/>
        <w:rPr>
          <w:rFonts w:ascii="Calibri" w:eastAsia="Calibri" w:hAnsi="Calibri"/>
          <w:sz w:val="22"/>
          <w:szCs w:val="22"/>
        </w:rPr>
      </w:pPr>
      <w:r w:rsidRPr="004B3CA9">
        <w:rPr>
          <w:rFonts w:ascii="Calibri" w:eastAsia="Calibri" w:hAnsi="Calibri"/>
          <w:sz w:val="22"/>
          <w:szCs w:val="22"/>
        </w:rPr>
        <w:t>7-1</w:t>
      </w:r>
      <w:r w:rsidRPr="004B3CA9">
        <w:rPr>
          <w:rFonts w:ascii="Calibri" w:eastAsia="Calibri" w:hAnsi="Calibri"/>
          <w:sz w:val="22"/>
          <w:szCs w:val="22"/>
        </w:rPr>
        <w:tab/>
        <w:t>Handover:</w:t>
      </w:r>
    </w:p>
    <w:p w14:paraId="4AA68946" w14:textId="77777777" w:rsidR="00A81C8D" w:rsidRPr="004B3CA9" w:rsidRDefault="00A81C8D" w:rsidP="004B3CA9">
      <w:pPr>
        <w:ind w:left="1440"/>
        <w:rPr>
          <w:rFonts w:ascii="Calibri" w:eastAsia="Calibri" w:hAnsi="Calibri"/>
          <w:sz w:val="22"/>
          <w:szCs w:val="22"/>
        </w:rPr>
      </w:pPr>
      <w:r w:rsidRPr="004B3CA9">
        <w:rPr>
          <w:rFonts w:ascii="Calibri" w:eastAsia="Calibri" w:hAnsi="Calibri"/>
          <w:sz w:val="22"/>
          <w:szCs w:val="22"/>
        </w:rPr>
        <w:t>1) Intra-frequency HO</w:t>
      </w:r>
    </w:p>
    <w:p w14:paraId="71ED1A78" w14:textId="77777777" w:rsidR="00A81C8D" w:rsidRPr="004B3CA9" w:rsidRDefault="00A81C8D" w:rsidP="004B3CA9">
      <w:pPr>
        <w:ind w:left="1440"/>
        <w:rPr>
          <w:rFonts w:ascii="Calibri" w:eastAsia="Calibri" w:hAnsi="Calibri"/>
          <w:sz w:val="22"/>
          <w:szCs w:val="22"/>
        </w:rPr>
      </w:pPr>
      <w:r w:rsidRPr="004B3CA9">
        <w:rPr>
          <w:rFonts w:ascii="Calibri" w:eastAsia="Calibri" w:hAnsi="Calibri"/>
          <w:sz w:val="22"/>
          <w:szCs w:val="22"/>
        </w:rPr>
        <w:t>2) Inter-frequency HO</w:t>
      </w:r>
    </w:p>
    <w:p w14:paraId="30570FFD" w14:textId="2A5BDB80" w:rsidR="00A81C8D" w:rsidRDefault="00A81C8D" w:rsidP="002C3890">
      <w:pPr>
        <w:rPr>
          <w:rFonts w:ascii="Calibri" w:eastAsia="Calibri" w:hAnsi="Calibri"/>
          <w:sz w:val="22"/>
          <w:szCs w:val="22"/>
        </w:rPr>
      </w:pPr>
    </w:p>
    <w:p w14:paraId="21009877" w14:textId="29B2A879" w:rsidR="004B3CA9" w:rsidRDefault="004B3CA9" w:rsidP="002C3890">
      <w:pPr>
        <w:rPr>
          <w:rFonts w:ascii="Calibri" w:eastAsia="Calibri" w:hAnsi="Calibri"/>
          <w:sz w:val="22"/>
          <w:szCs w:val="22"/>
        </w:rPr>
      </w:pPr>
      <w:r>
        <w:rPr>
          <w:rFonts w:ascii="Calibri" w:eastAsia="Calibri" w:hAnsi="Calibri"/>
          <w:sz w:val="22"/>
          <w:szCs w:val="22"/>
        </w:rPr>
        <w:t>However, as was extensively discussed in RAN2 and other WGs, lack of support for topology adaptation is severely limiting for deployment of IAB-nodes regardless of whether they are wide-area or local-area nodes. Furthermore, given that RAN1 has agreed SSB-based RRM measurements are mandatory for at least wide-area IAB-MTs, consistent agreements should be applied across WGs and the following features should be mandatory for IAB-MTs with capability signaling (to enable</w:t>
      </w:r>
      <w:r w:rsidR="00752810">
        <w:rPr>
          <w:rFonts w:ascii="Calibri" w:eastAsia="Calibri" w:hAnsi="Calibri"/>
          <w:sz w:val="22"/>
          <w:szCs w:val="22"/>
        </w:rPr>
        <w:t xml:space="preserve"> the</w:t>
      </w:r>
      <w:r>
        <w:rPr>
          <w:rFonts w:ascii="Calibri" w:eastAsia="Calibri" w:hAnsi="Calibri"/>
          <w:sz w:val="22"/>
          <w:szCs w:val="22"/>
        </w:rPr>
        <w:t xml:space="preserve"> potential for IAB nodes without this functionality in limited small-scale or isolated early deployments).</w:t>
      </w:r>
    </w:p>
    <w:p w14:paraId="23B43701" w14:textId="53AEF2F6" w:rsidR="004B3CA9" w:rsidRDefault="004B3CA9" w:rsidP="002C3890">
      <w:pPr>
        <w:rPr>
          <w:rFonts w:ascii="Calibri" w:eastAsia="Calibri" w:hAnsi="Calibri"/>
          <w:sz w:val="22"/>
          <w:szCs w:val="22"/>
        </w:rPr>
      </w:pPr>
    </w:p>
    <w:p w14:paraId="0DBA1D6A" w14:textId="2D9F3694" w:rsidR="004B3CA9" w:rsidRDefault="004B3CA9" w:rsidP="004B3CA9">
      <w:pPr>
        <w:rPr>
          <w:rFonts w:ascii="Calibri" w:eastAsia="Calibri" w:hAnsi="Calibri"/>
          <w:b/>
          <w:bCs/>
          <w:sz w:val="22"/>
          <w:szCs w:val="22"/>
        </w:rPr>
      </w:pPr>
      <w:r w:rsidRPr="009F2BEC">
        <w:rPr>
          <w:rFonts w:ascii="Calibri" w:eastAsia="Calibri" w:hAnsi="Calibri"/>
          <w:b/>
          <w:bCs/>
          <w:sz w:val="22"/>
          <w:szCs w:val="22"/>
        </w:rPr>
        <w:t xml:space="preserve">Proposal </w:t>
      </w:r>
      <w:r>
        <w:rPr>
          <w:rFonts w:ascii="Calibri" w:eastAsia="Calibri" w:hAnsi="Calibri"/>
          <w:b/>
          <w:bCs/>
          <w:sz w:val="22"/>
          <w:szCs w:val="22"/>
        </w:rPr>
        <w:t>4</w:t>
      </w:r>
      <w:r w:rsidRPr="009F2BEC">
        <w:rPr>
          <w:rFonts w:ascii="Calibri" w:eastAsia="Calibri" w:hAnsi="Calibri"/>
          <w:b/>
          <w:bCs/>
          <w:sz w:val="22"/>
          <w:szCs w:val="22"/>
        </w:rPr>
        <w:t xml:space="preserve">: </w:t>
      </w:r>
      <w:r>
        <w:rPr>
          <w:rFonts w:ascii="Calibri" w:eastAsia="Calibri" w:hAnsi="Calibri"/>
          <w:b/>
          <w:bCs/>
          <w:sz w:val="22"/>
          <w:szCs w:val="22"/>
        </w:rPr>
        <w:t>The following Rel-15 Layer-2 and Layer-3 UE Features are mandatory with capability signaling for IAB-MTs:</w:t>
      </w:r>
    </w:p>
    <w:p w14:paraId="4DE43E37" w14:textId="77777777" w:rsidR="004B3CA9" w:rsidRPr="004B3CA9" w:rsidRDefault="004B3CA9" w:rsidP="004B3CA9">
      <w:pPr>
        <w:ind w:left="720"/>
        <w:rPr>
          <w:rFonts w:ascii="Calibri" w:eastAsia="Calibri" w:hAnsi="Calibri"/>
          <w:b/>
          <w:bCs/>
          <w:sz w:val="22"/>
          <w:szCs w:val="22"/>
        </w:rPr>
      </w:pPr>
      <w:r w:rsidRPr="004B3CA9">
        <w:rPr>
          <w:rFonts w:ascii="Calibri" w:eastAsia="Calibri" w:hAnsi="Calibri"/>
          <w:b/>
          <w:bCs/>
          <w:sz w:val="22"/>
          <w:szCs w:val="22"/>
        </w:rPr>
        <w:t>4-1</w:t>
      </w:r>
      <w:r w:rsidRPr="004B3CA9">
        <w:rPr>
          <w:rFonts w:ascii="Calibri" w:eastAsia="Calibri" w:hAnsi="Calibri"/>
          <w:b/>
          <w:bCs/>
          <w:sz w:val="22"/>
          <w:szCs w:val="22"/>
        </w:rPr>
        <w:tab/>
        <w:t>Intra-NR measurements and reports</w:t>
      </w:r>
    </w:p>
    <w:p w14:paraId="4833B4AC" w14:textId="77777777" w:rsidR="004B3CA9" w:rsidRPr="004B3CA9" w:rsidRDefault="004B3CA9" w:rsidP="004B3CA9">
      <w:pPr>
        <w:ind w:left="720"/>
        <w:rPr>
          <w:rFonts w:ascii="Calibri" w:eastAsia="Calibri" w:hAnsi="Calibri"/>
          <w:b/>
          <w:bCs/>
          <w:sz w:val="22"/>
          <w:szCs w:val="22"/>
        </w:rPr>
      </w:pPr>
      <w:r w:rsidRPr="004B3CA9">
        <w:rPr>
          <w:rFonts w:ascii="Calibri" w:eastAsia="Calibri" w:hAnsi="Calibri"/>
          <w:b/>
          <w:bCs/>
          <w:sz w:val="22"/>
          <w:szCs w:val="22"/>
        </w:rPr>
        <w:t>7-1</w:t>
      </w:r>
      <w:r w:rsidRPr="004B3CA9">
        <w:rPr>
          <w:rFonts w:ascii="Calibri" w:eastAsia="Calibri" w:hAnsi="Calibri"/>
          <w:b/>
          <w:bCs/>
          <w:sz w:val="22"/>
          <w:szCs w:val="22"/>
        </w:rPr>
        <w:tab/>
        <w:t>Handover:</w:t>
      </w:r>
    </w:p>
    <w:p w14:paraId="02A70B85" w14:textId="77777777" w:rsidR="004B3CA9" w:rsidRPr="004B3CA9" w:rsidRDefault="004B3CA9" w:rsidP="004B3CA9">
      <w:pPr>
        <w:ind w:left="1440"/>
        <w:rPr>
          <w:rFonts w:ascii="Calibri" w:eastAsia="Calibri" w:hAnsi="Calibri"/>
          <w:b/>
          <w:bCs/>
          <w:sz w:val="22"/>
          <w:szCs w:val="22"/>
        </w:rPr>
      </w:pPr>
      <w:r w:rsidRPr="004B3CA9">
        <w:rPr>
          <w:rFonts w:ascii="Calibri" w:eastAsia="Calibri" w:hAnsi="Calibri"/>
          <w:b/>
          <w:bCs/>
          <w:sz w:val="22"/>
          <w:szCs w:val="22"/>
        </w:rPr>
        <w:t>1) Intra-frequency HO</w:t>
      </w:r>
    </w:p>
    <w:p w14:paraId="5D71A968" w14:textId="7ADFFDE2" w:rsidR="004B3CA9" w:rsidRDefault="004B3CA9" w:rsidP="004B3CA9">
      <w:pPr>
        <w:ind w:left="1440"/>
        <w:rPr>
          <w:rFonts w:ascii="Calibri" w:eastAsia="Calibri" w:hAnsi="Calibri"/>
          <w:b/>
          <w:bCs/>
          <w:sz w:val="22"/>
          <w:szCs w:val="22"/>
        </w:rPr>
      </w:pPr>
      <w:r w:rsidRPr="004B3CA9">
        <w:rPr>
          <w:rFonts w:ascii="Calibri" w:eastAsia="Calibri" w:hAnsi="Calibri"/>
          <w:b/>
          <w:bCs/>
          <w:sz w:val="22"/>
          <w:szCs w:val="22"/>
        </w:rPr>
        <w:t>2) Inter-frequency HO</w:t>
      </w:r>
    </w:p>
    <w:p w14:paraId="1CAB2314" w14:textId="7F92B1EA" w:rsidR="00A81C8D" w:rsidRPr="00172743" w:rsidRDefault="0041563B" w:rsidP="00A81C8D">
      <w:pPr>
        <w:pStyle w:val="Heading2"/>
      </w:pPr>
      <w:r>
        <w:lastRenderedPageBreak/>
        <w:t>IAB-DU Features</w:t>
      </w:r>
    </w:p>
    <w:p w14:paraId="20E48D15" w14:textId="5C325655" w:rsidR="00A81C8D" w:rsidRDefault="00A81C8D" w:rsidP="00A81C8D">
      <w:pPr>
        <w:rPr>
          <w:rFonts w:ascii="Calibri" w:eastAsia="Calibri" w:hAnsi="Calibri"/>
          <w:sz w:val="22"/>
          <w:szCs w:val="22"/>
        </w:rPr>
      </w:pPr>
      <w:r>
        <w:rPr>
          <w:rFonts w:ascii="Calibri" w:eastAsia="Calibri" w:hAnsi="Calibri"/>
          <w:sz w:val="22"/>
          <w:szCs w:val="22"/>
        </w:rPr>
        <w:t xml:space="preserve">One of the unique aspects of IAB nodes is that they include both IAB-DU functions and IAB-MT functions. While typically capability signaling for features is not defined for network nodes, since IAB nodes may be deployed in a multi-vendor environment, it is important to ensure interoperability just as for access UEs. As a result, during RAN1#100bis-e, RAN1 sent an LS of Layer 1 features impacting IAB-DUs </w:t>
      </w:r>
      <w:r w:rsidR="00356D30">
        <w:rPr>
          <w:rFonts w:ascii="Calibri" w:eastAsia="Calibri" w:hAnsi="Calibri"/>
          <w:sz w:val="22"/>
          <w:szCs w:val="22"/>
        </w:rPr>
        <w:t>to RAN3</w:t>
      </w:r>
      <w:r>
        <w:rPr>
          <w:rFonts w:ascii="Calibri" w:eastAsia="Calibri" w:hAnsi="Calibri"/>
          <w:sz w:val="22"/>
          <w:szCs w:val="22"/>
        </w:rPr>
        <w:t>:</w:t>
      </w:r>
    </w:p>
    <w:p w14:paraId="7B053219" w14:textId="77777777" w:rsidR="00A81C8D" w:rsidRDefault="00A81C8D" w:rsidP="00A81C8D">
      <w:pPr>
        <w:rPr>
          <w:rFonts w:ascii="Calibri" w:eastAsia="Calibri" w:hAnsi="Calibri"/>
          <w:sz w:val="22"/>
          <w:szCs w:val="22"/>
        </w:rPr>
      </w:pPr>
    </w:p>
    <w:p w14:paraId="115FD043" w14:textId="77777777" w:rsidR="00A81C8D" w:rsidRDefault="00A81C8D" w:rsidP="00A81C8D">
      <w:pPr>
        <w:spacing w:before="120" w:line="259" w:lineRule="auto"/>
        <w:rPr>
          <w:rFonts w:ascii="Arial" w:hAnsi="Arial" w:cs="Arial"/>
          <w:iCs/>
          <w:lang w:eastAsia="zh-CN"/>
        </w:rPr>
      </w:pPr>
      <w:r>
        <w:rPr>
          <w:rFonts w:ascii="Arial" w:hAnsi="Arial" w:cs="Arial"/>
          <w:iCs/>
          <w:lang w:eastAsia="ja-JP"/>
        </w:rPr>
        <w:t>During RAN WG1 #100bis-e it was agreed the following RAN WG1 features apply to the IAB-DU. RAN WG1 would like to inform RAN WG3 of such features.</w:t>
      </w:r>
    </w:p>
    <w:p w14:paraId="23C55277" w14:textId="77777777" w:rsidR="00A81C8D" w:rsidRPr="003C2AA7" w:rsidRDefault="00A81C8D" w:rsidP="00A81C8D">
      <w:pPr>
        <w:pStyle w:val="maintext"/>
        <w:numPr>
          <w:ilvl w:val="0"/>
          <w:numId w:val="40"/>
        </w:numPr>
        <w:ind w:left="360" w:firstLineChars="0"/>
        <w:rPr>
          <w:rFonts w:ascii="Arial" w:hAnsi="Arial" w:cs="Arial"/>
          <w:sz w:val="22"/>
          <w:szCs w:val="22"/>
        </w:rPr>
      </w:pPr>
      <w:r w:rsidRPr="003C2AA7">
        <w:rPr>
          <w:rFonts w:ascii="Arial" w:hAnsi="Arial" w:cs="Arial"/>
          <w:sz w:val="22"/>
          <w:szCs w:val="22"/>
        </w:rPr>
        <w:t xml:space="preserve">Inter-IAB-node discovery and measurements: SSB transmission </w:t>
      </w:r>
      <w:r>
        <w:rPr>
          <w:rFonts w:ascii="Arial" w:hAnsi="Arial" w:cs="Arial"/>
          <w:sz w:val="22"/>
          <w:szCs w:val="22"/>
        </w:rPr>
        <w:t>c</w:t>
      </w:r>
      <w:r w:rsidRPr="003C2AA7">
        <w:rPr>
          <w:rFonts w:ascii="Arial" w:hAnsi="Arial" w:cs="Arial"/>
          <w:sz w:val="22"/>
          <w:szCs w:val="22"/>
        </w:rPr>
        <w:t xml:space="preserve">onfiguration: </w:t>
      </w:r>
      <w:r>
        <w:rPr>
          <w:rFonts w:ascii="Arial" w:hAnsi="Arial" w:cs="Arial"/>
          <w:sz w:val="22"/>
          <w:szCs w:val="22"/>
        </w:rPr>
        <w:t>s</w:t>
      </w:r>
      <w:r w:rsidRPr="003C2AA7">
        <w:rPr>
          <w:rFonts w:ascii="Arial" w:hAnsi="Arial" w:cs="Arial"/>
          <w:sz w:val="22"/>
          <w:szCs w:val="22"/>
        </w:rPr>
        <w:t>upport up to 4 STCs configured for an IAB</w:t>
      </w:r>
      <w:r>
        <w:rPr>
          <w:rFonts w:ascii="Arial" w:hAnsi="Arial" w:cs="Arial"/>
          <w:sz w:val="22"/>
          <w:szCs w:val="22"/>
        </w:rPr>
        <w:t>-</w:t>
      </w:r>
      <w:r w:rsidRPr="003C2AA7">
        <w:rPr>
          <w:rFonts w:ascii="Arial" w:hAnsi="Arial" w:cs="Arial"/>
          <w:sz w:val="22"/>
          <w:szCs w:val="22"/>
        </w:rPr>
        <w:t>DU per cell per frequency location, including IAB-specific SSB transmission periodicities</w:t>
      </w:r>
      <w:r>
        <w:rPr>
          <w:rFonts w:ascii="Arial" w:hAnsi="Arial" w:cs="Arial"/>
          <w:sz w:val="22"/>
          <w:szCs w:val="22"/>
        </w:rPr>
        <w:t>.</w:t>
      </w:r>
    </w:p>
    <w:p w14:paraId="63F95494" w14:textId="77777777" w:rsidR="00A81C8D" w:rsidRPr="003C2AA7" w:rsidRDefault="00A81C8D" w:rsidP="00A81C8D">
      <w:pPr>
        <w:pStyle w:val="maintext"/>
        <w:numPr>
          <w:ilvl w:val="0"/>
          <w:numId w:val="40"/>
        </w:numPr>
        <w:ind w:left="360" w:firstLineChars="0"/>
        <w:rPr>
          <w:rFonts w:ascii="Arial" w:hAnsi="Arial" w:cs="Arial"/>
          <w:sz w:val="22"/>
          <w:szCs w:val="22"/>
        </w:rPr>
      </w:pPr>
      <w:r w:rsidRPr="003C2AA7">
        <w:rPr>
          <w:rFonts w:ascii="Arial" w:hAnsi="Arial" w:cs="Arial"/>
          <w:sz w:val="22"/>
          <w:szCs w:val="22"/>
        </w:rPr>
        <w:t xml:space="preserve">Extension of RACH occasions and periodicities for backhaul RACH resources: </w:t>
      </w:r>
      <w:r>
        <w:rPr>
          <w:rFonts w:ascii="Arial" w:hAnsi="Arial" w:cs="Arial"/>
          <w:sz w:val="22"/>
          <w:szCs w:val="22"/>
        </w:rPr>
        <w:t>su</w:t>
      </w:r>
      <w:r w:rsidRPr="003C2AA7">
        <w:rPr>
          <w:rFonts w:ascii="Arial" w:hAnsi="Arial" w:cs="Arial"/>
          <w:sz w:val="22"/>
          <w:szCs w:val="22"/>
        </w:rPr>
        <w:t>pport RACH configuration separately from the RACH configuration for UE access, including new IAB-specific offset and scaling factors</w:t>
      </w:r>
      <w:r>
        <w:rPr>
          <w:rFonts w:ascii="Arial" w:hAnsi="Arial" w:cs="Arial"/>
          <w:sz w:val="22"/>
          <w:szCs w:val="22"/>
        </w:rPr>
        <w:t>.</w:t>
      </w:r>
    </w:p>
    <w:p w14:paraId="6F2E9831" w14:textId="77777777" w:rsidR="00A81C8D" w:rsidRPr="003C2AA7" w:rsidRDefault="00A81C8D" w:rsidP="00A81C8D">
      <w:pPr>
        <w:pStyle w:val="maintext"/>
        <w:numPr>
          <w:ilvl w:val="0"/>
          <w:numId w:val="40"/>
        </w:numPr>
        <w:ind w:left="360" w:firstLineChars="0"/>
        <w:rPr>
          <w:rFonts w:ascii="Arial" w:hAnsi="Arial" w:cs="Arial"/>
          <w:sz w:val="22"/>
          <w:szCs w:val="22"/>
        </w:rPr>
      </w:pPr>
      <w:r w:rsidRPr="003C2AA7">
        <w:rPr>
          <w:rFonts w:ascii="Arial" w:hAnsi="Arial" w:cs="Arial"/>
          <w:sz w:val="22"/>
          <w:szCs w:val="22"/>
        </w:rPr>
        <w:t>IAB</w:t>
      </w:r>
      <w:r>
        <w:rPr>
          <w:rFonts w:ascii="Arial" w:hAnsi="Arial" w:cs="Arial"/>
          <w:sz w:val="22"/>
          <w:szCs w:val="22"/>
        </w:rPr>
        <w:t>-</w:t>
      </w:r>
      <w:r w:rsidRPr="003C2AA7">
        <w:rPr>
          <w:rFonts w:ascii="Arial" w:hAnsi="Arial" w:cs="Arial"/>
          <w:sz w:val="22"/>
          <w:szCs w:val="22"/>
        </w:rPr>
        <w:t>node non-TDM multiplexing capability: TDM not required between IAB-MT and IAB-DU functions</w:t>
      </w:r>
      <w:r>
        <w:rPr>
          <w:rFonts w:ascii="Arial" w:hAnsi="Arial" w:cs="Arial"/>
          <w:sz w:val="22"/>
          <w:szCs w:val="22"/>
        </w:rPr>
        <w:t>.</w:t>
      </w:r>
    </w:p>
    <w:p w14:paraId="69917540" w14:textId="77777777" w:rsidR="00A81C8D" w:rsidRPr="003C2AA7" w:rsidRDefault="00A81C8D" w:rsidP="00A81C8D">
      <w:pPr>
        <w:pStyle w:val="maintext"/>
        <w:numPr>
          <w:ilvl w:val="0"/>
          <w:numId w:val="40"/>
        </w:numPr>
        <w:ind w:left="360" w:firstLineChars="0"/>
        <w:rPr>
          <w:rFonts w:ascii="Arial" w:hAnsi="Arial" w:cs="Arial"/>
          <w:sz w:val="22"/>
          <w:szCs w:val="22"/>
        </w:rPr>
      </w:pPr>
      <w:r w:rsidRPr="003C2AA7">
        <w:rPr>
          <w:rFonts w:ascii="Arial" w:hAnsi="Arial" w:cs="Arial"/>
          <w:sz w:val="22"/>
          <w:szCs w:val="22"/>
        </w:rPr>
        <w:t xml:space="preserve">UL-Flexible-DL slot formats: </w:t>
      </w:r>
      <w:r>
        <w:rPr>
          <w:rFonts w:ascii="Arial" w:hAnsi="Arial" w:cs="Arial"/>
          <w:sz w:val="22"/>
          <w:szCs w:val="22"/>
        </w:rPr>
        <w:t>s</w:t>
      </w:r>
      <w:r w:rsidRPr="003C2AA7">
        <w:rPr>
          <w:rFonts w:ascii="Arial" w:hAnsi="Arial" w:cs="Arial"/>
          <w:sz w:val="22"/>
          <w:szCs w:val="22"/>
        </w:rPr>
        <w:t>upport semi-static and dynamic configuration/indication of UL-Flexible-DL slot formats for IAB-DU resources</w:t>
      </w:r>
      <w:r>
        <w:rPr>
          <w:rFonts w:ascii="Arial" w:hAnsi="Arial" w:cs="Arial"/>
          <w:sz w:val="22"/>
          <w:szCs w:val="22"/>
        </w:rPr>
        <w:t>.</w:t>
      </w:r>
    </w:p>
    <w:p w14:paraId="0C4C165C" w14:textId="77777777" w:rsidR="00A81C8D" w:rsidRPr="003C2AA7" w:rsidRDefault="00A81C8D" w:rsidP="00A81C8D">
      <w:pPr>
        <w:pStyle w:val="maintext"/>
        <w:numPr>
          <w:ilvl w:val="0"/>
          <w:numId w:val="40"/>
        </w:numPr>
        <w:ind w:left="360" w:firstLineChars="0"/>
        <w:rPr>
          <w:rFonts w:ascii="Arial" w:hAnsi="Arial" w:cs="Arial"/>
          <w:sz w:val="22"/>
          <w:szCs w:val="22"/>
        </w:rPr>
      </w:pPr>
      <w:r w:rsidRPr="003C2AA7">
        <w:rPr>
          <w:rFonts w:ascii="Arial" w:hAnsi="Arial" w:cs="Arial"/>
          <w:sz w:val="22"/>
          <w:szCs w:val="22"/>
        </w:rPr>
        <w:t xml:space="preserve">Dynamic indication of soft resource availability: </w:t>
      </w:r>
      <w:r>
        <w:rPr>
          <w:rFonts w:ascii="Arial" w:hAnsi="Arial" w:cs="Arial"/>
          <w:sz w:val="22"/>
          <w:szCs w:val="22"/>
        </w:rPr>
        <w:t>s</w:t>
      </w:r>
      <w:r w:rsidRPr="003C2AA7">
        <w:rPr>
          <w:rFonts w:ascii="Arial" w:hAnsi="Arial" w:cs="Arial"/>
          <w:sz w:val="22"/>
          <w:szCs w:val="22"/>
        </w:rPr>
        <w:t>upport DCI Format 2_5 based indication of soft resource availability to an IAB</w:t>
      </w:r>
      <w:r>
        <w:rPr>
          <w:rFonts w:ascii="Arial" w:hAnsi="Arial" w:cs="Arial"/>
          <w:sz w:val="22"/>
          <w:szCs w:val="22"/>
        </w:rPr>
        <w:t>-</w:t>
      </w:r>
      <w:r w:rsidRPr="003C2AA7">
        <w:rPr>
          <w:rFonts w:ascii="Arial" w:hAnsi="Arial" w:cs="Arial"/>
          <w:sz w:val="22"/>
          <w:szCs w:val="22"/>
        </w:rPr>
        <w:t>node</w:t>
      </w:r>
      <w:r>
        <w:rPr>
          <w:rFonts w:ascii="Arial" w:hAnsi="Arial" w:cs="Arial"/>
          <w:sz w:val="22"/>
          <w:szCs w:val="22"/>
        </w:rPr>
        <w:t>.</w:t>
      </w:r>
    </w:p>
    <w:p w14:paraId="5E026F6F" w14:textId="77777777" w:rsidR="00A81C8D" w:rsidRPr="003C2AA7" w:rsidRDefault="00A81C8D" w:rsidP="00A81C8D">
      <w:pPr>
        <w:pStyle w:val="maintext"/>
        <w:numPr>
          <w:ilvl w:val="0"/>
          <w:numId w:val="40"/>
        </w:numPr>
        <w:ind w:left="360" w:firstLineChars="0"/>
        <w:rPr>
          <w:rFonts w:ascii="Arial" w:hAnsi="Arial" w:cs="Arial"/>
          <w:sz w:val="22"/>
          <w:szCs w:val="22"/>
        </w:rPr>
      </w:pPr>
      <w:r w:rsidRPr="003C2AA7">
        <w:rPr>
          <w:rFonts w:ascii="Arial" w:hAnsi="Arial" w:cs="Arial"/>
          <w:sz w:val="22"/>
          <w:szCs w:val="22"/>
        </w:rPr>
        <w:t xml:space="preserve">IAB-DU </w:t>
      </w:r>
      <w:r>
        <w:rPr>
          <w:rFonts w:ascii="Arial" w:hAnsi="Arial" w:cs="Arial"/>
          <w:sz w:val="22"/>
          <w:szCs w:val="22"/>
        </w:rPr>
        <w:t>r</w:t>
      </w:r>
      <w:r w:rsidRPr="003C2AA7">
        <w:rPr>
          <w:rFonts w:ascii="Arial" w:hAnsi="Arial" w:cs="Arial"/>
          <w:sz w:val="22"/>
          <w:szCs w:val="22"/>
        </w:rPr>
        <w:t xml:space="preserve">esource </w:t>
      </w:r>
      <w:r>
        <w:rPr>
          <w:rFonts w:ascii="Arial" w:hAnsi="Arial" w:cs="Arial"/>
          <w:sz w:val="22"/>
          <w:szCs w:val="22"/>
        </w:rPr>
        <w:t>c</w:t>
      </w:r>
      <w:r w:rsidRPr="003C2AA7">
        <w:rPr>
          <w:rFonts w:ascii="Arial" w:hAnsi="Arial" w:cs="Arial"/>
          <w:sz w:val="22"/>
          <w:szCs w:val="22"/>
        </w:rPr>
        <w:t xml:space="preserve">onfiguration: </w:t>
      </w:r>
      <w:r>
        <w:rPr>
          <w:rFonts w:ascii="Arial" w:hAnsi="Arial" w:cs="Arial"/>
          <w:sz w:val="22"/>
          <w:szCs w:val="22"/>
        </w:rPr>
        <w:t>p</w:t>
      </w:r>
      <w:r w:rsidRPr="003C2AA7">
        <w:rPr>
          <w:rFonts w:ascii="Arial" w:hAnsi="Arial" w:cs="Arial"/>
          <w:sz w:val="22"/>
          <w:szCs w:val="22"/>
        </w:rPr>
        <w:t>er-cell D/U/F resource type configuration + H/S/NA attributes per-resource type</w:t>
      </w:r>
      <w:r>
        <w:rPr>
          <w:rFonts w:ascii="Arial" w:hAnsi="Arial" w:cs="Arial"/>
          <w:sz w:val="22"/>
          <w:szCs w:val="22"/>
        </w:rPr>
        <w:t>.</w:t>
      </w:r>
    </w:p>
    <w:p w14:paraId="1E79CF04" w14:textId="77777777" w:rsidR="00A81C8D" w:rsidRPr="000A1843" w:rsidRDefault="00A81C8D" w:rsidP="00A81C8D">
      <w:pPr>
        <w:pStyle w:val="maintext"/>
        <w:numPr>
          <w:ilvl w:val="0"/>
          <w:numId w:val="40"/>
        </w:numPr>
        <w:ind w:left="360" w:firstLineChars="0"/>
        <w:rPr>
          <w:rFonts w:ascii="Arial" w:hAnsi="Arial" w:cs="Arial"/>
        </w:rPr>
      </w:pPr>
      <w:r w:rsidRPr="003C2AA7">
        <w:rPr>
          <w:rFonts w:ascii="Arial" w:hAnsi="Arial" w:cs="Arial"/>
          <w:sz w:val="22"/>
          <w:szCs w:val="22"/>
        </w:rPr>
        <w:t>Insertion of guard symbols by the IAB-DU</w:t>
      </w:r>
      <w:r>
        <w:rPr>
          <w:rFonts w:ascii="Arial" w:hAnsi="Arial" w:cs="Arial"/>
          <w:sz w:val="22"/>
          <w:szCs w:val="22"/>
        </w:rPr>
        <w:t>.</w:t>
      </w:r>
    </w:p>
    <w:p w14:paraId="42079030" w14:textId="77777777" w:rsidR="00A81C8D" w:rsidRDefault="00A81C8D" w:rsidP="00A81C8D">
      <w:pPr>
        <w:rPr>
          <w:rFonts w:ascii="Calibri" w:eastAsia="Calibri" w:hAnsi="Calibri"/>
          <w:sz w:val="22"/>
          <w:szCs w:val="22"/>
        </w:rPr>
      </w:pPr>
    </w:p>
    <w:p w14:paraId="496C7704" w14:textId="12001B2A" w:rsidR="00A81C8D" w:rsidRDefault="00BE5CDC" w:rsidP="00A81C8D">
      <w:pPr>
        <w:rPr>
          <w:rFonts w:ascii="Calibri" w:eastAsia="Calibri" w:hAnsi="Calibri"/>
          <w:sz w:val="22"/>
          <w:szCs w:val="22"/>
        </w:rPr>
      </w:pPr>
      <w:r>
        <w:rPr>
          <w:rFonts w:ascii="Calibri" w:eastAsia="Calibri" w:hAnsi="Calibri"/>
          <w:sz w:val="22"/>
          <w:szCs w:val="22"/>
        </w:rPr>
        <w:t>For IAB-MTs, the following agreement was made in RAN2#110-e:</w:t>
      </w:r>
    </w:p>
    <w:p w14:paraId="4E452329" w14:textId="77777777" w:rsidR="00BE5CDC" w:rsidRPr="00B44416" w:rsidRDefault="00BE5CDC" w:rsidP="002919BD">
      <w:pPr>
        <w:pStyle w:val="Agreement"/>
        <w:rPr>
          <w:lang w:eastAsia="zh-CN"/>
        </w:rPr>
      </w:pPr>
      <w:r>
        <w:t xml:space="preserve">R2 to specify that IAB-MTs can make use of the UE capability </w:t>
      </w:r>
      <w:proofErr w:type="spellStart"/>
      <w:r>
        <w:t>signaling</w:t>
      </w:r>
      <w:proofErr w:type="spellEnd"/>
      <w:r>
        <w:t xml:space="preserve"> framework (including specification of minimum set). </w:t>
      </w:r>
      <w:r w:rsidRPr="00B44416">
        <w:t>Whether it is actually used for e.g. Wide Area IAB-MTs may be up to implementation.</w:t>
      </w:r>
    </w:p>
    <w:p w14:paraId="61106D7C" w14:textId="291ED9A6" w:rsidR="00BE5CDC" w:rsidRDefault="00BE5CDC" w:rsidP="00A81C8D">
      <w:pPr>
        <w:rPr>
          <w:rFonts w:ascii="Calibri" w:eastAsia="Calibri" w:hAnsi="Calibri"/>
          <w:sz w:val="22"/>
          <w:szCs w:val="22"/>
        </w:rPr>
      </w:pPr>
    </w:p>
    <w:p w14:paraId="1F908269" w14:textId="12162A07" w:rsidR="00BE5CDC" w:rsidRDefault="00BE5CDC" w:rsidP="00A81C8D">
      <w:pPr>
        <w:rPr>
          <w:rFonts w:ascii="Calibri" w:eastAsia="Calibri" w:hAnsi="Calibri"/>
          <w:sz w:val="22"/>
          <w:szCs w:val="22"/>
        </w:rPr>
      </w:pPr>
      <w:r>
        <w:rPr>
          <w:rFonts w:ascii="Calibri" w:eastAsia="Calibri" w:hAnsi="Calibri"/>
          <w:sz w:val="22"/>
          <w:szCs w:val="22"/>
        </w:rPr>
        <w:t>Which means that the capability signaling within the RAN can be used for managing IAB-MT capabilities. However during RAN3#</w:t>
      </w:r>
      <w:r w:rsidR="002919BD">
        <w:rPr>
          <w:rFonts w:ascii="Calibri" w:eastAsia="Calibri" w:hAnsi="Calibri"/>
          <w:sz w:val="22"/>
          <w:szCs w:val="22"/>
        </w:rPr>
        <w:t>108-e the following agreements were made:</w:t>
      </w:r>
    </w:p>
    <w:p w14:paraId="1CD6B338" w14:textId="73A61FF1" w:rsidR="00BE5CDC" w:rsidRDefault="00BE5CDC" w:rsidP="00A81C8D">
      <w:pPr>
        <w:rPr>
          <w:rFonts w:ascii="Calibri" w:eastAsia="Calibri" w:hAnsi="Calibri"/>
          <w:sz w:val="22"/>
          <w:szCs w:val="22"/>
        </w:rPr>
      </w:pPr>
    </w:p>
    <w:p w14:paraId="56D1FE31" w14:textId="77777777" w:rsidR="00BE5CDC" w:rsidRPr="0071791F" w:rsidRDefault="00BE5CDC" w:rsidP="00BE5CDC">
      <w:pPr>
        <w:widowControl w:val="0"/>
        <w:ind w:left="144" w:hanging="144"/>
        <w:rPr>
          <w:rFonts w:ascii="Calibri" w:hAnsi="Calibri" w:cs="Calibri"/>
          <w:b/>
          <w:bCs/>
          <w:color w:val="00B050"/>
          <w:sz w:val="18"/>
        </w:rPr>
      </w:pPr>
      <w:r w:rsidRPr="0071791F">
        <w:rPr>
          <w:rFonts w:ascii="Calibri" w:hAnsi="Calibri" w:cs="Calibri"/>
          <w:b/>
          <w:bCs/>
          <w:color w:val="00B050"/>
          <w:sz w:val="18"/>
        </w:rPr>
        <w:t xml:space="preserve">IAB-DU capabilities are not exchanged between IAB-DU/IAB-donor-DU and IAB-donor-CU via F1 interface. </w:t>
      </w:r>
    </w:p>
    <w:p w14:paraId="5111789D" w14:textId="77777777" w:rsidR="00BE5CDC" w:rsidRPr="0071791F" w:rsidRDefault="00BE5CDC" w:rsidP="00BE5CDC">
      <w:pPr>
        <w:widowControl w:val="0"/>
        <w:ind w:left="144" w:hanging="144"/>
        <w:rPr>
          <w:rFonts w:ascii="Calibri" w:hAnsi="Calibri" w:cs="Calibri"/>
          <w:b/>
          <w:bCs/>
          <w:color w:val="00B050"/>
          <w:sz w:val="18"/>
        </w:rPr>
      </w:pPr>
      <w:r w:rsidRPr="0071791F">
        <w:rPr>
          <w:rFonts w:ascii="Calibri" w:hAnsi="Calibri" w:cs="Calibri"/>
          <w:b/>
          <w:bCs/>
          <w:color w:val="00B050"/>
          <w:sz w:val="18"/>
        </w:rPr>
        <w:t>In Rel-16, how the donor-CU and/or parent node are aware of the appropriate capabilities of a given child IAB-DU is left up to network implementation (e.g. via OAM)</w:t>
      </w:r>
    </w:p>
    <w:p w14:paraId="47244E05" w14:textId="77777777" w:rsidR="00BE5CDC" w:rsidRDefault="00BE5CDC" w:rsidP="00A81C8D">
      <w:pPr>
        <w:rPr>
          <w:rFonts w:ascii="Calibri" w:eastAsia="Calibri" w:hAnsi="Calibri"/>
          <w:sz w:val="22"/>
          <w:szCs w:val="22"/>
        </w:rPr>
      </w:pPr>
    </w:p>
    <w:p w14:paraId="611EA73F" w14:textId="1226EFEC" w:rsidR="00A81C8D" w:rsidRDefault="008B5056" w:rsidP="00A81C8D">
      <w:pPr>
        <w:rPr>
          <w:rFonts w:ascii="Calibri" w:eastAsia="Calibri" w:hAnsi="Calibri"/>
          <w:sz w:val="22"/>
          <w:szCs w:val="22"/>
        </w:rPr>
      </w:pPr>
      <w:r>
        <w:rPr>
          <w:rFonts w:ascii="Calibri" w:eastAsia="Calibri" w:hAnsi="Calibri"/>
          <w:sz w:val="22"/>
          <w:szCs w:val="22"/>
        </w:rPr>
        <w:t xml:space="preserve">As </w:t>
      </w:r>
      <w:r w:rsidR="00A074F4">
        <w:rPr>
          <w:rFonts w:ascii="Calibri" w:eastAsia="Calibri" w:hAnsi="Calibri"/>
          <w:sz w:val="22"/>
          <w:szCs w:val="22"/>
        </w:rPr>
        <w:t xml:space="preserve">a </w:t>
      </w:r>
      <w:r>
        <w:rPr>
          <w:rFonts w:ascii="Calibri" w:eastAsia="Calibri" w:hAnsi="Calibri"/>
          <w:sz w:val="22"/>
          <w:szCs w:val="22"/>
        </w:rPr>
        <w:t>consequence of these contrasting agreements</w:t>
      </w:r>
      <w:r w:rsidR="002919BD">
        <w:rPr>
          <w:rFonts w:ascii="Calibri" w:eastAsia="Calibri" w:hAnsi="Calibri"/>
          <w:sz w:val="22"/>
          <w:szCs w:val="22"/>
        </w:rPr>
        <w:t xml:space="preserve">, </w:t>
      </w:r>
      <w:r w:rsidR="006F243C">
        <w:rPr>
          <w:rFonts w:ascii="Calibri" w:eastAsia="Calibri" w:hAnsi="Calibri"/>
          <w:sz w:val="22"/>
          <w:szCs w:val="22"/>
        </w:rPr>
        <w:t>the overall handling of IAB-node features has to be managed by multiple mechanisms inside and outside of the RAN which places extra burden on operators deploying and managing IAB networks, especially in case of large-scale and multi-vendor scenarios. Due to the WI timeline, although this issue may not be properly addressed in Rel-16, it should not be the default baseline for IAB going forward. Instead the assumption that capability signaling is not supported for RAN nodes should be revisited in Rel-17.</w:t>
      </w:r>
    </w:p>
    <w:p w14:paraId="62709A68" w14:textId="77777777" w:rsidR="002919BD" w:rsidRDefault="002919BD" w:rsidP="00A81C8D">
      <w:pPr>
        <w:rPr>
          <w:rFonts w:ascii="Calibri" w:eastAsia="Calibri" w:hAnsi="Calibri"/>
          <w:sz w:val="22"/>
          <w:szCs w:val="22"/>
        </w:rPr>
      </w:pPr>
    </w:p>
    <w:p w14:paraId="70031112" w14:textId="1DB6086A" w:rsidR="00A81C8D" w:rsidRPr="00997CF6" w:rsidRDefault="00A81C8D" w:rsidP="00A81C8D">
      <w:pPr>
        <w:rPr>
          <w:rFonts w:ascii="Calibri" w:eastAsia="Calibri" w:hAnsi="Calibri"/>
          <w:b/>
          <w:bCs/>
          <w:sz w:val="22"/>
          <w:szCs w:val="22"/>
        </w:rPr>
      </w:pPr>
      <w:r>
        <w:rPr>
          <w:rFonts w:ascii="Calibri" w:eastAsia="Calibri" w:hAnsi="Calibri"/>
          <w:b/>
          <w:bCs/>
          <w:sz w:val="22"/>
          <w:szCs w:val="22"/>
        </w:rPr>
        <w:t xml:space="preserve">Proposal </w:t>
      </w:r>
      <w:r w:rsidR="006F243C">
        <w:rPr>
          <w:rFonts w:ascii="Calibri" w:eastAsia="Calibri" w:hAnsi="Calibri"/>
          <w:b/>
          <w:bCs/>
          <w:sz w:val="22"/>
          <w:szCs w:val="22"/>
        </w:rPr>
        <w:t>5</w:t>
      </w:r>
      <w:r>
        <w:rPr>
          <w:rFonts w:ascii="Calibri" w:eastAsia="Calibri" w:hAnsi="Calibri"/>
          <w:b/>
          <w:bCs/>
          <w:sz w:val="22"/>
          <w:szCs w:val="22"/>
        </w:rPr>
        <w:t xml:space="preserve">: </w:t>
      </w:r>
      <w:r w:rsidR="00C5785B">
        <w:rPr>
          <w:rFonts w:ascii="Calibri" w:eastAsia="Calibri" w:hAnsi="Calibri"/>
          <w:b/>
          <w:bCs/>
          <w:sz w:val="22"/>
          <w:szCs w:val="22"/>
        </w:rPr>
        <w:t>Support for exchange of IAB-DU capabilities between IAB-DU/IAB-donor-DU and IAB-donor CU via F1 interface should be included in the Rel-17 IAB WID objectives.</w:t>
      </w:r>
    </w:p>
    <w:p w14:paraId="689CF727" w14:textId="77777777" w:rsidR="00A81C8D" w:rsidRDefault="00A81C8D" w:rsidP="00A81C8D">
      <w:pPr>
        <w:rPr>
          <w:rFonts w:ascii="Calibri" w:eastAsia="Calibri" w:hAnsi="Calibri"/>
          <w:sz w:val="22"/>
          <w:szCs w:val="22"/>
        </w:rPr>
      </w:pPr>
    </w:p>
    <w:p w14:paraId="3C97A6BE" w14:textId="77777777" w:rsidR="00A81C8D" w:rsidRDefault="00A81C8D" w:rsidP="002C3890">
      <w:pPr>
        <w:rPr>
          <w:rFonts w:ascii="Calibri" w:eastAsia="Calibri" w:hAnsi="Calibri"/>
          <w:sz w:val="22"/>
          <w:szCs w:val="22"/>
        </w:rPr>
      </w:pPr>
    </w:p>
    <w:p w14:paraId="365C085E" w14:textId="676575B2" w:rsidR="00A81C8D" w:rsidRPr="00172743" w:rsidRDefault="00A81C8D" w:rsidP="00A81C8D">
      <w:pPr>
        <w:pStyle w:val="Heading2"/>
      </w:pPr>
      <w:r>
        <w:lastRenderedPageBreak/>
        <w:t xml:space="preserve">RF/RRM </w:t>
      </w:r>
      <w:r w:rsidR="0041563B">
        <w:t>IAB-MT</w:t>
      </w:r>
      <w:r>
        <w:t xml:space="preserve"> Features</w:t>
      </w:r>
    </w:p>
    <w:p w14:paraId="03B9D658" w14:textId="030BDA82" w:rsidR="00A81C8D" w:rsidRDefault="0070630A" w:rsidP="00A81C8D">
      <w:pPr>
        <w:rPr>
          <w:rFonts w:ascii="Calibri" w:eastAsia="Calibri" w:hAnsi="Calibri"/>
          <w:sz w:val="22"/>
          <w:szCs w:val="22"/>
        </w:rPr>
      </w:pPr>
      <w:r>
        <w:rPr>
          <w:rFonts w:ascii="Calibri" w:eastAsia="Calibri" w:hAnsi="Calibri"/>
          <w:sz w:val="22"/>
          <w:szCs w:val="22"/>
        </w:rPr>
        <w:t xml:space="preserve">During RAN4#95-e the following </w:t>
      </w:r>
      <w:r w:rsidR="00C5785B">
        <w:rPr>
          <w:rFonts w:ascii="Calibri" w:eastAsia="Calibri" w:hAnsi="Calibri"/>
          <w:sz w:val="22"/>
          <w:szCs w:val="22"/>
        </w:rPr>
        <w:t>was included in a WF on the IAB-MT feature list:</w:t>
      </w:r>
    </w:p>
    <w:p w14:paraId="0B60996E" w14:textId="77777777" w:rsidR="00A81C8D" w:rsidRDefault="00A81C8D" w:rsidP="00A81C8D">
      <w:pPr>
        <w:rPr>
          <w:rFonts w:ascii="Calibri" w:eastAsia="Calibri" w:hAnsi="Calibri"/>
          <w:sz w:val="22"/>
          <w:szCs w:val="22"/>
        </w:rPr>
      </w:pPr>
    </w:p>
    <w:p w14:paraId="37A9BF0D" w14:textId="77777777" w:rsidR="0070630A" w:rsidRPr="0070630A" w:rsidRDefault="0070630A" w:rsidP="0070630A">
      <w:pPr>
        <w:numPr>
          <w:ilvl w:val="0"/>
          <w:numId w:val="45"/>
        </w:numPr>
        <w:rPr>
          <w:rFonts w:ascii="Calibri" w:eastAsia="Calibri" w:hAnsi="Calibri"/>
          <w:sz w:val="22"/>
          <w:szCs w:val="22"/>
        </w:rPr>
      </w:pPr>
      <w:r w:rsidRPr="0070630A">
        <w:rPr>
          <w:rFonts w:ascii="Calibri" w:eastAsia="Calibri" w:hAnsi="Calibri" w:hint="eastAsia"/>
          <w:sz w:val="22"/>
          <w:szCs w:val="22"/>
        </w:rPr>
        <w:t>The following features need more study, companies can provide technical analysis in next meeting.</w:t>
      </w:r>
    </w:p>
    <w:p w14:paraId="0613248D" w14:textId="77777777" w:rsidR="0070630A" w:rsidRPr="0070630A" w:rsidRDefault="0070630A" w:rsidP="0070630A">
      <w:pPr>
        <w:numPr>
          <w:ilvl w:val="1"/>
          <w:numId w:val="45"/>
        </w:numPr>
        <w:rPr>
          <w:rFonts w:ascii="Calibri" w:eastAsia="Calibri" w:hAnsi="Calibri"/>
          <w:sz w:val="22"/>
          <w:szCs w:val="22"/>
        </w:rPr>
      </w:pPr>
      <w:r w:rsidRPr="0070630A">
        <w:rPr>
          <w:rFonts w:ascii="Calibri" w:eastAsia="Calibri" w:hAnsi="Calibri" w:hint="eastAsia"/>
          <w:sz w:val="22"/>
          <w:szCs w:val="22"/>
        </w:rPr>
        <w:t>2-8, 2-11, 2-12, 3-1, 3-2 and 3-3.</w:t>
      </w:r>
    </w:p>
    <w:p w14:paraId="5AD961A2" w14:textId="78CA5D1A" w:rsidR="00806DB7" w:rsidRDefault="00806DB7" w:rsidP="002C3890">
      <w:pPr>
        <w:rPr>
          <w:rFonts w:ascii="Calibri" w:eastAsia="Calibri" w:hAnsi="Calibri"/>
          <w:sz w:val="22"/>
          <w:szCs w:val="22"/>
        </w:rPr>
      </w:pPr>
    </w:p>
    <w:p w14:paraId="0662B147" w14:textId="0F7CFBCD" w:rsidR="00C5785B" w:rsidRDefault="00C5785B" w:rsidP="002C3890">
      <w:pPr>
        <w:rPr>
          <w:rFonts w:ascii="Calibri" w:eastAsia="Calibri" w:hAnsi="Calibri"/>
          <w:sz w:val="22"/>
          <w:szCs w:val="22"/>
        </w:rPr>
      </w:pPr>
      <w:r>
        <w:rPr>
          <w:rFonts w:ascii="Calibri" w:eastAsia="Calibri" w:hAnsi="Calibri"/>
          <w:sz w:val="22"/>
          <w:szCs w:val="22"/>
        </w:rPr>
        <w:t>Specifically for features 3-1, 3-2, and 3-3:</w:t>
      </w:r>
    </w:p>
    <w:p w14:paraId="48D4AC2F" w14:textId="21DE5035" w:rsidR="00C5785B" w:rsidRDefault="00C5785B" w:rsidP="002C3890">
      <w:pPr>
        <w:rPr>
          <w:rFonts w:ascii="Calibri" w:eastAsia="Calibri" w:hAnsi="Calibri"/>
          <w:sz w:val="22"/>
          <w:szCs w:val="22"/>
        </w:rPr>
      </w:pPr>
    </w:p>
    <w:p w14:paraId="2E4ACAA3" w14:textId="4005E50D" w:rsidR="00C5785B" w:rsidRPr="00C5785B" w:rsidRDefault="00C5785B" w:rsidP="00C5785B">
      <w:pPr>
        <w:rPr>
          <w:rFonts w:ascii="Calibri" w:eastAsia="Calibri" w:hAnsi="Calibri"/>
          <w:sz w:val="22"/>
          <w:szCs w:val="22"/>
        </w:rPr>
      </w:pPr>
      <w:r w:rsidRPr="00C5785B">
        <w:rPr>
          <w:rFonts w:ascii="Calibri" w:eastAsia="Calibri" w:hAnsi="Calibri"/>
          <w:sz w:val="22"/>
          <w:szCs w:val="22"/>
        </w:rPr>
        <w:t>3-1</w:t>
      </w:r>
      <w:r w:rsidRPr="00C5785B">
        <w:rPr>
          <w:rFonts w:ascii="Calibri" w:eastAsia="Calibri" w:hAnsi="Calibri"/>
          <w:sz w:val="22"/>
          <w:szCs w:val="22"/>
        </w:rPr>
        <w:tab/>
        <w:t>Independent measurement gap configurations for FR1 and FR2</w:t>
      </w:r>
      <w:r w:rsidRPr="00C5785B">
        <w:rPr>
          <w:rFonts w:ascii="Calibri" w:eastAsia="Calibri" w:hAnsi="Calibri"/>
          <w:sz w:val="22"/>
          <w:szCs w:val="22"/>
        </w:rPr>
        <w:tab/>
      </w:r>
    </w:p>
    <w:p w14:paraId="064CA65C" w14:textId="3D310C53" w:rsidR="00C5785B" w:rsidRPr="00C5785B" w:rsidRDefault="00C5785B" w:rsidP="00C5785B">
      <w:pPr>
        <w:rPr>
          <w:rFonts w:ascii="Calibri" w:eastAsia="Calibri" w:hAnsi="Calibri"/>
          <w:sz w:val="22"/>
          <w:szCs w:val="22"/>
        </w:rPr>
      </w:pPr>
      <w:r w:rsidRPr="00C5785B">
        <w:rPr>
          <w:rFonts w:ascii="Calibri" w:eastAsia="Calibri" w:hAnsi="Calibri"/>
          <w:sz w:val="22"/>
          <w:szCs w:val="22"/>
        </w:rPr>
        <w:t>3-2</w:t>
      </w:r>
      <w:r w:rsidRPr="00C5785B">
        <w:rPr>
          <w:rFonts w:ascii="Calibri" w:eastAsia="Calibri" w:hAnsi="Calibri"/>
          <w:sz w:val="22"/>
          <w:szCs w:val="22"/>
        </w:rPr>
        <w:tab/>
        <w:t>Simultaneous reception of data and SS block with different numerologies when UE conducts the serving cell measurement or intra-frequency measurement</w:t>
      </w:r>
      <w:r w:rsidRPr="00C5785B">
        <w:rPr>
          <w:rFonts w:ascii="Calibri" w:eastAsia="Calibri" w:hAnsi="Calibri"/>
          <w:sz w:val="22"/>
          <w:szCs w:val="22"/>
        </w:rPr>
        <w:tab/>
      </w:r>
    </w:p>
    <w:p w14:paraId="68B7BF84" w14:textId="1DB29582" w:rsidR="00C5785B" w:rsidRDefault="00C5785B" w:rsidP="00C5785B">
      <w:pPr>
        <w:rPr>
          <w:rFonts w:ascii="Calibri" w:eastAsia="Calibri" w:hAnsi="Calibri"/>
          <w:sz w:val="22"/>
          <w:szCs w:val="22"/>
        </w:rPr>
      </w:pPr>
      <w:r w:rsidRPr="00C5785B">
        <w:rPr>
          <w:rFonts w:ascii="Calibri" w:eastAsia="Calibri" w:hAnsi="Calibri"/>
          <w:sz w:val="22"/>
          <w:szCs w:val="22"/>
        </w:rPr>
        <w:t>3-3</w:t>
      </w:r>
      <w:r w:rsidRPr="00C5785B">
        <w:rPr>
          <w:rFonts w:ascii="Calibri" w:eastAsia="Calibri" w:hAnsi="Calibri"/>
          <w:sz w:val="22"/>
          <w:szCs w:val="22"/>
        </w:rPr>
        <w:tab/>
        <w:t>Short measurement gap</w:t>
      </w:r>
      <w:r w:rsidRPr="00C5785B">
        <w:rPr>
          <w:rFonts w:ascii="Calibri" w:eastAsia="Calibri" w:hAnsi="Calibri"/>
          <w:sz w:val="22"/>
          <w:szCs w:val="22"/>
        </w:rPr>
        <w:tab/>
      </w:r>
    </w:p>
    <w:p w14:paraId="618E3192" w14:textId="2710ABD8" w:rsidR="00C5785B" w:rsidRDefault="00C5785B" w:rsidP="00C5785B">
      <w:pPr>
        <w:rPr>
          <w:rFonts w:ascii="Calibri" w:eastAsia="Calibri" w:hAnsi="Calibri"/>
          <w:sz w:val="22"/>
          <w:szCs w:val="22"/>
        </w:rPr>
      </w:pPr>
    </w:p>
    <w:p w14:paraId="459D5655" w14:textId="2702A000" w:rsidR="00C5785B" w:rsidRDefault="00C5785B" w:rsidP="00C5785B">
      <w:pPr>
        <w:rPr>
          <w:rFonts w:ascii="Calibri" w:eastAsia="Calibri" w:hAnsi="Calibri"/>
          <w:sz w:val="22"/>
          <w:szCs w:val="22"/>
        </w:rPr>
      </w:pPr>
      <w:r>
        <w:rPr>
          <w:rFonts w:ascii="Calibri" w:eastAsia="Calibri" w:hAnsi="Calibri"/>
          <w:sz w:val="22"/>
          <w:szCs w:val="22"/>
        </w:rPr>
        <w:t xml:space="preserve">Given that these features are related to RRM measurements they may be useful for topology adaptation and should be supported to align with the discussion in previous sections on support of Layer-1/2/3 SSB-based RRM features. However given that they are already optional with capability signaling for UEs, there should be no issue in at least keeping them optional for IAB-MTs as well and should not be precluded from being implemented. As a result, given the decisions already made in RAN1 and RAN2, there is no need for further discussion in RAN4 on whether these features should </w:t>
      </w:r>
      <w:r w:rsidR="00D56233">
        <w:rPr>
          <w:rFonts w:ascii="Calibri" w:eastAsia="Calibri" w:hAnsi="Calibri"/>
          <w:sz w:val="22"/>
          <w:szCs w:val="22"/>
        </w:rPr>
        <w:t>be classified as “not applicable” for IAB-MTs.</w:t>
      </w:r>
    </w:p>
    <w:p w14:paraId="14BFECFE" w14:textId="18F6B79F" w:rsidR="00C5785B" w:rsidRDefault="00C5785B" w:rsidP="00C5785B">
      <w:pPr>
        <w:rPr>
          <w:rFonts w:ascii="Calibri" w:eastAsia="Calibri" w:hAnsi="Calibri"/>
          <w:sz w:val="22"/>
          <w:szCs w:val="22"/>
        </w:rPr>
      </w:pPr>
    </w:p>
    <w:p w14:paraId="2EAB0800" w14:textId="6E0E4D33" w:rsidR="00D56233" w:rsidRPr="00997CF6" w:rsidRDefault="00D56233" w:rsidP="00D56233">
      <w:pPr>
        <w:rPr>
          <w:rFonts w:ascii="Calibri" w:eastAsia="Calibri" w:hAnsi="Calibri"/>
          <w:b/>
          <w:bCs/>
          <w:sz w:val="22"/>
          <w:szCs w:val="22"/>
        </w:rPr>
      </w:pPr>
      <w:r>
        <w:rPr>
          <w:rFonts w:ascii="Calibri" w:eastAsia="Calibri" w:hAnsi="Calibri"/>
          <w:b/>
          <w:bCs/>
          <w:sz w:val="22"/>
          <w:szCs w:val="22"/>
        </w:rPr>
        <w:t>Proposal 6: Existing RF/RRM Rel-15 UE Features related to topology adaptation (i.e. FG 3-1/3-2/3-3) should remain optional for IAB-MTs in Rel-16.</w:t>
      </w:r>
    </w:p>
    <w:p w14:paraId="4BEF1951" w14:textId="77777777" w:rsidR="00D56233" w:rsidRPr="005B24FF" w:rsidRDefault="00D56233" w:rsidP="00C5785B">
      <w:pPr>
        <w:rPr>
          <w:rFonts w:ascii="Calibri" w:eastAsia="Calibri" w:hAnsi="Calibri"/>
          <w:sz w:val="22"/>
          <w:szCs w:val="22"/>
        </w:rPr>
      </w:pPr>
    </w:p>
    <w:p w14:paraId="0A9BEB44" w14:textId="20525275" w:rsidR="002F634C" w:rsidRPr="00156B89" w:rsidRDefault="003168D8" w:rsidP="002F634C">
      <w:pPr>
        <w:pStyle w:val="Heading1"/>
      </w:pPr>
      <w:r>
        <w:t>Conclusion</w:t>
      </w:r>
    </w:p>
    <w:p w14:paraId="0ADFD495" w14:textId="4A46BA64" w:rsidR="005C6208" w:rsidRDefault="003168D8" w:rsidP="005C6208">
      <w:pPr>
        <w:rPr>
          <w:rFonts w:ascii="Calibri" w:hAnsi="Calibri" w:cs="Calibri"/>
          <w:color w:val="000000"/>
          <w:sz w:val="22"/>
          <w:szCs w:val="22"/>
        </w:rPr>
      </w:pPr>
      <w:r>
        <w:rPr>
          <w:rFonts w:ascii="Calibri" w:hAnsi="Calibri" w:cs="Calibri"/>
          <w:color w:val="000000"/>
          <w:sz w:val="22"/>
          <w:szCs w:val="22"/>
        </w:rPr>
        <w:t>The following proposals were made:</w:t>
      </w:r>
    </w:p>
    <w:p w14:paraId="434C7D82" w14:textId="13AB7516" w:rsidR="00477CC3" w:rsidRDefault="00477CC3" w:rsidP="005C6208"/>
    <w:p w14:paraId="53DD9174" w14:textId="0BD8946E" w:rsidR="00AD7D6F" w:rsidRDefault="00AD7D6F" w:rsidP="00AD7D6F">
      <w:pPr>
        <w:rPr>
          <w:rFonts w:ascii="Calibri" w:eastAsia="Calibri" w:hAnsi="Calibri"/>
          <w:b/>
          <w:bCs/>
          <w:sz w:val="22"/>
          <w:szCs w:val="22"/>
        </w:rPr>
      </w:pPr>
      <w:r>
        <w:rPr>
          <w:rFonts w:ascii="Calibri" w:eastAsia="Calibri" w:hAnsi="Calibri"/>
          <w:b/>
          <w:bCs/>
          <w:sz w:val="22"/>
          <w:szCs w:val="22"/>
        </w:rPr>
        <w:t xml:space="preserve">Proposal 1: </w:t>
      </w:r>
      <w:r w:rsidR="001B409C">
        <w:rPr>
          <w:rFonts w:ascii="Calibri" w:eastAsia="Calibri" w:hAnsi="Calibri"/>
          <w:b/>
          <w:bCs/>
          <w:sz w:val="22"/>
          <w:szCs w:val="22"/>
        </w:rPr>
        <w:t>Support for basic</w:t>
      </w:r>
      <w:r>
        <w:rPr>
          <w:rFonts w:ascii="Calibri" w:eastAsia="Calibri" w:hAnsi="Calibri"/>
          <w:b/>
          <w:bCs/>
          <w:sz w:val="22"/>
          <w:szCs w:val="22"/>
        </w:rPr>
        <w:t xml:space="preserve"> topology adaptation</w:t>
      </w:r>
      <w:r w:rsidR="001B409C">
        <w:rPr>
          <w:rFonts w:ascii="Calibri" w:eastAsia="Calibri" w:hAnsi="Calibri"/>
          <w:b/>
          <w:bCs/>
          <w:sz w:val="22"/>
          <w:szCs w:val="22"/>
        </w:rPr>
        <w:t xml:space="preserve"> functionality</w:t>
      </w:r>
      <w:r>
        <w:rPr>
          <w:rFonts w:ascii="Calibri" w:eastAsia="Calibri" w:hAnsi="Calibri"/>
          <w:b/>
          <w:bCs/>
          <w:sz w:val="22"/>
          <w:szCs w:val="22"/>
        </w:rPr>
        <w:t xml:space="preserve"> </w:t>
      </w:r>
      <w:r w:rsidRPr="0041563B">
        <w:rPr>
          <w:rFonts w:ascii="Calibri" w:eastAsia="Calibri" w:hAnsi="Calibri"/>
          <w:b/>
          <w:bCs/>
          <w:sz w:val="22"/>
          <w:szCs w:val="22"/>
        </w:rPr>
        <w:t>(i.e. RRM measurements, reports, and handovers</w:t>
      </w:r>
      <w:r>
        <w:rPr>
          <w:rFonts w:ascii="Calibri" w:eastAsia="Calibri" w:hAnsi="Calibri"/>
          <w:b/>
          <w:bCs/>
          <w:sz w:val="22"/>
          <w:szCs w:val="22"/>
        </w:rPr>
        <w:t xml:space="preserve">) </w:t>
      </w:r>
      <w:r w:rsidR="001B409C">
        <w:rPr>
          <w:rFonts w:ascii="Calibri" w:eastAsia="Calibri" w:hAnsi="Calibri"/>
          <w:b/>
          <w:bCs/>
          <w:sz w:val="22"/>
          <w:szCs w:val="22"/>
        </w:rPr>
        <w:t>is</w:t>
      </w:r>
      <w:r>
        <w:rPr>
          <w:rFonts w:ascii="Calibri" w:eastAsia="Calibri" w:hAnsi="Calibri"/>
          <w:b/>
          <w:bCs/>
          <w:sz w:val="22"/>
          <w:szCs w:val="22"/>
        </w:rPr>
        <w:t xml:space="preserve"> mandatory for both wide-area and local-area IAB-MTs.</w:t>
      </w:r>
    </w:p>
    <w:p w14:paraId="33B77C20" w14:textId="77777777" w:rsidR="00D56233" w:rsidRDefault="00D56233" w:rsidP="005C6208"/>
    <w:p w14:paraId="0518D947" w14:textId="77777777" w:rsidR="00AD7D6F" w:rsidRDefault="00AD7D6F" w:rsidP="00AD7D6F">
      <w:pPr>
        <w:rPr>
          <w:rFonts w:ascii="Calibri" w:eastAsia="Calibri" w:hAnsi="Calibri"/>
          <w:b/>
          <w:bCs/>
          <w:sz w:val="22"/>
          <w:szCs w:val="22"/>
        </w:rPr>
      </w:pPr>
      <w:r>
        <w:rPr>
          <w:rFonts w:ascii="Calibri" w:eastAsia="Calibri" w:hAnsi="Calibri"/>
          <w:b/>
          <w:bCs/>
          <w:sz w:val="22"/>
          <w:szCs w:val="22"/>
        </w:rPr>
        <w:t xml:space="preserve">Proposal 2: Local-area IAB-MTs support the same Rel-15 layer-1 mandatory UE </w:t>
      </w:r>
      <w:proofErr w:type="gramStart"/>
      <w:r>
        <w:rPr>
          <w:rFonts w:ascii="Calibri" w:eastAsia="Calibri" w:hAnsi="Calibri"/>
          <w:b/>
          <w:bCs/>
          <w:sz w:val="22"/>
          <w:szCs w:val="22"/>
        </w:rPr>
        <w:t>features</w:t>
      </w:r>
      <w:proofErr w:type="gramEnd"/>
      <w:r>
        <w:rPr>
          <w:rFonts w:ascii="Calibri" w:eastAsia="Calibri" w:hAnsi="Calibri"/>
          <w:b/>
          <w:bCs/>
          <w:sz w:val="22"/>
          <w:szCs w:val="22"/>
        </w:rPr>
        <w:t xml:space="preserve"> (as defined in TR 38.822) as wide-area IAB-MTs.</w:t>
      </w:r>
    </w:p>
    <w:p w14:paraId="3B8EF65F" w14:textId="77777777" w:rsidR="00D56233" w:rsidRDefault="00D56233" w:rsidP="005C6208"/>
    <w:p w14:paraId="00D762C4" w14:textId="77777777" w:rsidR="00D56233" w:rsidRPr="009F2BEC" w:rsidRDefault="00D56233" w:rsidP="00D56233">
      <w:pPr>
        <w:rPr>
          <w:rFonts w:ascii="Calibri" w:eastAsia="Calibri" w:hAnsi="Calibri"/>
          <w:b/>
          <w:bCs/>
          <w:sz w:val="22"/>
          <w:szCs w:val="22"/>
        </w:rPr>
      </w:pPr>
      <w:r w:rsidRPr="009F2BEC">
        <w:rPr>
          <w:rFonts w:ascii="Calibri" w:eastAsia="Calibri" w:hAnsi="Calibri"/>
          <w:b/>
          <w:bCs/>
          <w:sz w:val="22"/>
          <w:szCs w:val="22"/>
        </w:rPr>
        <w:t>Proposal 3: For FGs 20-2 and 20-3 in the Rel-16 NR UE Feature list, the following is agreed:</w:t>
      </w:r>
    </w:p>
    <w:p w14:paraId="61F4BA50" w14:textId="77777777" w:rsidR="00D56233" w:rsidRDefault="00D56233" w:rsidP="00D56233">
      <w:pPr>
        <w:rPr>
          <w:rFonts w:ascii="Calibri" w:eastAsia="SimSun" w:hAnsi="Calibri" w:cs="Calibri"/>
          <w:b/>
          <w:bCs/>
          <w:color w:val="000000"/>
          <w:sz w:val="22"/>
          <w:szCs w:val="22"/>
        </w:rPr>
      </w:pPr>
    </w:p>
    <w:p w14:paraId="049C895A" w14:textId="77777777" w:rsidR="00D56233" w:rsidRPr="009F2BEC" w:rsidRDefault="00D56233" w:rsidP="00D56233">
      <w:pPr>
        <w:ind w:firstLine="576"/>
        <w:rPr>
          <w:rFonts w:ascii="Calibri" w:eastAsia="SimSun" w:hAnsi="Calibri" w:cs="Calibri"/>
          <w:b/>
          <w:bCs/>
          <w:color w:val="000000"/>
          <w:sz w:val="22"/>
          <w:szCs w:val="22"/>
        </w:rPr>
      </w:pPr>
      <w:r w:rsidRPr="009F2BEC">
        <w:rPr>
          <w:rFonts w:ascii="Calibri" w:eastAsia="SimSun" w:hAnsi="Calibri" w:cs="Calibri"/>
          <w:b/>
          <w:bCs/>
          <w:color w:val="000000"/>
          <w:sz w:val="22"/>
          <w:szCs w:val="22"/>
        </w:rPr>
        <w:t xml:space="preserve">Optional with capability </w:t>
      </w:r>
      <w:proofErr w:type="spellStart"/>
      <w:r w:rsidRPr="009F2BEC">
        <w:rPr>
          <w:rFonts w:ascii="Calibri" w:eastAsia="SimSun" w:hAnsi="Calibri" w:cs="Calibri"/>
          <w:b/>
          <w:bCs/>
          <w:color w:val="000000"/>
          <w:sz w:val="22"/>
          <w:szCs w:val="22"/>
        </w:rPr>
        <w:t>signalling</w:t>
      </w:r>
      <w:proofErr w:type="spellEnd"/>
      <w:r w:rsidRPr="009F2BEC">
        <w:rPr>
          <w:rFonts w:ascii="Calibri" w:eastAsia="SimSun" w:hAnsi="Calibri" w:cs="Calibri"/>
          <w:b/>
          <w:bCs/>
          <w:color w:val="000000"/>
          <w:sz w:val="22"/>
          <w:szCs w:val="22"/>
        </w:rPr>
        <w:t>. Devices supporting IAB backhaul must report this FG as supported.</w:t>
      </w:r>
    </w:p>
    <w:p w14:paraId="1721A583" w14:textId="77777777" w:rsidR="00D56233" w:rsidRDefault="00D56233" w:rsidP="005C6208"/>
    <w:p w14:paraId="33073A9F" w14:textId="77777777" w:rsidR="00D56233" w:rsidRDefault="00D56233" w:rsidP="00D56233">
      <w:pPr>
        <w:rPr>
          <w:rFonts w:ascii="Calibri" w:eastAsia="Calibri" w:hAnsi="Calibri"/>
          <w:b/>
          <w:bCs/>
          <w:sz w:val="22"/>
          <w:szCs w:val="22"/>
        </w:rPr>
      </w:pPr>
      <w:r w:rsidRPr="009F2BEC">
        <w:rPr>
          <w:rFonts w:ascii="Calibri" w:eastAsia="Calibri" w:hAnsi="Calibri"/>
          <w:b/>
          <w:bCs/>
          <w:sz w:val="22"/>
          <w:szCs w:val="22"/>
        </w:rPr>
        <w:t xml:space="preserve">Proposal </w:t>
      </w:r>
      <w:r>
        <w:rPr>
          <w:rFonts w:ascii="Calibri" w:eastAsia="Calibri" w:hAnsi="Calibri"/>
          <w:b/>
          <w:bCs/>
          <w:sz w:val="22"/>
          <w:szCs w:val="22"/>
        </w:rPr>
        <w:t>4</w:t>
      </w:r>
      <w:r w:rsidRPr="009F2BEC">
        <w:rPr>
          <w:rFonts w:ascii="Calibri" w:eastAsia="Calibri" w:hAnsi="Calibri"/>
          <w:b/>
          <w:bCs/>
          <w:sz w:val="22"/>
          <w:szCs w:val="22"/>
        </w:rPr>
        <w:t xml:space="preserve">: </w:t>
      </w:r>
      <w:r>
        <w:rPr>
          <w:rFonts w:ascii="Calibri" w:eastAsia="Calibri" w:hAnsi="Calibri"/>
          <w:b/>
          <w:bCs/>
          <w:sz w:val="22"/>
          <w:szCs w:val="22"/>
        </w:rPr>
        <w:t>The following Rel-15 Layer-2 and Layer-3 UE Features are mandatory with capability signaling for IAB-MTs:</w:t>
      </w:r>
    </w:p>
    <w:p w14:paraId="3760BEDA" w14:textId="77777777" w:rsidR="00D56233" w:rsidRPr="004B3CA9" w:rsidRDefault="00D56233" w:rsidP="00D56233">
      <w:pPr>
        <w:ind w:left="720"/>
        <w:rPr>
          <w:rFonts w:ascii="Calibri" w:eastAsia="Calibri" w:hAnsi="Calibri"/>
          <w:b/>
          <w:bCs/>
          <w:sz w:val="22"/>
          <w:szCs w:val="22"/>
        </w:rPr>
      </w:pPr>
      <w:r w:rsidRPr="004B3CA9">
        <w:rPr>
          <w:rFonts w:ascii="Calibri" w:eastAsia="Calibri" w:hAnsi="Calibri"/>
          <w:b/>
          <w:bCs/>
          <w:sz w:val="22"/>
          <w:szCs w:val="22"/>
        </w:rPr>
        <w:t>4-1</w:t>
      </w:r>
      <w:r w:rsidRPr="004B3CA9">
        <w:rPr>
          <w:rFonts w:ascii="Calibri" w:eastAsia="Calibri" w:hAnsi="Calibri"/>
          <w:b/>
          <w:bCs/>
          <w:sz w:val="22"/>
          <w:szCs w:val="22"/>
        </w:rPr>
        <w:tab/>
        <w:t>Intra-NR measurements and reports</w:t>
      </w:r>
    </w:p>
    <w:p w14:paraId="158689EA" w14:textId="77777777" w:rsidR="00D56233" w:rsidRPr="004B3CA9" w:rsidRDefault="00D56233" w:rsidP="00D56233">
      <w:pPr>
        <w:ind w:left="720"/>
        <w:rPr>
          <w:rFonts w:ascii="Calibri" w:eastAsia="Calibri" w:hAnsi="Calibri"/>
          <w:b/>
          <w:bCs/>
          <w:sz w:val="22"/>
          <w:szCs w:val="22"/>
        </w:rPr>
      </w:pPr>
      <w:r w:rsidRPr="004B3CA9">
        <w:rPr>
          <w:rFonts w:ascii="Calibri" w:eastAsia="Calibri" w:hAnsi="Calibri"/>
          <w:b/>
          <w:bCs/>
          <w:sz w:val="22"/>
          <w:szCs w:val="22"/>
        </w:rPr>
        <w:t>7-1</w:t>
      </w:r>
      <w:r w:rsidRPr="004B3CA9">
        <w:rPr>
          <w:rFonts w:ascii="Calibri" w:eastAsia="Calibri" w:hAnsi="Calibri"/>
          <w:b/>
          <w:bCs/>
          <w:sz w:val="22"/>
          <w:szCs w:val="22"/>
        </w:rPr>
        <w:tab/>
        <w:t>Handover:</w:t>
      </w:r>
    </w:p>
    <w:p w14:paraId="65658BE1" w14:textId="77777777" w:rsidR="00D56233" w:rsidRPr="004B3CA9" w:rsidRDefault="00D56233" w:rsidP="00D56233">
      <w:pPr>
        <w:ind w:left="1440"/>
        <w:rPr>
          <w:rFonts w:ascii="Calibri" w:eastAsia="Calibri" w:hAnsi="Calibri"/>
          <w:b/>
          <w:bCs/>
          <w:sz w:val="22"/>
          <w:szCs w:val="22"/>
        </w:rPr>
      </w:pPr>
      <w:r w:rsidRPr="004B3CA9">
        <w:rPr>
          <w:rFonts w:ascii="Calibri" w:eastAsia="Calibri" w:hAnsi="Calibri"/>
          <w:b/>
          <w:bCs/>
          <w:sz w:val="22"/>
          <w:szCs w:val="22"/>
        </w:rPr>
        <w:t>1) Intra-frequency HO</w:t>
      </w:r>
    </w:p>
    <w:p w14:paraId="03B42796" w14:textId="77777777" w:rsidR="00D56233" w:rsidRPr="004B3CA9" w:rsidRDefault="00D56233" w:rsidP="00D56233">
      <w:pPr>
        <w:ind w:left="1440"/>
        <w:rPr>
          <w:rFonts w:ascii="Calibri" w:eastAsia="Calibri" w:hAnsi="Calibri"/>
          <w:b/>
          <w:bCs/>
          <w:sz w:val="22"/>
          <w:szCs w:val="22"/>
        </w:rPr>
      </w:pPr>
      <w:r w:rsidRPr="004B3CA9">
        <w:rPr>
          <w:rFonts w:ascii="Calibri" w:eastAsia="Calibri" w:hAnsi="Calibri"/>
          <w:b/>
          <w:bCs/>
          <w:sz w:val="22"/>
          <w:szCs w:val="22"/>
        </w:rPr>
        <w:t>2) Inter-frequency HO</w:t>
      </w:r>
    </w:p>
    <w:p w14:paraId="760182E3" w14:textId="77777777" w:rsidR="00D56233" w:rsidRDefault="00D56233" w:rsidP="005C6208"/>
    <w:p w14:paraId="636FDC74" w14:textId="77777777" w:rsidR="00D56233" w:rsidRPr="00997CF6" w:rsidRDefault="00D56233" w:rsidP="00D56233">
      <w:pPr>
        <w:rPr>
          <w:rFonts w:ascii="Calibri" w:eastAsia="Calibri" w:hAnsi="Calibri"/>
          <w:b/>
          <w:bCs/>
          <w:sz w:val="22"/>
          <w:szCs w:val="22"/>
        </w:rPr>
      </w:pPr>
      <w:r>
        <w:rPr>
          <w:rFonts w:ascii="Calibri" w:eastAsia="Calibri" w:hAnsi="Calibri"/>
          <w:b/>
          <w:bCs/>
          <w:sz w:val="22"/>
          <w:szCs w:val="22"/>
        </w:rPr>
        <w:t>Proposal 5: Support for exchange of IAB-DU capabilities between IAB-DU/IAB-donor-DU and IAB-donor CU via F1 interface should be included in the Rel-17 IAB WID objectives.</w:t>
      </w:r>
    </w:p>
    <w:p w14:paraId="76F9AD07" w14:textId="77777777" w:rsidR="00D56233" w:rsidRDefault="00D56233" w:rsidP="005C6208"/>
    <w:p w14:paraId="152031A7" w14:textId="6558FCE2" w:rsidR="00806DB7" w:rsidRPr="002774E0" w:rsidRDefault="00D56233" w:rsidP="00D56233">
      <w:pPr>
        <w:rPr>
          <w:rFonts w:ascii="Calibri" w:eastAsia="Calibri" w:hAnsi="Calibri"/>
          <w:b/>
          <w:bCs/>
          <w:sz w:val="22"/>
          <w:szCs w:val="22"/>
        </w:rPr>
      </w:pPr>
      <w:r>
        <w:rPr>
          <w:rFonts w:ascii="Calibri" w:eastAsia="Calibri" w:hAnsi="Calibri"/>
          <w:b/>
          <w:bCs/>
          <w:sz w:val="22"/>
          <w:szCs w:val="22"/>
        </w:rPr>
        <w:t>Proposal 6: RF/RRM Rel-15 UE Features related to topology adaptation (i.e. FG 3-1/3-2/3-3) should remain optional for IAB-MTs in Rel-16.</w:t>
      </w:r>
    </w:p>
    <w:sectPr w:rsidR="00806DB7" w:rsidRPr="002774E0" w:rsidSect="00EC2FB3">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8B6F0" w14:textId="77777777" w:rsidR="009737EE" w:rsidRDefault="009737EE" w:rsidP="00424124">
      <w:r>
        <w:separator/>
      </w:r>
    </w:p>
  </w:endnote>
  <w:endnote w:type="continuationSeparator" w:id="0">
    <w:p w14:paraId="46B36797" w14:textId="77777777" w:rsidR="009737EE" w:rsidRDefault="009737EE" w:rsidP="00424124">
      <w:r>
        <w:continuationSeparator/>
      </w:r>
    </w:p>
  </w:endnote>
  <w:endnote w:type="continuationNotice" w:id="1">
    <w:p w14:paraId="07982BA9" w14:textId="77777777" w:rsidR="009737EE" w:rsidRDefault="00973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6787C" w14:textId="77777777" w:rsidR="009737EE" w:rsidRDefault="009737EE" w:rsidP="00424124">
      <w:r>
        <w:separator/>
      </w:r>
    </w:p>
  </w:footnote>
  <w:footnote w:type="continuationSeparator" w:id="0">
    <w:p w14:paraId="0E0412D0" w14:textId="77777777" w:rsidR="009737EE" w:rsidRDefault="009737EE" w:rsidP="00424124">
      <w:r>
        <w:continuationSeparator/>
      </w:r>
    </w:p>
  </w:footnote>
  <w:footnote w:type="continuationNotice" w:id="1">
    <w:p w14:paraId="6E5ACD61" w14:textId="77777777" w:rsidR="009737EE" w:rsidRDefault="009737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06FD4C49"/>
    <w:multiLevelType w:val="hybridMultilevel"/>
    <w:tmpl w:val="DE7CCBE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DA1C84"/>
    <w:multiLevelType w:val="hybridMultilevel"/>
    <w:tmpl w:val="65DE51C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4099E"/>
    <w:multiLevelType w:val="hybridMultilevel"/>
    <w:tmpl w:val="84EA789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DC0A0C"/>
    <w:multiLevelType w:val="hybridMultilevel"/>
    <w:tmpl w:val="35460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5067B8"/>
    <w:multiLevelType w:val="hybridMultilevel"/>
    <w:tmpl w:val="B8F871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CF15DF3"/>
    <w:multiLevelType w:val="hybridMultilevel"/>
    <w:tmpl w:val="BAB67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491CB3"/>
    <w:multiLevelType w:val="multilevel"/>
    <w:tmpl w:val="3BC8314E"/>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3" w15:restartNumberingAfterBreak="0">
    <w:nsid w:val="36A34518"/>
    <w:multiLevelType w:val="multilevel"/>
    <w:tmpl w:val="36A34518"/>
    <w:lvl w:ilvl="0">
      <w:start w:val="1"/>
      <w:numFmt w:val="decim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4" w15:restartNumberingAfterBreak="0">
    <w:nsid w:val="377E1B64"/>
    <w:multiLevelType w:val="multilevel"/>
    <w:tmpl w:val="943A13F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F4DCB"/>
    <w:multiLevelType w:val="hybridMultilevel"/>
    <w:tmpl w:val="CE0067F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B14516"/>
    <w:multiLevelType w:val="hybridMultilevel"/>
    <w:tmpl w:val="E028F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3E4289"/>
    <w:multiLevelType w:val="hybridMultilevel"/>
    <w:tmpl w:val="BAB67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5E2C11"/>
    <w:multiLevelType w:val="hybridMultilevel"/>
    <w:tmpl w:val="8CAC4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649206AC"/>
    <w:multiLevelType w:val="hybridMultilevel"/>
    <w:tmpl w:val="296EAD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4E14D83"/>
    <w:multiLevelType w:val="hybridMultilevel"/>
    <w:tmpl w:val="C41C0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9B7ABA"/>
    <w:multiLevelType w:val="hybridMultilevel"/>
    <w:tmpl w:val="5FA0EF5E"/>
    <w:lvl w:ilvl="0" w:tplc="24E26230">
      <w:start w:val="3"/>
      <w:numFmt w:val="bullet"/>
      <w:lvlText w:val="-"/>
      <w:lvlJc w:val="left"/>
      <w:pPr>
        <w:ind w:left="411" w:hanging="360"/>
      </w:pPr>
      <w:rPr>
        <w:rFonts w:ascii="Calibri" w:eastAsiaTheme="minorHAns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5715D1"/>
    <w:multiLevelType w:val="hybridMultilevel"/>
    <w:tmpl w:val="8E525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455C3F"/>
    <w:multiLevelType w:val="hybridMultilevel"/>
    <w:tmpl w:val="4474821E"/>
    <w:lvl w:ilvl="0" w:tplc="2A80C804">
      <w:start w:val="1"/>
      <w:numFmt w:val="bullet"/>
      <w:lvlText w:val="•"/>
      <w:lvlJc w:val="left"/>
      <w:pPr>
        <w:tabs>
          <w:tab w:val="num" w:pos="720"/>
        </w:tabs>
        <w:ind w:left="720" w:hanging="360"/>
      </w:pPr>
      <w:rPr>
        <w:rFonts w:ascii="Arial" w:hAnsi="Arial" w:hint="default"/>
      </w:rPr>
    </w:lvl>
    <w:lvl w:ilvl="1" w:tplc="E550D262">
      <w:numFmt w:val="bullet"/>
      <w:lvlText w:val="•"/>
      <w:lvlJc w:val="left"/>
      <w:pPr>
        <w:tabs>
          <w:tab w:val="num" w:pos="1440"/>
        </w:tabs>
        <w:ind w:left="1440" w:hanging="360"/>
      </w:pPr>
      <w:rPr>
        <w:rFonts w:ascii="Arial" w:hAnsi="Arial" w:hint="default"/>
      </w:rPr>
    </w:lvl>
    <w:lvl w:ilvl="2" w:tplc="8604ED28" w:tentative="1">
      <w:start w:val="1"/>
      <w:numFmt w:val="bullet"/>
      <w:lvlText w:val="•"/>
      <w:lvlJc w:val="left"/>
      <w:pPr>
        <w:tabs>
          <w:tab w:val="num" w:pos="2160"/>
        </w:tabs>
        <w:ind w:left="2160" w:hanging="360"/>
      </w:pPr>
      <w:rPr>
        <w:rFonts w:ascii="Arial" w:hAnsi="Arial" w:hint="default"/>
      </w:rPr>
    </w:lvl>
    <w:lvl w:ilvl="3" w:tplc="B1D252EA" w:tentative="1">
      <w:start w:val="1"/>
      <w:numFmt w:val="bullet"/>
      <w:lvlText w:val="•"/>
      <w:lvlJc w:val="left"/>
      <w:pPr>
        <w:tabs>
          <w:tab w:val="num" w:pos="2880"/>
        </w:tabs>
        <w:ind w:left="2880" w:hanging="360"/>
      </w:pPr>
      <w:rPr>
        <w:rFonts w:ascii="Arial" w:hAnsi="Arial" w:hint="default"/>
      </w:rPr>
    </w:lvl>
    <w:lvl w:ilvl="4" w:tplc="6F7C8AA4" w:tentative="1">
      <w:start w:val="1"/>
      <w:numFmt w:val="bullet"/>
      <w:lvlText w:val="•"/>
      <w:lvlJc w:val="left"/>
      <w:pPr>
        <w:tabs>
          <w:tab w:val="num" w:pos="3600"/>
        </w:tabs>
        <w:ind w:left="3600" w:hanging="360"/>
      </w:pPr>
      <w:rPr>
        <w:rFonts w:ascii="Arial" w:hAnsi="Arial" w:hint="default"/>
      </w:rPr>
    </w:lvl>
    <w:lvl w:ilvl="5" w:tplc="3A38F540" w:tentative="1">
      <w:start w:val="1"/>
      <w:numFmt w:val="bullet"/>
      <w:lvlText w:val="•"/>
      <w:lvlJc w:val="left"/>
      <w:pPr>
        <w:tabs>
          <w:tab w:val="num" w:pos="4320"/>
        </w:tabs>
        <w:ind w:left="4320" w:hanging="360"/>
      </w:pPr>
      <w:rPr>
        <w:rFonts w:ascii="Arial" w:hAnsi="Arial" w:hint="default"/>
      </w:rPr>
    </w:lvl>
    <w:lvl w:ilvl="6" w:tplc="280A7AB6" w:tentative="1">
      <w:start w:val="1"/>
      <w:numFmt w:val="bullet"/>
      <w:lvlText w:val="•"/>
      <w:lvlJc w:val="left"/>
      <w:pPr>
        <w:tabs>
          <w:tab w:val="num" w:pos="5040"/>
        </w:tabs>
        <w:ind w:left="5040" w:hanging="360"/>
      </w:pPr>
      <w:rPr>
        <w:rFonts w:ascii="Arial" w:hAnsi="Arial" w:hint="default"/>
      </w:rPr>
    </w:lvl>
    <w:lvl w:ilvl="7" w:tplc="29807CB0" w:tentative="1">
      <w:start w:val="1"/>
      <w:numFmt w:val="bullet"/>
      <w:lvlText w:val="•"/>
      <w:lvlJc w:val="left"/>
      <w:pPr>
        <w:tabs>
          <w:tab w:val="num" w:pos="5760"/>
        </w:tabs>
        <w:ind w:left="5760" w:hanging="360"/>
      </w:pPr>
      <w:rPr>
        <w:rFonts w:ascii="Arial" w:hAnsi="Arial" w:hint="default"/>
      </w:rPr>
    </w:lvl>
    <w:lvl w:ilvl="8" w:tplc="F34C67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26"/>
  </w:num>
  <w:num w:numId="4">
    <w:abstractNumId w:val="15"/>
  </w:num>
  <w:num w:numId="5">
    <w:abstractNumId w:val="24"/>
  </w:num>
  <w:num w:numId="6">
    <w:abstractNumId w:val="36"/>
  </w:num>
  <w:num w:numId="7">
    <w:abstractNumId w:val="21"/>
  </w:num>
  <w:num w:numId="8">
    <w:abstractNumId w:val="0"/>
  </w:num>
  <w:num w:numId="9">
    <w:abstractNumId w:val="37"/>
  </w:num>
  <w:num w:numId="10">
    <w:abstractNumId w:val="2"/>
  </w:num>
  <w:num w:numId="11">
    <w:abstractNumId w:val="29"/>
  </w:num>
  <w:num w:numId="12">
    <w:abstractNumId w:val="19"/>
  </w:num>
  <w:num w:numId="13">
    <w:abstractNumId w:val="1"/>
  </w:num>
  <w:num w:numId="14">
    <w:abstractNumId w:val="23"/>
  </w:num>
  <w:num w:numId="15">
    <w:abstractNumId w:val="39"/>
  </w:num>
  <w:num w:numId="16">
    <w:abstractNumId w:val="38"/>
  </w:num>
  <w:num w:numId="17">
    <w:abstractNumId w:val="32"/>
  </w:num>
  <w:num w:numId="18">
    <w:abstractNumId w:val="6"/>
  </w:num>
  <w:num w:numId="19">
    <w:abstractNumId w:val="41"/>
  </w:num>
  <w:num w:numId="20">
    <w:abstractNumId w:val="11"/>
  </w:num>
  <w:num w:numId="21">
    <w:abstractNumId w:val="34"/>
  </w:num>
  <w:num w:numId="22">
    <w:abstractNumId w:val="31"/>
  </w:num>
  <w:num w:numId="23">
    <w:abstractNumId w:val="9"/>
  </w:num>
  <w:num w:numId="24">
    <w:abstractNumId w:val="9"/>
  </w:num>
  <w:num w:numId="25">
    <w:abstractNumId w:val="25"/>
  </w:num>
  <w:num w:numId="26">
    <w:abstractNumId w:val="5"/>
  </w:num>
  <w:num w:numId="27">
    <w:abstractNumId w:val="4"/>
  </w:num>
  <w:num w:numId="28">
    <w:abstractNumId w:val="13"/>
  </w:num>
  <w:num w:numId="29">
    <w:abstractNumId w:val="29"/>
  </w:num>
  <w:num w:numId="30">
    <w:abstractNumId w:val="3"/>
  </w:num>
  <w:num w:numId="31">
    <w:abstractNumId w:val="40"/>
  </w:num>
  <w:num w:numId="32">
    <w:abstractNumId w:val="16"/>
  </w:num>
  <w:num w:numId="33">
    <w:abstractNumId w:val="22"/>
  </w:num>
  <w:num w:numId="34">
    <w:abstractNumId w:val="17"/>
  </w:num>
  <w:num w:numId="35">
    <w:abstractNumId w:val="28"/>
  </w:num>
  <w:num w:numId="36">
    <w:abstractNumId w:val="27"/>
  </w:num>
  <w:num w:numId="37">
    <w:abstractNumId w:val="10"/>
  </w:num>
  <w:num w:numId="38">
    <w:abstractNumId w:val="20"/>
  </w:num>
  <w:num w:numId="39">
    <w:abstractNumId w:val="14"/>
  </w:num>
  <w:num w:numId="40">
    <w:abstractNumId w:val="8"/>
  </w:num>
  <w:num w:numId="41">
    <w:abstractNumId w:val="33"/>
  </w:num>
  <w:num w:numId="42">
    <w:abstractNumId w:val="8"/>
  </w:num>
  <w:num w:numId="43">
    <w:abstractNumId w:val="30"/>
  </w:num>
  <w:num w:numId="44">
    <w:abstractNumId w:val="12"/>
  </w:num>
  <w:num w:numId="45">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hideGrammaticalErrors/>
  <w:proofState w:spelling="clean" w:grammar="clean"/>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rAUA6fTkxywAAAA="/>
  </w:docVars>
  <w:rsids>
    <w:rsidRoot w:val="00424124"/>
    <w:rsid w:val="00001127"/>
    <w:rsid w:val="000012DA"/>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4D11"/>
    <w:rsid w:val="00027424"/>
    <w:rsid w:val="000301FB"/>
    <w:rsid w:val="0003029A"/>
    <w:rsid w:val="00030690"/>
    <w:rsid w:val="000329D1"/>
    <w:rsid w:val="00032D47"/>
    <w:rsid w:val="00033FC1"/>
    <w:rsid w:val="00034494"/>
    <w:rsid w:val="00035875"/>
    <w:rsid w:val="00036A13"/>
    <w:rsid w:val="00036A8D"/>
    <w:rsid w:val="0004178B"/>
    <w:rsid w:val="0004270D"/>
    <w:rsid w:val="000463E4"/>
    <w:rsid w:val="000464A7"/>
    <w:rsid w:val="00051B4B"/>
    <w:rsid w:val="00051EBB"/>
    <w:rsid w:val="00052B7D"/>
    <w:rsid w:val="000550BC"/>
    <w:rsid w:val="00056A8D"/>
    <w:rsid w:val="00060877"/>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87221"/>
    <w:rsid w:val="000917C5"/>
    <w:rsid w:val="000942F8"/>
    <w:rsid w:val="000947BA"/>
    <w:rsid w:val="00095DEF"/>
    <w:rsid w:val="000976FD"/>
    <w:rsid w:val="00097F77"/>
    <w:rsid w:val="000A0824"/>
    <w:rsid w:val="000A2800"/>
    <w:rsid w:val="000A36A9"/>
    <w:rsid w:val="000A3E90"/>
    <w:rsid w:val="000A429D"/>
    <w:rsid w:val="000A6D90"/>
    <w:rsid w:val="000A6E0C"/>
    <w:rsid w:val="000A7A67"/>
    <w:rsid w:val="000B018F"/>
    <w:rsid w:val="000B0720"/>
    <w:rsid w:val="000B0A84"/>
    <w:rsid w:val="000B0ABD"/>
    <w:rsid w:val="000B25C2"/>
    <w:rsid w:val="000B2AC4"/>
    <w:rsid w:val="000B58AF"/>
    <w:rsid w:val="000B6772"/>
    <w:rsid w:val="000B6D99"/>
    <w:rsid w:val="000B7F70"/>
    <w:rsid w:val="000C0C9A"/>
    <w:rsid w:val="000C21D0"/>
    <w:rsid w:val="000C2BCE"/>
    <w:rsid w:val="000C3426"/>
    <w:rsid w:val="000C57B9"/>
    <w:rsid w:val="000C5ADA"/>
    <w:rsid w:val="000C5B23"/>
    <w:rsid w:val="000C5D6D"/>
    <w:rsid w:val="000C708A"/>
    <w:rsid w:val="000D1328"/>
    <w:rsid w:val="000D3338"/>
    <w:rsid w:val="000D389B"/>
    <w:rsid w:val="000D38DC"/>
    <w:rsid w:val="000D45A2"/>
    <w:rsid w:val="000D4D20"/>
    <w:rsid w:val="000E14CC"/>
    <w:rsid w:val="000E1E45"/>
    <w:rsid w:val="000E29D8"/>
    <w:rsid w:val="000E4A80"/>
    <w:rsid w:val="000E53A4"/>
    <w:rsid w:val="000E5458"/>
    <w:rsid w:val="000E74C8"/>
    <w:rsid w:val="000E7902"/>
    <w:rsid w:val="000E7AA8"/>
    <w:rsid w:val="000F2634"/>
    <w:rsid w:val="000F29FE"/>
    <w:rsid w:val="000F485E"/>
    <w:rsid w:val="000F5260"/>
    <w:rsid w:val="000F5A24"/>
    <w:rsid w:val="0010214F"/>
    <w:rsid w:val="00102A3F"/>
    <w:rsid w:val="0010303E"/>
    <w:rsid w:val="00103EEA"/>
    <w:rsid w:val="001113A8"/>
    <w:rsid w:val="0011327D"/>
    <w:rsid w:val="00116DA6"/>
    <w:rsid w:val="001173C0"/>
    <w:rsid w:val="001261F1"/>
    <w:rsid w:val="00127DAB"/>
    <w:rsid w:val="00130ED4"/>
    <w:rsid w:val="00132481"/>
    <w:rsid w:val="00132E10"/>
    <w:rsid w:val="001350A0"/>
    <w:rsid w:val="00137E15"/>
    <w:rsid w:val="00141634"/>
    <w:rsid w:val="00141783"/>
    <w:rsid w:val="001417A8"/>
    <w:rsid w:val="00141B1A"/>
    <w:rsid w:val="001427DE"/>
    <w:rsid w:val="0014341E"/>
    <w:rsid w:val="001437DA"/>
    <w:rsid w:val="00146BBA"/>
    <w:rsid w:val="00147379"/>
    <w:rsid w:val="001507A5"/>
    <w:rsid w:val="00153793"/>
    <w:rsid w:val="00153D3D"/>
    <w:rsid w:val="00153D80"/>
    <w:rsid w:val="00154DB1"/>
    <w:rsid w:val="00154E81"/>
    <w:rsid w:val="001556CC"/>
    <w:rsid w:val="001569E1"/>
    <w:rsid w:val="00156B89"/>
    <w:rsid w:val="00156BB9"/>
    <w:rsid w:val="001574DF"/>
    <w:rsid w:val="00160902"/>
    <w:rsid w:val="00161D4F"/>
    <w:rsid w:val="00162FF1"/>
    <w:rsid w:val="001667F5"/>
    <w:rsid w:val="001714B4"/>
    <w:rsid w:val="00172743"/>
    <w:rsid w:val="00173238"/>
    <w:rsid w:val="00175137"/>
    <w:rsid w:val="00175301"/>
    <w:rsid w:val="001753BE"/>
    <w:rsid w:val="00181278"/>
    <w:rsid w:val="00182A29"/>
    <w:rsid w:val="00182BEE"/>
    <w:rsid w:val="001849F5"/>
    <w:rsid w:val="00190CBD"/>
    <w:rsid w:val="00190DD6"/>
    <w:rsid w:val="00195D15"/>
    <w:rsid w:val="00196B0D"/>
    <w:rsid w:val="00196D4C"/>
    <w:rsid w:val="00197427"/>
    <w:rsid w:val="001A0675"/>
    <w:rsid w:val="001A12DF"/>
    <w:rsid w:val="001A5350"/>
    <w:rsid w:val="001A5A68"/>
    <w:rsid w:val="001A6212"/>
    <w:rsid w:val="001A72BE"/>
    <w:rsid w:val="001A75E0"/>
    <w:rsid w:val="001A7F75"/>
    <w:rsid w:val="001B185E"/>
    <w:rsid w:val="001B1D2D"/>
    <w:rsid w:val="001B27A1"/>
    <w:rsid w:val="001B3CB7"/>
    <w:rsid w:val="001B409C"/>
    <w:rsid w:val="001B41D8"/>
    <w:rsid w:val="001B535E"/>
    <w:rsid w:val="001B5AD1"/>
    <w:rsid w:val="001B62B3"/>
    <w:rsid w:val="001B6612"/>
    <w:rsid w:val="001B731B"/>
    <w:rsid w:val="001B73F8"/>
    <w:rsid w:val="001C216A"/>
    <w:rsid w:val="001C2F45"/>
    <w:rsid w:val="001C3F8F"/>
    <w:rsid w:val="001C699C"/>
    <w:rsid w:val="001D0694"/>
    <w:rsid w:val="001D0B44"/>
    <w:rsid w:val="001D291E"/>
    <w:rsid w:val="001D3B93"/>
    <w:rsid w:val="001D5889"/>
    <w:rsid w:val="001E0229"/>
    <w:rsid w:val="001E05E8"/>
    <w:rsid w:val="001E0CE1"/>
    <w:rsid w:val="001E243D"/>
    <w:rsid w:val="001E25B4"/>
    <w:rsid w:val="001E3C69"/>
    <w:rsid w:val="001E5632"/>
    <w:rsid w:val="001E564B"/>
    <w:rsid w:val="001E58CC"/>
    <w:rsid w:val="001E68E5"/>
    <w:rsid w:val="001F1410"/>
    <w:rsid w:val="001F29DE"/>
    <w:rsid w:val="001F2A01"/>
    <w:rsid w:val="001F2A18"/>
    <w:rsid w:val="001F2C02"/>
    <w:rsid w:val="001F59ED"/>
    <w:rsid w:val="001F675C"/>
    <w:rsid w:val="001F6C25"/>
    <w:rsid w:val="00210359"/>
    <w:rsid w:val="00211955"/>
    <w:rsid w:val="00211D37"/>
    <w:rsid w:val="00211F9F"/>
    <w:rsid w:val="00212204"/>
    <w:rsid w:val="00212D20"/>
    <w:rsid w:val="00213492"/>
    <w:rsid w:val="0021352C"/>
    <w:rsid w:val="00216763"/>
    <w:rsid w:val="00216945"/>
    <w:rsid w:val="002219DB"/>
    <w:rsid w:val="00222269"/>
    <w:rsid w:val="00222BA5"/>
    <w:rsid w:val="00223450"/>
    <w:rsid w:val="00224420"/>
    <w:rsid w:val="002277CC"/>
    <w:rsid w:val="002323E8"/>
    <w:rsid w:val="0023327E"/>
    <w:rsid w:val="00233D70"/>
    <w:rsid w:val="00235373"/>
    <w:rsid w:val="00235D89"/>
    <w:rsid w:val="002371D4"/>
    <w:rsid w:val="0024001D"/>
    <w:rsid w:val="0024036A"/>
    <w:rsid w:val="002411A6"/>
    <w:rsid w:val="00242080"/>
    <w:rsid w:val="002458DF"/>
    <w:rsid w:val="00246D61"/>
    <w:rsid w:val="0024712F"/>
    <w:rsid w:val="0024786A"/>
    <w:rsid w:val="0025058B"/>
    <w:rsid w:val="00250680"/>
    <w:rsid w:val="00250BCC"/>
    <w:rsid w:val="00250D79"/>
    <w:rsid w:val="002528A7"/>
    <w:rsid w:val="00253796"/>
    <w:rsid w:val="00253B1C"/>
    <w:rsid w:val="00254398"/>
    <w:rsid w:val="002556E2"/>
    <w:rsid w:val="00261393"/>
    <w:rsid w:val="00262116"/>
    <w:rsid w:val="002641FE"/>
    <w:rsid w:val="00265254"/>
    <w:rsid w:val="00265C43"/>
    <w:rsid w:val="00265EC3"/>
    <w:rsid w:val="0026679D"/>
    <w:rsid w:val="00267362"/>
    <w:rsid w:val="002725E8"/>
    <w:rsid w:val="00272EC2"/>
    <w:rsid w:val="00273B2A"/>
    <w:rsid w:val="002741E9"/>
    <w:rsid w:val="00274677"/>
    <w:rsid w:val="00274D1A"/>
    <w:rsid w:val="00276785"/>
    <w:rsid w:val="002767D2"/>
    <w:rsid w:val="002774E0"/>
    <w:rsid w:val="00277608"/>
    <w:rsid w:val="00277DD1"/>
    <w:rsid w:val="00282F42"/>
    <w:rsid w:val="002835A4"/>
    <w:rsid w:val="00284545"/>
    <w:rsid w:val="00284C73"/>
    <w:rsid w:val="00287220"/>
    <w:rsid w:val="0029147A"/>
    <w:rsid w:val="002919BD"/>
    <w:rsid w:val="002926AA"/>
    <w:rsid w:val="0029358B"/>
    <w:rsid w:val="00293693"/>
    <w:rsid w:val="00295696"/>
    <w:rsid w:val="00295735"/>
    <w:rsid w:val="002970D6"/>
    <w:rsid w:val="00297225"/>
    <w:rsid w:val="002A005E"/>
    <w:rsid w:val="002A0270"/>
    <w:rsid w:val="002A36D2"/>
    <w:rsid w:val="002A49E4"/>
    <w:rsid w:val="002A6AD9"/>
    <w:rsid w:val="002B1BDB"/>
    <w:rsid w:val="002B1D48"/>
    <w:rsid w:val="002B4B1E"/>
    <w:rsid w:val="002B59FC"/>
    <w:rsid w:val="002C0488"/>
    <w:rsid w:val="002C213D"/>
    <w:rsid w:val="002C2C78"/>
    <w:rsid w:val="002C36D6"/>
    <w:rsid w:val="002C3890"/>
    <w:rsid w:val="002C3EB0"/>
    <w:rsid w:val="002C4097"/>
    <w:rsid w:val="002C40E0"/>
    <w:rsid w:val="002C4DE2"/>
    <w:rsid w:val="002C594E"/>
    <w:rsid w:val="002D1F05"/>
    <w:rsid w:val="002D21FC"/>
    <w:rsid w:val="002D2616"/>
    <w:rsid w:val="002D2C5E"/>
    <w:rsid w:val="002D3D42"/>
    <w:rsid w:val="002D3E3F"/>
    <w:rsid w:val="002D479B"/>
    <w:rsid w:val="002D5651"/>
    <w:rsid w:val="002D5A3C"/>
    <w:rsid w:val="002D6EC9"/>
    <w:rsid w:val="002D787B"/>
    <w:rsid w:val="002E2249"/>
    <w:rsid w:val="002E4234"/>
    <w:rsid w:val="002E6F34"/>
    <w:rsid w:val="002E74C0"/>
    <w:rsid w:val="002F14E7"/>
    <w:rsid w:val="002F24F1"/>
    <w:rsid w:val="002F634C"/>
    <w:rsid w:val="002F651E"/>
    <w:rsid w:val="002F6E80"/>
    <w:rsid w:val="002F74FD"/>
    <w:rsid w:val="003001E9"/>
    <w:rsid w:val="003019B1"/>
    <w:rsid w:val="00302042"/>
    <w:rsid w:val="00305AE1"/>
    <w:rsid w:val="003072FE"/>
    <w:rsid w:val="003108F6"/>
    <w:rsid w:val="003109EE"/>
    <w:rsid w:val="003113E9"/>
    <w:rsid w:val="00312C87"/>
    <w:rsid w:val="00313AC3"/>
    <w:rsid w:val="00315DC4"/>
    <w:rsid w:val="003166DF"/>
    <w:rsid w:val="003168D8"/>
    <w:rsid w:val="00317020"/>
    <w:rsid w:val="00320655"/>
    <w:rsid w:val="00320B4D"/>
    <w:rsid w:val="00323647"/>
    <w:rsid w:val="00326FF6"/>
    <w:rsid w:val="00327213"/>
    <w:rsid w:val="00327A22"/>
    <w:rsid w:val="0033009B"/>
    <w:rsid w:val="00331EF4"/>
    <w:rsid w:val="003326C0"/>
    <w:rsid w:val="003327F3"/>
    <w:rsid w:val="00332BB8"/>
    <w:rsid w:val="00334D10"/>
    <w:rsid w:val="0033513A"/>
    <w:rsid w:val="00336CC6"/>
    <w:rsid w:val="00340E4E"/>
    <w:rsid w:val="00341A6A"/>
    <w:rsid w:val="00341F02"/>
    <w:rsid w:val="00342130"/>
    <w:rsid w:val="00344B5D"/>
    <w:rsid w:val="003457AC"/>
    <w:rsid w:val="00346605"/>
    <w:rsid w:val="00346EE1"/>
    <w:rsid w:val="00347EDB"/>
    <w:rsid w:val="00350471"/>
    <w:rsid w:val="00350C6D"/>
    <w:rsid w:val="0035318F"/>
    <w:rsid w:val="00354C01"/>
    <w:rsid w:val="00355061"/>
    <w:rsid w:val="00355F6F"/>
    <w:rsid w:val="00356D30"/>
    <w:rsid w:val="0035748B"/>
    <w:rsid w:val="0036306A"/>
    <w:rsid w:val="00363E35"/>
    <w:rsid w:val="00367CE6"/>
    <w:rsid w:val="003702D6"/>
    <w:rsid w:val="00371BFA"/>
    <w:rsid w:val="003727DB"/>
    <w:rsid w:val="00374227"/>
    <w:rsid w:val="003744D1"/>
    <w:rsid w:val="00374852"/>
    <w:rsid w:val="00375961"/>
    <w:rsid w:val="00376333"/>
    <w:rsid w:val="003764A9"/>
    <w:rsid w:val="003801B6"/>
    <w:rsid w:val="00382CB2"/>
    <w:rsid w:val="003860FA"/>
    <w:rsid w:val="00386642"/>
    <w:rsid w:val="003910ED"/>
    <w:rsid w:val="0039127F"/>
    <w:rsid w:val="003912E6"/>
    <w:rsid w:val="00392176"/>
    <w:rsid w:val="003921D6"/>
    <w:rsid w:val="00393086"/>
    <w:rsid w:val="00394218"/>
    <w:rsid w:val="003950BC"/>
    <w:rsid w:val="003A011D"/>
    <w:rsid w:val="003A1FF9"/>
    <w:rsid w:val="003A298A"/>
    <w:rsid w:val="003A2C25"/>
    <w:rsid w:val="003A368F"/>
    <w:rsid w:val="003A44CD"/>
    <w:rsid w:val="003A553B"/>
    <w:rsid w:val="003A566A"/>
    <w:rsid w:val="003A68B3"/>
    <w:rsid w:val="003A6BA4"/>
    <w:rsid w:val="003A7B86"/>
    <w:rsid w:val="003B0395"/>
    <w:rsid w:val="003B113B"/>
    <w:rsid w:val="003B1EC9"/>
    <w:rsid w:val="003B465F"/>
    <w:rsid w:val="003B5E46"/>
    <w:rsid w:val="003C0833"/>
    <w:rsid w:val="003C0E86"/>
    <w:rsid w:val="003C2392"/>
    <w:rsid w:val="003C2BD4"/>
    <w:rsid w:val="003C2E75"/>
    <w:rsid w:val="003C3F61"/>
    <w:rsid w:val="003C4448"/>
    <w:rsid w:val="003C49AC"/>
    <w:rsid w:val="003C4AA5"/>
    <w:rsid w:val="003C74DD"/>
    <w:rsid w:val="003C7918"/>
    <w:rsid w:val="003C7D30"/>
    <w:rsid w:val="003D02DB"/>
    <w:rsid w:val="003D0661"/>
    <w:rsid w:val="003D0816"/>
    <w:rsid w:val="003D12ED"/>
    <w:rsid w:val="003D23DA"/>
    <w:rsid w:val="003D2405"/>
    <w:rsid w:val="003D36AC"/>
    <w:rsid w:val="003D409F"/>
    <w:rsid w:val="003D4266"/>
    <w:rsid w:val="003D4BEB"/>
    <w:rsid w:val="003E1304"/>
    <w:rsid w:val="003E188D"/>
    <w:rsid w:val="003E1ADA"/>
    <w:rsid w:val="003E35D4"/>
    <w:rsid w:val="003E37FA"/>
    <w:rsid w:val="003E3826"/>
    <w:rsid w:val="003E47F9"/>
    <w:rsid w:val="003E6264"/>
    <w:rsid w:val="003E70AF"/>
    <w:rsid w:val="003E7121"/>
    <w:rsid w:val="003E764E"/>
    <w:rsid w:val="003F0731"/>
    <w:rsid w:val="003F159F"/>
    <w:rsid w:val="003F1B0E"/>
    <w:rsid w:val="003F2683"/>
    <w:rsid w:val="003F3355"/>
    <w:rsid w:val="003F33B4"/>
    <w:rsid w:val="003F4780"/>
    <w:rsid w:val="003F5D12"/>
    <w:rsid w:val="00402CF5"/>
    <w:rsid w:val="00405AE8"/>
    <w:rsid w:val="00405C1F"/>
    <w:rsid w:val="00405F6D"/>
    <w:rsid w:val="00407B35"/>
    <w:rsid w:val="00410CA7"/>
    <w:rsid w:val="004110A4"/>
    <w:rsid w:val="0041140E"/>
    <w:rsid w:val="00414694"/>
    <w:rsid w:val="004147C7"/>
    <w:rsid w:val="00414E8B"/>
    <w:rsid w:val="0041563B"/>
    <w:rsid w:val="004160CB"/>
    <w:rsid w:val="00420825"/>
    <w:rsid w:val="004236FA"/>
    <w:rsid w:val="00423B75"/>
    <w:rsid w:val="00424124"/>
    <w:rsid w:val="004263CB"/>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59A"/>
    <w:rsid w:val="00443645"/>
    <w:rsid w:val="0044371D"/>
    <w:rsid w:val="0044372A"/>
    <w:rsid w:val="00443CD6"/>
    <w:rsid w:val="004477BA"/>
    <w:rsid w:val="00450214"/>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77CC3"/>
    <w:rsid w:val="0048301B"/>
    <w:rsid w:val="00483AC8"/>
    <w:rsid w:val="00483EA9"/>
    <w:rsid w:val="00485EA0"/>
    <w:rsid w:val="00486561"/>
    <w:rsid w:val="00490888"/>
    <w:rsid w:val="00490FF5"/>
    <w:rsid w:val="00493920"/>
    <w:rsid w:val="004943DC"/>
    <w:rsid w:val="00495463"/>
    <w:rsid w:val="00495736"/>
    <w:rsid w:val="004A3FCE"/>
    <w:rsid w:val="004A5ABE"/>
    <w:rsid w:val="004A6424"/>
    <w:rsid w:val="004A69D0"/>
    <w:rsid w:val="004A6A82"/>
    <w:rsid w:val="004A6C37"/>
    <w:rsid w:val="004A7B4E"/>
    <w:rsid w:val="004B12B1"/>
    <w:rsid w:val="004B3CA9"/>
    <w:rsid w:val="004B3CBD"/>
    <w:rsid w:val="004B4476"/>
    <w:rsid w:val="004B63F1"/>
    <w:rsid w:val="004B69BA"/>
    <w:rsid w:val="004B6AA8"/>
    <w:rsid w:val="004B6E00"/>
    <w:rsid w:val="004B6F4A"/>
    <w:rsid w:val="004B7141"/>
    <w:rsid w:val="004C130E"/>
    <w:rsid w:val="004C16CD"/>
    <w:rsid w:val="004C186B"/>
    <w:rsid w:val="004C1ED8"/>
    <w:rsid w:val="004C2412"/>
    <w:rsid w:val="004C32B7"/>
    <w:rsid w:val="004C3F2E"/>
    <w:rsid w:val="004C4648"/>
    <w:rsid w:val="004C4856"/>
    <w:rsid w:val="004C53CB"/>
    <w:rsid w:val="004C6DC3"/>
    <w:rsid w:val="004C7784"/>
    <w:rsid w:val="004D17BE"/>
    <w:rsid w:val="004D453B"/>
    <w:rsid w:val="004D4E2B"/>
    <w:rsid w:val="004D5AAB"/>
    <w:rsid w:val="004D5E14"/>
    <w:rsid w:val="004D6221"/>
    <w:rsid w:val="004D780D"/>
    <w:rsid w:val="004D7CF8"/>
    <w:rsid w:val="004E15E7"/>
    <w:rsid w:val="004E28C1"/>
    <w:rsid w:val="004E47F1"/>
    <w:rsid w:val="004E48AC"/>
    <w:rsid w:val="004E570B"/>
    <w:rsid w:val="004E5940"/>
    <w:rsid w:val="004E6439"/>
    <w:rsid w:val="004E6BC0"/>
    <w:rsid w:val="004E6D3B"/>
    <w:rsid w:val="004E6EF8"/>
    <w:rsid w:val="004F0E8B"/>
    <w:rsid w:val="004F299A"/>
    <w:rsid w:val="004F42BC"/>
    <w:rsid w:val="004F571F"/>
    <w:rsid w:val="004F597A"/>
    <w:rsid w:val="004F6533"/>
    <w:rsid w:val="0050032F"/>
    <w:rsid w:val="005007E9"/>
    <w:rsid w:val="005030CF"/>
    <w:rsid w:val="005050A7"/>
    <w:rsid w:val="00505434"/>
    <w:rsid w:val="00505568"/>
    <w:rsid w:val="005055A6"/>
    <w:rsid w:val="00506288"/>
    <w:rsid w:val="00506468"/>
    <w:rsid w:val="00506C12"/>
    <w:rsid w:val="00507060"/>
    <w:rsid w:val="0051179B"/>
    <w:rsid w:val="00512A5C"/>
    <w:rsid w:val="005139D2"/>
    <w:rsid w:val="00514036"/>
    <w:rsid w:val="0051424F"/>
    <w:rsid w:val="00516F42"/>
    <w:rsid w:val="00517B7F"/>
    <w:rsid w:val="00522F4F"/>
    <w:rsid w:val="005234F4"/>
    <w:rsid w:val="00523623"/>
    <w:rsid w:val="005236E0"/>
    <w:rsid w:val="00524CD5"/>
    <w:rsid w:val="00525467"/>
    <w:rsid w:val="00526DD3"/>
    <w:rsid w:val="00527427"/>
    <w:rsid w:val="005279A0"/>
    <w:rsid w:val="005300F0"/>
    <w:rsid w:val="00530A14"/>
    <w:rsid w:val="005314DB"/>
    <w:rsid w:val="0053354F"/>
    <w:rsid w:val="0053404F"/>
    <w:rsid w:val="0053446B"/>
    <w:rsid w:val="005363F5"/>
    <w:rsid w:val="00537EB2"/>
    <w:rsid w:val="00541478"/>
    <w:rsid w:val="0054201A"/>
    <w:rsid w:val="00544734"/>
    <w:rsid w:val="0054560C"/>
    <w:rsid w:val="00545FD3"/>
    <w:rsid w:val="00547B3B"/>
    <w:rsid w:val="00551080"/>
    <w:rsid w:val="00553C4F"/>
    <w:rsid w:val="00554583"/>
    <w:rsid w:val="0055464C"/>
    <w:rsid w:val="005560AC"/>
    <w:rsid w:val="00557CA0"/>
    <w:rsid w:val="005618D7"/>
    <w:rsid w:val="0056238B"/>
    <w:rsid w:val="00562630"/>
    <w:rsid w:val="00563BFC"/>
    <w:rsid w:val="0056460A"/>
    <w:rsid w:val="00565BDB"/>
    <w:rsid w:val="00565F1D"/>
    <w:rsid w:val="005666A4"/>
    <w:rsid w:val="005678AE"/>
    <w:rsid w:val="00567E9B"/>
    <w:rsid w:val="00570343"/>
    <w:rsid w:val="0057145F"/>
    <w:rsid w:val="00572592"/>
    <w:rsid w:val="00574D3A"/>
    <w:rsid w:val="0057524A"/>
    <w:rsid w:val="005758E7"/>
    <w:rsid w:val="00575B41"/>
    <w:rsid w:val="00575F96"/>
    <w:rsid w:val="00576183"/>
    <w:rsid w:val="005778C8"/>
    <w:rsid w:val="0058120D"/>
    <w:rsid w:val="0058148D"/>
    <w:rsid w:val="00583967"/>
    <w:rsid w:val="00584BF8"/>
    <w:rsid w:val="00585761"/>
    <w:rsid w:val="00590189"/>
    <w:rsid w:val="0059191C"/>
    <w:rsid w:val="00593A19"/>
    <w:rsid w:val="00594586"/>
    <w:rsid w:val="0059738D"/>
    <w:rsid w:val="005A128E"/>
    <w:rsid w:val="005A4678"/>
    <w:rsid w:val="005A50E7"/>
    <w:rsid w:val="005A5367"/>
    <w:rsid w:val="005B24FF"/>
    <w:rsid w:val="005B2AE6"/>
    <w:rsid w:val="005B2B8E"/>
    <w:rsid w:val="005B3076"/>
    <w:rsid w:val="005B3A72"/>
    <w:rsid w:val="005B3B5A"/>
    <w:rsid w:val="005B3F09"/>
    <w:rsid w:val="005B47BD"/>
    <w:rsid w:val="005B5BD1"/>
    <w:rsid w:val="005B5D4C"/>
    <w:rsid w:val="005B6FA6"/>
    <w:rsid w:val="005C1644"/>
    <w:rsid w:val="005C358B"/>
    <w:rsid w:val="005C6208"/>
    <w:rsid w:val="005C7068"/>
    <w:rsid w:val="005C76FD"/>
    <w:rsid w:val="005C7A48"/>
    <w:rsid w:val="005D2A55"/>
    <w:rsid w:val="005D2C51"/>
    <w:rsid w:val="005D4878"/>
    <w:rsid w:val="005D4F63"/>
    <w:rsid w:val="005E0671"/>
    <w:rsid w:val="005E19D9"/>
    <w:rsid w:val="005E19E3"/>
    <w:rsid w:val="005E246A"/>
    <w:rsid w:val="005E4198"/>
    <w:rsid w:val="005E4CB3"/>
    <w:rsid w:val="005E4F0C"/>
    <w:rsid w:val="005E5737"/>
    <w:rsid w:val="005E6AC8"/>
    <w:rsid w:val="005E7005"/>
    <w:rsid w:val="005E751F"/>
    <w:rsid w:val="005F0C0E"/>
    <w:rsid w:val="005F1701"/>
    <w:rsid w:val="005F21BF"/>
    <w:rsid w:val="005F3707"/>
    <w:rsid w:val="005F4B70"/>
    <w:rsid w:val="005F613D"/>
    <w:rsid w:val="00603015"/>
    <w:rsid w:val="0060603E"/>
    <w:rsid w:val="006066A0"/>
    <w:rsid w:val="0061165B"/>
    <w:rsid w:val="006120B3"/>
    <w:rsid w:val="006132F7"/>
    <w:rsid w:val="0061553D"/>
    <w:rsid w:val="00617943"/>
    <w:rsid w:val="006212C6"/>
    <w:rsid w:val="006219E9"/>
    <w:rsid w:val="00622E0F"/>
    <w:rsid w:val="00627DDA"/>
    <w:rsid w:val="0063276A"/>
    <w:rsid w:val="00632CEF"/>
    <w:rsid w:val="00633A0B"/>
    <w:rsid w:val="0063469D"/>
    <w:rsid w:val="00634707"/>
    <w:rsid w:val="006352F6"/>
    <w:rsid w:val="00640EBC"/>
    <w:rsid w:val="006411D6"/>
    <w:rsid w:val="006415C9"/>
    <w:rsid w:val="00641BD9"/>
    <w:rsid w:val="00642F02"/>
    <w:rsid w:val="00644034"/>
    <w:rsid w:val="00644F2A"/>
    <w:rsid w:val="0064659C"/>
    <w:rsid w:val="006477B7"/>
    <w:rsid w:val="00650386"/>
    <w:rsid w:val="0065263E"/>
    <w:rsid w:val="00652AC8"/>
    <w:rsid w:val="00652BC8"/>
    <w:rsid w:val="0065345C"/>
    <w:rsid w:val="00653519"/>
    <w:rsid w:val="006538BF"/>
    <w:rsid w:val="0065491F"/>
    <w:rsid w:val="00654F4C"/>
    <w:rsid w:val="00655C9F"/>
    <w:rsid w:val="00657051"/>
    <w:rsid w:val="00660741"/>
    <w:rsid w:val="00660BEF"/>
    <w:rsid w:val="0066157D"/>
    <w:rsid w:val="00663461"/>
    <w:rsid w:val="006677E1"/>
    <w:rsid w:val="0067125A"/>
    <w:rsid w:val="006718F0"/>
    <w:rsid w:val="006721DA"/>
    <w:rsid w:val="006756FB"/>
    <w:rsid w:val="00676A9D"/>
    <w:rsid w:val="00677A3C"/>
    <w:rsid w:val="00677BD0"/>
    <w:rsid w:val="006814A2"/>
    <w:rsid w:val="00682097"/>
    <w:rsid w:val="0068313F"/>
    <w:rsid w:val="006834A1"/>
    <w:rsid w:val="00683D33"/>
    <w:rsid w:val="0068498D"/>
    <w:rsid w:val="00684F5A"/>
    <w:rsid w:val="00685B82"/>
    <w:rsid w:val="00685C9B"/>
    <w:rsid w:val="00685E11"/>
    <w:rsid w:val="00690E0D"/>
    <w:rsid w:val="00691652"/>
    <w:rsid w:val="00692098"/>
    <w:rsid w:val="00693B59"/>
    <w:rsid w:val="0069705B"/>
    <w:rsid w:val="00697A39"/>
    <w:rsid w:val="006A0EDC"/>
    <w:rsid w:val="006A18DB"/>
    <w:rsid w:val="006A1DC9"/>
    <w:rsid w:val="006A2550"/>
    <w:rsid w:val="006A2D2E"/>
    <w:rsid w:val="006A537E"/>
    <w:rsid w:val="006A7EE2"/>
    <w:rsid w:val="006B0CA8"/>
    <w:rsid w:val="006B0FD2"/>
    <w:rsid w:val="006B213F"/>
    <w:rsid w:val="006B443B"/>
    <w:rsid w:val="006B4635"/>
    <w:rsid w:val="006B7661"/>
    <w:rsid w:val="006C0D24"/>
    <w:rsid w:val="006C452E"/>
    <w:rsid w:val="006C487C"/>
    <w:rsid w:val="006C6EFA"/>
    <w:rsid w:val="006C7DB7"/>
    <w:rsid w:val="006D0FAE"/>
    <w:rsid w:val="006D1D1B"/>
    <w:rsid w:val="006D472D"/>
    <w:rsid w:val="006D67B5"/>
    <w:rsid w:val="006D6ABC"/>
    <w:rsid w:val="006E16F9"/>
    <w:rsid w:val="006E2274"/>
    <w:rsid w:val="006E2495"/>
    <w:rsid w:val="006E3717"/>
    <w:rsid w:val="006E3939"/>
    <w:rsid w:val="006E3AB5"/>
    <w:rsid w:val="006E75F2"/>
    <w:rsid w:val="006E790B"/>
    <w:rsid w:val="006F055C"/>
    <w:rsid w:val="006F243C"/>
    <w:rsid w:val="006F6165"/>
    <w:rsid w:val="006F7889"/>
    <w:rsid w:val="00700A03"/>
    <w:rsid w:val="007014CE"/>
    <w:rsid w:val="00702214"/>
    <w:rsid w:val="00702C40"/>
    <w:rsid w:val="00703E3A"/>
    <w:rsid w:val="0070630A"/>
    <w:rsid w:val="00707D20"/>
    <w:rsid w:val="00710153"/>
    <w:rsid w:val="00710F58"/>
    <w:rsid w:val="00711EBA"/>
    <w:rsid w:val="00712277"/>
    <w:rsid w:val="00713C94"/>
    <w:rsid w:val="00714B77"/>
    <w:rsid w:val="00717122"/>
    <w:rsid w:val="00721283"/>
    <w:rsid w:val="00721AD7"/>
    <w:rsid w:val="007225EF"/>
    <w:rsid w:val="00722BA6"/>
    <w:rsid w:val="00723DBC"/>
    <w:rsid w:val="00723DC5"/>
    <w:rsid w:val="00724987"/>
    <w:rsid w:val="0072559E"/>
    <w:rsid w:val="0072643C"/>
    <w:rsid w:val="00727105"/>
    <w:rsid w:val="00727952"/>
    <w:rsid w:val="00730277"/>
    <w:rsid w:val="00731417"/>
    <w:rsid w:val="00731CE6"/>
    <w:rsid w:val="007338D6"/>
    <w:rsid w:val="007340BC"/>
    <w:rsid w:val="00734983"/>
    <w:rsid w:val="00740B36"/>
    <w:rsid w:val="00741D44"/>
    <w:rsid w:val="00744CFC"/>
    <w:rsid w:val="00744DDC"/>
    <w:rsid w:val="00747A6F"/>
    <w:rsid w:val="00750106"/>
    <w:rsid w:val="00752810"/>
    <w:rsid w:val="00753939"/>
    <w:rsid w:val="0075622F"/>
    <w:rsid w:val="0075791F"/>
    <w:rsid w:val="0076067D"/>
    <w:rsid w:val="007613FE"/>
    <w:rsid w:val="0076344F"/>
    <w:rsid w:val="00763B17"/>
    <w:rsid w:val="00764A8B"/>
    <w:rsid w:val="00766714"/>
    <w:rsid w:val="0076772F"/>
    <w:rsid w:val="00770E1C"/>
    <w:rsid w:val="00771E12"/>
    <w:rsid w:val="00772FBB"/>
    <w:rsid w:val="00775781"/>
    <w:rsid w:val="007760DB"/>
    <w:rsid w:val="00776E12"/>
    <w:rsid w:val="00777ADF"/>
    <w:rsid w:val="00782296"/>
    <w:rsid w:val="00782CDC"/>
    <w:rsid w:val="007839F9"/>
    <w:rsid w:val="00786229"/>
    <w:rsid w:val="0078696E"/>
    <w:rsid w:val="00787BE1"/>
    <w:rsid w:val="00791109"/>
    <w:rsid w:val="00791D57"/>
    <w:rsid w:val="00793662"/>
    <w:rsid w:val="00796094"/>
    <w:rsid w:val="0079638F"/>
    <w:rsid w:val="007A072D"/>
    <w:rsid w:val="007A0780"/>
    <w:rsid w:val="007A2765"/>
    <w:rsid w:val="007A2B37"/>
    <w:rsid w:val="007A3BBB"/>
    <w:rsid w:val="007A3F8B"/>
    <w:rsid w:val="007B0600"/>
    <w:rsid w:val="007B13E5"/>
    <w:rsid w:val="007B1516"/>
    <w:rsid w:val="007B2F6B"/>
    <w:rsid w:val="007B2F77"/>
    <w:rsid w:val="007B3AB2"/>
    <w:rsid w:val="007B473A"/>
    <w:rsid w:val="007B5621"/>
    <w:rsid w:val="007B6DBB"/>
    <w:rsid w:val="007C33DB"/>
    <w:rsid w:val="007C3A24"/>
    <w:rsid w:val="007C4286"/>
    <w:rsid w:val="007C5D32"/>
    <w:rsid w:val="007D0BB2"/>
    <w:rsid w:val="007D11C6"/>
    <w:rsid w:val="007D1587"/>
    <w:rsid w:val="007D2C48"/>
    <w:rsid w:val="007D3BFC"/>
    <w:rsid w:val="007D721A"/>
    <w:rsid w:val="007E1389"/>
    <w:rsid w:val="007E2456"/>
    <w:rsid w:val="007E4FA4"/>
    <w:rsid w:val="007E546F"/>
    <w:rsid w:val="007E5B13"/>
    <w:rsid w:val="007E5F22"/>
    <w:rsid w:val="007E75C0"/>
    <w:rsid w:val="007E7AE3"/>
    <w:rsid w:val="007F0AF3"/>
    <w:rsid w:val="007F1928"/>
    <w:rsid w:val="007F38AA"/>
    <w:rsid w:val="007F392E"/>
    <w:rsid w:val="007F4808"/>
    <w:rsid w:val="007F578D"/>
    <w:rsid w:val="007F5FD0"/>
    <w:rsid w:val="007F6454"/>
    <w:rsid w:val="007F6BCF"/>
    <w:rsid w:val="00800212"/>
    <w:rsid w:val="00802475"/>
    <w:rsid w:val="00802C1B"/>
    <w:rsid w:val="0080339D"/>
    <w:rsid w:val="00803C3D"/>
    <w:rsid w:val="008040F5"/>
    <w:rsid w:val="00806DB7"/>
    <w:rsid w:val="00807A3E"/>
    <w:rsid w:val="00811A1B"/>
    <w:rsid w:val="00814815"/>
    <w:rsid w:val="0081645E"/>
    <w:rsid w:val="0081658C"/>
    <w:rsid w:val="00817303"/>
    <w:rsid w:val="00820774"/>
    <w:rsid w:val="00820CC0"/>
    <w:rsid w:val="00822405"/>
    <w:rsid w:val="00822580"/>
    <w:rsid w:val="00824C39"/>
    <w:rsid w:val="00824DED"/>
    <w:rsid w:val="00826E5A"/>
    <w:rsid w:val="008274C7"/>
    <w:rsid w:val="00827E79"/>
    <w:rsid w:val="008308FC"/>
    <w:rsid w:val="00831D61"/>
    <w:rsid w:val="00831E72"/>
    <w:rsid w:val="00833309"/>
    <w:rsid w:val="00833A53"/>
    <w:rsid w:val="00834F71"/>
    <w:rsid w:val="00835B46"/>
    <w:rsid w:val="0083713D"/>
    <w:rsid w:val="00840ABC"/>
    <w:rsid w:val="008420B7"/>
    <w:rsid w:val="008426F6"/>
    <w:rsid w:val="00842828"/>
    <w:rsid w:val="00843713"/>
    <w:rsid w:val="008437B2"/>
    <w:rsid w:val="00843F1C"/>
    <w:rsid w:val="00845887"/>
    <w:rsid w:val="00845CA5"/>
    <w:rsid w:val="0084637E"/>
    <w:rsid w:val="008501C4"/>
    <w:rsid w:val="00850DCE"/>
    <w:rsid w:val="00853591"/>
    <w:rsid w:val="00854FBB"/>
    <w:rsid w:val="008550EC"/>
    <w:rsid w:val="008552AB"/>
    <w:rsid w:val="00856E8A"/>
    <w:rsid w:val="008627AC"/>
    <w:rsid w:val="008646AB"/>
    <w:rsid w:val="008661BA"/>
    <w:rsid w:val="008671A6"/>
    <w:rsid w:val="008673BC"/>
    <w:rsid w:val="008677E4"/>
    <w:rsid w:val="00871CA8"/>
    <w:rsid w:val="00872BDE"/>
    <w:rsid w:val="00872E80"/>
    <w:rsid w:val="0087373F"/>
    <w:rsid w:val="00873BC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2C47"/>
    <w:rsid w:val="00894290"/>
    <w:rsid w:val="00895CD6"/>
    <w:rsid w:val="008A05AB"/>
    <w:rsid w:val="008A0B1D"/>
    <w:rsid w:val="008A25A1"/>
    <w:rsid w:val="008A46BC"/>
    <w:rsid w:val="008B0378"/>
    <w:rsid w:val="008B1B8C"/>
    <w:rsid w:val="008B39B6"/>
    <w:rsid w:val="008B5056"/>
    <w:rsid w:val="008B5423"/>
    <w:rsid w:val="008B63AF"/>
    <w:rsid w:val="008B6ED1"/>
    <w:rsid w:val="008C1AFD"/>
    <w:rsid w:val="008C1F24"/>
    <w:rsid w:val="008C230F"/>
    <w:rsid w:val="008C31D0"/>
    <w:rsid w:val="008C442F"/>
    <w:rsid w:val="008C4B67"/>
    <w:rsid w:val="008C4B77"/>
    <w:rsid w:val="008C6C4B"/>
    <w:rsid w:val="008C78FF"/>
    <w:rsid w:val="008D1AEF"/>
    <w:rsid w:val="008D2751"/>
    <w:rsid w:val="008D2CCF"/>
    <w:rsid w:val="008D3816"/>
    <w:rsid w:val="008D512B"/>
    <w:rsid w:val="008D53F6"/>
    <w:rsid w:val="008E05AA"/>
    <w:rsid w:val="008E258C"/>
    <w:rsid w:val="008E2ED7"/>
    <w:rsid w:val="008E48C2"/>
    <w:rsid w:val="008E51A2"/>
    <w:rsid w:val="008E54DE"/>
    <w:rsid w:val="008E5938"/>
    <w:rsid w:val="008E5CA7"/>
    <w:rsid w:val="008E6220"/>
    <w:rsid w:val="008E7BDD"/>
    <w:rsid w:val="008F1E3E"/>
    <w:rsid w:val="008F2160"/>
    <w:rsid w:val="008F4934"/>
    <w:rsid w:val="008F538D"/>
    <w:rsid w:val="008F5F3D"/>
    <w:rsid w:val="00900F00"/>
    <w:rsid w:val="00903BD8"/>
    <w:rsid w:val="00903C0A"/>
    <w:rsid w:val="009044E8"/>
    <w:rsid w:val="009046D6"/>
    <w:rsid w:val="00905914"/>
    <w:rsid w:val="00905E86"/>
    <w:rsid w:val="0091238B"/>
    <w:rsid w:val="009124E4"/>
    <w:rsid w:val="00912860"/>
    <w:rsid w:val="00915F07"/>
    <w:rsid w:val="009163E2"/>
    <w:rsid w:val="00917263"/>
    <w:rsid w:val="00917D0F"/>
    <w:rsid w:val="009220D6"/>
    <w:rsid w:val="009221C0"/>
    <w:rsid w:val="009225E4"/>
    <w:rsid w:val="00922A4F"/>
    <w:rsid w:val="00923650"/>
    <w:rsid w:val="009245C1"/>
    <w:rsid w:val="00924BBC"/>
    <w:rsid w:val="00924EA9"/>
    <w:rsid w:val="00925F00"/>
    <w:rsid w:val="00925FA2"/>
    <w:rsid w:val="009268EB"/>
    <w:rsid w:val="009269D0"/>
    <w:rsid w:val="00926A9C"/>
    <w:rsid w:val="00926EF8"/>
    <w:rsid w:val="00927803"/>
    <w:rsid w:val="0093016F"/>
    <w:rsid w:val="00930387"/>
    <w:rsid w:val="00931D1C"/>
    <w:rsid w:val="00934C65"/>
    <w:rsid w:val="00934DD3"/>
    <w:rsid w:val="00936372"/>
    <w:rsid w:val="00936C92"/>
    <w:rsid w:val="0094225B"/>
    <w:rsid w:val="00942B00"/>
    <w:rsid w:val="00943332"/>
    <w:rsid w:val="00943658"/>
    <w:rsid w:val="009453B3"/>
    <w:rsid w:val="00947E85"/>
    <w:rsid w:val="00950BD9"/>
    <w:rsid w:val="00950F30"/>
    <w:rsid w:val="00951633"/>
    <w:rsid w:val="00951BC6"/>
    <w:rsid w:val="00952478"/>
    <w:rsid w:val="00953CCF"/>
    <w:rsid w:val="009547CB"/>
    <w:rsid w:val="00955F01"/>
    <w:rsid w:val="00957280"/>
    <w:rsid w:val="00957CD1"/>
    <w:rsid w:val="00957DD5"/>
    <w:rsid w:val="009600AC"/>
    <w:rsid w:val="009613EA"/>
    <w:rsid w:val="00961DB2"/>
    <w:rsid w:val="00961E80"/>
    <w:rsid w:val="00962CC2"/>
    <w:rsid w:val="0096344D"/>
    <w:rsid w:val="00963ABA"/>
    <w:rsid w:val="00967723"/>
    <w:rsid w:val="00971535"/>
    <w:rsid w:val="00971AA5"/>
    <w:rsid w:val="00971E0F"/>
    <w:rsid w:val="0097292F"/>
    <w:rsid w:val="009734A4"/>
    <w:rsid w:val="009737EE"/>
    <w:rsid w:val="009740EA"/>
    <w:rsid w:val="009741D9"/>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D92"/>
    <w:rsid w:val="00993E91"/>
    <w:rsid w:val="00994048"/>
    <w:rsid w:val="009944D0"/>
    <w:rsid w:val="009952EF"/>
    <w:rsid w:val="009A04A8"/>
    <w:rsid w:val="009A204C"/>
    <w:rsid w:val="009A239F"/>
    <w:rsid w:val="009A2D0C"/>
    <w:rsid w:val="009A4A2B"/>
    <w:rsid w:val="009A4D63"/>
    <w:rsid w:val="009A54FC"/>
    <w:rsid w:val="009A7A04"/>
    <w:rsid w:val="009A7E4D"/>
    <w:rsid w:val="009B08C5"/>
    <w:rsid w:val="009B128A"/>
    <w:rsid w:val="009B52C0"/>
    <w:rsid w:val="009B6D0F"/>
    <w:rsid w:val="009C0762"/>
    <w:rsid w:val="009C1254"/>
    <w:rsid w:val="009C2167"/>
    <w:rsid w:val="009C4497"/>
    <w:rsid w:val="009C60C6"/>
    <w:rsid w:val="009C72C1"/>
    <w:rsid w:val="009C74B7"/>
    <w:rsid w:val="009C768A"/>
    <w:rsid w:val="009D0E10"/>
    <w:rsid w:val="009D0ED7"/>
    <w:rsid w:val="009D2D5A"/>
    <w:rsid w:val="009D2F5A"/>
    <w:rsid w:val="009D3E57"/>
    <w:rsid w:val="009D46C1"/>
    <w:rsid w:val="009D5D36"/>
    <w:rsid w:val="009D7771"/>
    <w:rsid w:val="009D7926"/>
    <w:rsid w:val="009E04A4"/>
    <w:rsid w:val="009E0D02"/>
    <w:rsid w:val="009E25F0"/>
    <w:rsid w:val="009E280B"/>
    <w:rsid w:val="009E2C3F"/>
    <w:rsid w:val="009E41EF"/>
    <w:rsid w:val="009E4418"/>
    <w:rsid w:val="009E5838"/>
    <w:rsid w:val="009E6637"/>
    <w:rsid w:val="009F0BA5"/>
    <w:rsid w:val="009F1351"/>
    <w:rsid w:val="009F2BEC"/>
    <w:rsid w:val="009F30A3"/>
    <w:rsid w:val="009F3174"/>
    <w:rsid w:val="009F3AFE"/>
    <w:rsid w:val="009F64F1"/>
    <w:rsid w:val="009F7FAE"/>
    <w:rsid w:val="00A00F3F"/>
    <w:rsid w:val="00A014FB"/>
    <w:rsid w:val="00A0235E"/>
    <w:rsid w:val="00A031BD"/>
    <w:rsid w:val="00A04526"/>
    <w:rsid w:val="00A0665C"/>
    <w:rsid w:val="00A0725A"/>
    <w:rsid w:val="00A074F4"/>
    <w:rsid w:val="00A07FCC"/>
    <w:rsid w:val="00A10172"/>
    <w:rsid w:val="00A10401"/>
    <w:rsid w:val="00A11704"/>
    <w:rsid w:val="00A11840"/>
    <w:rsid w:val="00A12C59"/>
    <w:rsid w:val="00A131A8"/>
    <w:rsid w:val="00A1638E"/>
    <w:rsid w:val="00A173BF"/>
    <w:rsid w:val="00A22C61"/>
    <w:rsid w:val="00A245F8"/>
    <w:rsid w:val="00A262E4"/>
    <w:rsid w:val="00A26EC3"/>
    <w:rsid w:val="00A27E52"/>
    <w:rsid w:val="00A309D7"/>
    <w:rsid w:val="00A34A40"/>
    <w:rsid w:val="00A359C7"/>
    <w:rsid w:val="00A36D99"/>
    <w:rsid w:val="00A37B09"/>
    <w:rsid w:val="00A409CA"/>
    <w:rsid w:val="00A41CF3"/>
    <w:rsid w:val="00A4214E"/>
    <w:rsid w:val="00A43D7A"/>
    <w:rsid w:val="00A4674D"/>
    <w:rsid w:val="00A50E51"/>
    <w:rsid w:val="00A529C5"/>
    <w:rsid w:val="00A537B2"/>
    <w:rsid w:val="00A545AE"/>
    <w:rsid w:val="00A547CE"/>
    <w:rsid w:val="00A553D8"/>
    <w:rsid w:val="00A553EE"/>
    <w:rsid w:val="00A55FF3"/>
    <w:rsid w:val="00A603CE"/>
    <w:rsid w:val="00A607BD"/>
    <w:rsid w:val="00A60B3F"/>
    <w:rsid w:val="00A60DA8"/>
    <w:rsid w:val="00A615E9"/>
    <w:rsid w:val="00A63DC7"/>
    <w:rsid w:val="00A64015"/>
    <w:rsid w:val="00A6448A"/>
    <w:rsid w:val="00A64CF7"/>
    <w:rsid w:val="00A65758"/>
    <w:rsid w:val="00A662A6"/>
    <w:rsid w:val="00A6755D"/>
    <w:rsid w:val="00A6770C"/>
    <w:rsid w:val="00A67B08"/>
    <w:rsid w:val="00A71A91"/>
    <w:rsid w:val="00A7261A"/>
    <w:rsid w:val="00A752D5"/>
    <w:rsid w:val="00A76D5C"/>
    <w:rsid w:val="00A7700C"/>
    <w:rsid w:val="00A77E5B"/>
    <w:rsid w:val="00A81C8D"/>
    <w:rsid w:val="00A821EA"/>
    <w:rsid w:val="00A8316F"/>
    <w:rsid w:val="00A84031"/>
    <w:rsid w:val="00A8721E"/>
    <w:rsid w:val="00A8741D"/>
    <w:rsid w:val="00A90D67"/>
    <w:rsid w:val="00A91AE9"/>
    <w:rsid w:val="00A92495"/>
    <w:rsid w:val="00A941AB"/>
    <w:rsid w:val="00A94321"/>
    <w:rsid w:val="00A943BE"/>
    <w:rsid w:val="00A943F6"/>
    <w:rsid w:val="00A9477C"/>
    <w:rsid w:val="00A94BF6"/>
    <w:rsid w:val="00A95029"/>
    <w:rsid w:val="00A954BD"/>
    <w:rsid w:val="00A96C27"/>
    <w:rsid w:val="00A978EE"/>
    <w:rsid w:val="00AA008D"/>
    <w:rsid w:val="00AA4570"/>
    <w:rsid w:val="00AA4880"/>
    <w:rsid w:val="00AA5899"/>
    <w:rsid w:val="00AA5E63"/>
    <w:rsid w:val="00AA798D"/>
    <w:rsid w:val="00AA7B5D"/>
    <w:rsid w:val="00AB1720"/>
    <w:rsid w:val="00AB6228"/>
    <w:rsid w:val="00AB6473"/>
    <w:rsid w:val="00AB6B18"/>
    <w:rsid w:val="00AB758E"/>
    <w:rsid w:val="00AB75A3"/>
    <w:rsid w:val="00AB7B89"/>
    <w:rsid w:val="00AB7E05"/>
    <w:rsid w:val="00AB7FC6"/>
    <w:rsid w:val="00AC05AE"/>
    <w:rsid w:val="00AC1A75"/>
    <w:rsid w:val="00AC2F1F"/>
    <w:rsid w:val="00AC4043"/>
    <w:rsid w:val="00AC48B1"/>
    <w:rsid w:val="00AC5D87"/>
    <w:rsid w:val="00AC6499"/>
    <w:rsid w:val="00AC7E4F"/>
    <w:rsid w:val="00AD115D"/>
    <w:rsid w:val="00AD16AE"/>
    <w:rsid w:val="00AD18BE"/>
    <w:rsid w:val="00AD38A6"/>
    <w:rsid w:val="00AD484C"/>
    <w:rsid w:val="00AD6C53"/>
    <w:rsid w:val="00AD7D6F"/>
    <w:rsid w:val="00AE1534"/>
    <w:rsid w:val="00AE1883"/>
    <w:rsid w:val="00AE30A1"/>
    <w:rsid w:val="00AE5C1D"/>
    <w:rsid w:val="00AE611B"/>
    <w:rsid w:val="00AE649B"/>
    <w:rsid w:val="00AE650A"/>
    <w:rsid w:val="00AE72CA"/>
    <w:rsid w:val="00AE72F4"/>
    <w:rsid w:val="00AF0A4B"/>
    <w:rsid w:val="00AF392D"/>
    <w:rsid w:val="00AF4251"/>
    <w:rsid w:val="00AF4BBC"/>
    <w:rsid w:val="00AF54EE"/>
    <w:rsid w:val="00AF65DE"/>
    <w:rsid w:val="00AF65FB"/>
    <w:rsid w:val="00AF6AF6"/>
    <w:rsid w:val="00B00173"/>
    <w:rsid w:val="00B00E04"/>
    <w:rsid w:val="00B01CF2"/>
    <w:rsid w:val="00B02FEC"/>
    <w:rsid w:val="00B034ED"/>
    <w:rsid w:val="00B03A6A"/>
    <w:rsid w:val="00B04278"/>
    <w:rsid w:val="00B0786D"/>
    <w:rsid w:val="00B12672"/>
    <w:rsid w:val="00B138DA"/>
    <w:rsid w:val="00B16D0D"/>
    <w:rsid w:val="00B17C28"/>
    <w:rsid w:val="00B2192A"/>
    <w:rsid w:val="00B21956"/>
    <w:rsid w:val="00B22041"/>
    <w:rsid w:val="00B2434D"/>
    <w:rsid w:val="00B24D29"/>
    <w:rsid w:val="00B257B0"/>
    <w:rsid w:val="00B31A34"/>
    <w:rsid w:val="00B31EE6"/>
    <w:rsid w:val="00B3257E"/>
    <w:rsid w:val="00B34716"/>
    <w:rsid w:val="00B34EC9"/>
    <w:rsid w:val="00B37ED3"/>
    <w:rsid w:val="00B46001"/>
    <w:rsid w:val="00B47CE0"/>
    <w:rsid w:val="00B501EE"/>
    <w:rsid w:val="00B502B1"/>
    <w:rsid w:val="00B50A69"/>
    <w:rsid w:val="00B5335B"/>
    <w:rsid w:val="00B5760B"/>
    <w:rsid w:val="00B60315"/>
    <w:rsid w:val="00B6176A"/>
    <w:rsid w:val="00B61A13"/>
    <w:rsid w:val="00B61CC1"/>
    <w:rsid w:val="00B6232D"/>
    <w:rsid w:val="00B634BC"/>
    <w:rsid w:val="00B63511"/>
    <w:rsid w:val="00B6444A"/>
    <w:rsid w:val="00B648CA"/>
    <w:rsid w:val="00B71C8B"/>
    <w:rsid w:val="00B71CD5"/>
    <w:rsid w:val="00B7266C"/>
    <w:rsid w:val="00B737F1"/>
    <w:rsid w:val="00B73FF1"/>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039D"/>
    <w:rsid w:val="00BA3A82"/>
    <w:rsid w:val="00BA677D"/>
    <w:rsid w:val="00BA67B6"/>
    <w:rsid w:val="00BA6FDB"/>
    <w:rsid w:val="00BA7AA0"/>
    <w:rsid w:val="00BB0265"/>
    <w:rsid w:val="00BB02ED"/>
    <w:rsid w:val="00BB0893"/>
    <w:rsid w:val="00BB3CBF"/>
    <w:rsid w:val="00BB494D"/>
    <w:rsid w:val="00BB4A3F"/>
    <w:rsid w:val="00BB7612"/>
    <w:rsid w:val="00BC01DF"/>
    <w:rsid w:val="00BC1870"/>
    <w:rsid w:val="00BC1F72"/>
    <w:rsid w:val="00BC2CA1"/>
    <w:rsid w:val="00BC31F9"/>
    <w:rsid w:val="00BC3E1B"/>
    <w:rsid w:val="00BC6F83"/>
    <w:rsid w:val="00BC73D7"/>
    <w:rsid w:val="00BD028B"/>
    <w:rsid w:val="00BD0FEA"/>
    <w:rsid w:val="00BD34B4"/>
    <w:rsid w:val="00BE18C4"/>
    <w:rsid w:val="00BE193F"/>
    <w:rsid w:val="00BE194A"/>
    <w:rsid w:val="00BE4ACC"/>
    <w:rsid w:val="00BE5CDC"/>
    <w:rsid w:val="00BE6C72"/>
    <w:rsid w:val="00BE7DAA"/>
    <w:rsid w:val="00BF1CB9"/>
    <w:rsid w:val="00BF2C5D"/>
    <w:rsid w:val="00BF2FC7"/>
    <w:rsid w:val="00BF3132"/>
    <w:rsid w:val="00BF31E3"/>
    <w:rsid w:val="00BF3B8B"/>
    <w:rsid w:val="00BF5855"/>
    <w:rsid w:val="00BF5F1C"/>
    <w:rsid w:val="00BF7FE7"/>
    <w:rsid w:val="00C0082D"/>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4B24"/>
    <w:rsid w:val="00C47857"/>
    <w:rsid w:val="00C47EE0"/>
    <w:rsid w:val="00C47FDA"/>
    <w:rsid w:val="00C5054C"/>
    <w:rsid w:val="00C52819"/>
    <w:rsid w:val="00C55C1C"/>
    <w:rsid w:val="00C565FB"/>
    <w:rsid w:val="00C57354"/>
    <w:rsid w:val="00C5785B"/>
    <w:rsid w:val="00C63006"/>
    <w:rsid w:val="00C65555"/>
    <w:rsid w:val="00C65AC2"/>
    <w:rsid w:val="00C6609D"/>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77BBA"/>
    <w:rsid w:val="00C806F5"/>
    <w:rsid w:val="00C81571"/>
    <w:rsid w:val="00C8160F"/>
    <w:rsid w:val="00C81902"/>
    <w:rsid w:val="00C823E7"/>
    <w:rsid w:val="00C843EC"/>
    <w:rsid w:val="00C84BBE"/>
    <w:rsid w:val="00C86BA5"/>
    <w:rsid w:val="00C87E19"/>
    <w:rsid w:val="00C87E58"/>
    <w:rsid w:val="00C87EAB"/>
    <w:rsid w:val="00C913B6"/>
    <w:rsid w:val="00C91C4D"/>
    <w:rsid w:val="00C92E44"/>
    <w:rsid w:val="00C94F69"/>
    <w:rsid w:val="00C95D50"/>
    <w:rsid w:val="00C96F72"/>
    <w:rsid w:val="00C970A8"/>
    <w:rsid w:val="00C97CC0"/>
    <w:rsid w:val="00C97FE8"/>
    <w:rsid w:val="00CA18F9"/>
    <w:rsid w:val="00CA23E6"/>
    <w:rsid w:val="00CA34D2"/>
    <w:rsid w:val="00CA4F5E"/>
    <w:rsid w:val="00CA6EA3"/>
    <w:rsid w:val="00CA707C"/>
    <w:rsid w:val="00CB15A7"/>
    <w:rsid w:val="00CB257E"/>
    <w:rsid w:val="00CB2F6E"/>
    <w:rsid w:val="00CB6D97"/>
    <w:rsid w:val="00CC0A30"/>
    <w:rsid w:val="00CC420F"/>
    <w:rsid w:val="00CC4CBB"/>
    <w:rsid w:val="00CC69CC"/>
    <w:rsid w:val="00CC6A02"/>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5B11"/>
    <w:rsid w:val="00CF03AA"/>
    <w:rsid w:val="00CF0589"/>
    <w:rsid w:val="00CF185A"/>
    <w:rsid w:val="00CF2188"/>
    <w:rsid w:val="00CF31FA"/>
    <w:rsid w:val="00CF60FB"/>
    <w:rsid w:val="00CF7F5C"/>
    <w:rsid w:val="00D0142B"/>
    <w:rsid w:val="00D022CC"/>
    <w:rsid w:val="00D04366"/>
    <w:rsid w:val="00D05417"/>
    <w:rsid w:val="00D05944"/>
    <w:rsid w:val="00D13035"/>
    <w:rsid w:val="00D1311B"/>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2D89"/>
    <w:rsid w:val="00D437CC"/>
    <w:rsid w:val="00D446F1"/>
    <w:rsid w:val="00D451C1"/>
    <w:rsid w:val="00D456D8"/>
    <w:rsid w:val="00D45A0E"/>
    <w:rsid w:val="00D45DDE"/>
    <w:rsid w:val="00D463A9"/>
    <w:rsid w:val="00D46DEA"/>
    <w:rsid w:val="00D4758C"/>
    <w:rsid w:val="00D516AF"/>
    <w:rsid w:val="00D51C1F"/>
    <w:rsid w:val="00D52727"/>
    <w:rsid w:val="00D53113"/>
    <w:rsid w:val="00D53A68"/>
    <w:rsid w:val="00D542FB"/>
    <w:rsid w:val="00D55FAB"/>
    <w:rsid w:val="00D56233"/>
    <w:rsid w:val="00D56786"/>
    <w:rsid w:val="00D56DCF"/>
    <w:rsid w:val="00D57B3D"/>
    <w:rsid w:val="00D61EAB"/>
    <w:rsid w:val="00D621B3"/>
    <w:rsid w:val="00D64748"/>
    <w:rsid w:val="00D67BA7"/>
    <w:rsid w:val="00D701D3"/>
    <w:rsid w:val="00D70656"/>
    <w:rsid w:val="00D714EF"/>
    <w:rsid w:val="00D72552"/>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112"/>
    <w:rsid w:val="00DA43CF"/>
    <w:rsid w:val="00DA4E5D"/>
    <w:rsid w:val="00DA5E8F"/>
    <w:rsid w:val="00DA7B5A"/>
    <w:rsid w:val="00DB0323"/>
    <w:rsid w:val="00DB1FA7"/>
    <w:rsid w:val="00DB2051"/>
    <w:rsid w:val="00DB37F5"/>
    <w:rsid w:val="00DB68C8"/>
    <w:rsid w:val="00DB6C71"/>
    <w:rsid w:val="00DC0E31"/>
    <w:rsid w:val="00DC12D4"/>
    <w:rsid w:val="00DC15DC"/>
    <w:rsid w:val="00DC5ADB"/>
    <w:rsid w:val="00DC6076"/>
    <w:rsid w:val="00DC70D0"/>
    <w:rsid w:val="00DC7C7C"/>
    <w:rsid w:val="00DC7DD6"/>
    <w:rsid w:val="00DD064A"/>
    <w:rsid w:val="00DD3971"/>
    <w:rsid w:val="00DD68E5"/>
    <w:rsid w:val="00DD74EF"/>
    <w:rsid w:val="00DE0E10"/>
    <w:rsid w:val="00DE5B03"/>
    <w:rsid w:val="00DE74DE"/>
    <w:rsid w:val="00DF020C"/>
    <w:rsid w:val="00DF0FB9"/>
    <w:rsid w:val="00DF4BC5"/>
    <w:rsid w:val="00DF5F45"/>
    <w:rsid w:val="00DF73AA"/>
    <w:rsid w:val="00E01AA2"/>
    <w:rsid w:val="00E02983"/>
    <w:rsid w:val="00E031E4"/>
    <w:rsid w:val="00E03DA1"/>
    <w:rsid w:val="00E048FB"/>
    <w:rsid w:val="00E0495A"/>
    <w:rsid w:val="00E06660"/>
    <w:rsid w:val="00E10683"/>
    <w:rsid w:val="00E13146"/>
    <w:rsid w:val="00E14B6D"/>
    <w:rsid w:val="00E159F9"/>
    <w:rsid w:val="00E174FC"/>
    <w:rsid w:val="00E20070"/>
    <w:rsid w:val="00E20994"/>
    <w:rsid w:val="00E22124"/>
    <w:rsid w:val="00E235C5"/>
    <w:rsid w:val="00E25452"/>
    <w:rsid w:val="00E261AD"/>
    <w:rsid w:val="00E31BE5"/>
    <w:rsid w:val="00E324C0"/>
    <w:rsid w:val="00E33F16"/>
    <w:rsid w:val="00E34C94"/>
    <w:rsid w:val="00E371B4"/>
    <w:rsid w:val="00E40344"/>
    <w:rsid w:val="00E40A01"/>
    <w:rsid w:val="00E41731"/>
    <w:rsid w:val="00E42AE0"/>
    <w:rsid w:val="00E44563"/>
    <w:rsid w:val="00E50AC3"/>
    <w:rsid w:val="00E50E43"/>
    <w:rsid w:val="00E5137C"/>
    <w:rsid w:val="00E53B27"/>
    <w:rsid w:val="00E5516C"/>
    <w:rsid w:val="00E557BA"/>
    <w:rsid w:val="00E557CA"/>
    <w:rsid w:val="00E576BD"/>
    <w:rsid w:val="00E57BE9"/>
    <w:rsid w:val="00E604D6"/>
    <w:rsid w:val="00E60B61"/>
    <w:rsid w:val="00E61F3C"/>
    <w:rsid w:val="00E62DEA"/>
    <w:rsid w:val="00E67086"/>
    <w:rsid w:val="00E6729C"/>
    <w:rsid w:val="00E713AB"/>
    <w:rsid w:val="00E720B4"/>
    <w:rsid w:val="00E725FB"/>
    <w:rsid w:val="00E728B9"/>
    <w:rsid w:val="00E72B42"/>
    <w:rsid w:val="00E72CFE"/>
    <w:rsid w:val="00E73D8C"/>
    <w:rsid w:val="00E73E2E"/>
    <w:rsid w:val="00E7531D"/>
    <w:rsid w:val="00E755DB"/>
    <w:rsid w:val="00E816FF"/>
    <w:rsid w:val="00E835B7"/>
    <w:rsid w:val="00E845E7"/>
    <w:rsid w:val="00E857E4"/>
    <w:rsid w:val="00E85B05"/>
    <w:rsid w:val="00E8767D"/>
    <w:rsid w:val="00E9139D"/>
    <w:rsid w:val="00E915BF"/>
    <w:rsid w:val="00E92487"/>
    <w:rsid w:val="00E9639C"/>
    <w:rsid w:val="00EA05AF"/>
    <w:rsid w:val="00EA0BC7"/>
    <w:rsid w:val="00EA0F90"/>
    <w:rsid w:val="00EA1AD2"/>
    <w:rsid w:val="00EA233F"/>
    <w:rsid w:val="00EA26E5"/>
    <w:rsid w:val="00EA3490"/>
    <w:rsid w:val="00EA3B02"/>
    <w:rsid w:val="00EA52B6"/>
    <w:rsid w:val="00EA5A59"/>
    <w:rsid w:val="00EA6213"/>
    <w:rsid w:val="00EA6790"/>
    <w:rsid w:val="00EB26F4"/>
    <w:rsid w:val="00EB3301"/>
    <w:rsid w:val="00EB3EE1"/>
    <w:rsid w:val="00EB457B"/>
    <w:rsid w:val="00EC0FAA"/>
    <w:rsid w:val="00EC215E"/>
    <w:rsid w:val="00EC2FB3"/>
    <w:rsid w:val="00EC63C9"/>
    <w:rsid w:val="00EC7959"/>
    <w:rsid w:val="00EC7D71"/>
    <w:rsid w:val="00ED0225"/>
    <w:rsid w:val="00ED2FE3"/>
    <w:rsid w:val="00ED529B"/>
    <w:rsid w:val="00ED5E04"/>
    <w:rsid w:val="00ED761D"/>
    <w:rsid w:val="00EE1C16"/>
    <w:rsid w:val="00EE2068"/>
    <w:rsid w:val="00EE32CF"/>
    <w:rsid w:val="00EE4A18"/>
    <w:rsid w:val="00EE51B6"/>
    <w:rsid w:val="00EE582E"/>
    <w:rsid w:val="00EE6981"/>
    <w:rsid w:val="00EE75D2"/>
    <w:rsid w:val="00EE7DF8"/>
    <w:rsid w:val="00EE7FBE"/>
    <w:rsid w:val="00EF14D6"/>
    <w:rsid w:val="00EF1F69"/>
    <w:rsid w:val="00EF30C2"/>
    <w:rsid w:val="00EF5785"/>
    <w:rsid w:val="00EF5D0D"/>
    <w:rsid w:val="00EF61D1"/>
    <w:rsid w:val="00EF635F"/>
    <w:rsid w:val="00EF6797"/>
    <w:rsid w:val="00F03CF9"/>
    <w:rsid w:val="00F04A0C"/>
    <w:rsid w:val="00F04B47"/>
    <w:rsid w:val="00F0530C"/>
    <w:rsid w:val="00F05333"/>
    <w:rsid w:val="00F05609"/>
    <w:rsid w:val="00F114BF"/>
    <w:rsid w:val="00F12C1B"/>
    <w:rsid w:val="00F14A31"/>
    <w:rsid w:val="00F15319"/>
    <w:rsid w:val="00F154D0"/>
    <w:rsid w:val="00F15566"/>
    <w:rsid w:val="00F15C63"/>
    <w:rsid w:val="00F23A08"/>
    <w:rsid w:val="00F23B93"/>
    <w:rsid w:val="00F251D9"/>
    <w:rsid w:val="00F261D6"/>
    <w:rsid w:val="00F26D45"/>
    <w:rsid w:val="00F31A7E"/>
    <w:rsid w:val="00F31F2B"/>
    <w:rsid w:val="00F33570"/>
    <w:rsid w:val="00F33DD9"/>
    <w:rsid w:val="00F349AF"/>
    <w:rsid w:val="00F35911"/>
    <w:rsid w:val="00F35F47"/>
    <w:rsid w:val="00F36A15"/>
    <w:rsid w:val="00F36B48"/>
    <w:rsid w:val="00F37A1B"/>
    <w:rsid w:val="00F4127C"/>
    <w:rsid w:val="00F41C32"/>
    <w:rsid w:val="00F42D43"/>
    <w:rsid w:val="00F45A34"/>
    <w:rsid w:val="00F4616A"/>
    <w:rsid w:val="00F47F12"/>
    <w:rsid w:val="00F50590"/>
    <w:rsid w:val="00F50988"/>
    <w:rsid w:val="00F51745"/>
    <w:rsid w:val="00F55BA0"/>
    <w:rsid w:val="00F57965"/>
    <w:rsid w:val="00F611D4"/>
    <w:rsid w:val="00F65911"/>
    <w:rsid w:val="00F65A54"/>
    <w:rsid w:val="00F65B17"/>
    <w:rsid w:val="00F71810"/>
    <w:rsid w:val="00F71C06"/>
    <w:rsid w:val="00F72175"/>
    <w:rsid w:val="00F72ABE"/>
    <w:rsid w:val="00F72B1B"/>
    <w:rsid w:val="00F73F46"/>
    <w:rsid w:val="00F760C6"/>
    <w:rsid w:val="00F767B7"/>
    <w:rsid w:val="00F77DB7"/>
    <w:rsid w:val="00F77E12"/>
    <w:rsid w:val="00F809B2"/>
    <w:rsid w:val="00F814DE"/>
    <w:rsid w:val="00F831B5"/>
    <w:rsid w:val="00F851E1"/>
    <w:rsid w:val="00F86055"/>
    <w:rsid w:val="00F8728C"/>
    <w:rsid w:val="00F90045"/>
    <w:rsid w:val="00F925FE"/>
    <w:rsid w:val="00F92B15"/>
    <w:rsid w:val="00F931DF"/>
    <w:rsid w:val="00F93AA4"/>
    <w:rsid w:val="00F93D1B"/>
    <w:rsid w:val="00F93FAC"/>
    <w:rsid w:val="00F97184"/>
    <w:rsid w:val="00FA0472"/>
    <w:rsid w:val="00FA1E28"/>
    <w:rsid w:val="00FA2002"/>
    <w:rsid w:val="00FA28D1"/>
    <w:rsid w:val="00FA39AE"/>
    <w:rsid w:val="00FA5434"/>
    <w:rsid w:val="00FA6558"/>
    <w:rsid w:val="00FA6FBE"/>
    <w:rsid w:val="00FA73CC"/>
    <w:rsid w:val="00FA7ECA"/>
    <w:rsid w:val="00FB26C0"/>
    <w:rsid w:val="00FB2AB5"/>
    <w:rsid w:val="00FB32DA"/>
    <w:rsid w:val="00FB79E7"/>
    <w:rsid w:val="00FB7FE6"/>
    <w:rsid w:val="00FC07DD"/>
    <w:rsid w:val="00FC2B8E"/>
    <w:rsid w:val="00FC2DD9"/>
    <w:rsid w:val="00FC3300"/>
    <w:rsid w:val="00FC33B1"/>
    <w:rsid w:val="00FC5A4A"/>
    <w:rsid w:val="00FC5FF1"/>
    <w:rsid w:val="00FC6224"/>
    <w:rsid w:val="00FC63A6"/>
    <w:rsid w:val="00FC63CC"/>
    <w:rsid w:val="00FC6596"/>
    <w:rsid w:val="00FC6972"/>
    <w:rsid w:val="00FD032B"/>
    <w:rsid w:val="00FD282A"/>
    <w:rsid w:val="00FD437D"/>
    <w:rsid w:val="00FD489B"/>
    <w:rsid w:val="00FD530D"/>
    <w:rsid w:val="00FD5B9B"/>
    <w:rsid w:val="00FD6221"/>
    <w:rsid w:val="00FE0217"/>
    <w:rsid w:val="00FE0BB8"/>
    <w:rsid w:val="00FE11D8"/>
    <w:rsid w:val="00FE48EF"/>
    <w:rsid w:val="00FE4B4E"/>
    <w:rsid w:val="00FE6122"/>
    <w:rsid w:val="00FE6C15"/>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4282CE"/>
  <w15:chartTrackingRefBased/>
  <w15:docId w15:val="{B80DDEDD-8C7D-DE43-B0FD-1493C9F9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30A"/>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목록 단락,列表段落11,列出段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afterLines="100" w:after="12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8"/>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10"/>
      </w:numPr>
      <w:spacing w:beforeLines="50" w:afterLines="50" w:after="16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lang w:eastAsia="x-none"/>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eastAsia="x-none"/>
    </w:rPr>
  </w:style>
  <w:style w:type="character" w:customStyle="1" w:styleId="DateChar">
    <w:name w:val="Date Char"/>
    <w:basedOn w:val="DefaultParagraphFont"/>
    <w:link w:val="Date"/>
    <w:rsid w:val="00984F1E"/>
    <w:rPr>
      <w:rFonts w:ascii="Times" w:eastAsia="Batang" w:hAnsi="Times"/>
      <w:szCs w:val="24"/>
      <w:lang w:val="en-GB" w:eastAsia="x-none"/>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3"/>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4"/>
      </w:numPr>
    </w:pPr>
  </w:style>
  <w:style w:type="paragraph" w:styleId="ListBullet">
    <w:name w:val="List Bullet"/>
    <w:basedOn w:val="Normal"/>
    <w:rsid w:val="00984F1E"/>
    <w:pPr>
      <w:widowControl w:val="0"/>
      <w:numPr>
        <w:numId w:val="1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6"/>
      </w:numPr>
      <w:spacing w:after="100" w:afterAutospacing="1"/>
      <w:contextualSpacing/>
    </w:pPr>
    <w:rPr>
      <w:sz w:val="20"/>
      <w:lang w:val="x-none" w:eastAsia="ko-KR"/>
    </w:rPr>
  </w:style>
  <w:style w:type="character" w:customStyle="1" w:styleId="StatementBodyChar">
    <w:name w:val="Statement Body Char"/>
    <w:link w:val="StatementBody"/>
    <w:rsid w:val="00984F1E"/>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eastAsia="x-none"/>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20"/>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lang w:val="x-none"/>
    </w:rPr>
  </w:style>
  <w:style w:type="character" w:customStyle="1" w:styleId="PlainTextChar">
    <w:name w:val="Plain Text Char"/>
    <w:basedOn w:val="DefaultParagraphFont"/>
    <w:link w:val="PlainText"/>
    <w:uiPriority w:val="99"/>
    <w:rsid w:val="00984F1E"/>
    <w:rPr>
      <w:rFonts w:ascii="Arial" w:eastAsia="MS Gothic" w:hAnsi="Arial"/>
      <w:color w:val="000000"/>
      <w:lang w:val="x-none"/>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eastAsia="x-none"/>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7"/>
      </w:numPr>
      <w:pBdr>
        <w:bottom w:val="none" w:sz="0" w:space="0" w:color="auto"/>
      </w:pBdr>
      <w:jc w:val="left"/>
    </w:pPr>
    <w:rPr>
      <w:rFonts w:ascii="Helvetica" w:hAnsi="Helvetica"/>
      <w:bCs/>
      <w:kern w:val="32"/>
      <w:sz w:val="28"/>
    </w:rPr>
  </w:style>
  <w:style w:type="paragraph" w:customStyle="1" w:styleId="710">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eastAsia="x-none"/>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eastAsia="x-none"/>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eastAsia="x-none"/>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eastAsia="x-none"/>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styleId="GridTable4-Accent5">
    <w:name w:val="Grid Table 4 Accent 5"/>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8"/>
      </w:numPr>
    </w:pPr>
  </w:style>
  <w:style w:type="numbering" w:customStyle="1" w:styleId="StyleBulletedSymbolsymbolLeft025Hanging0251">
    <w:name w:val="Style Bulleted Symbol (symbol) Left:  0.25&quot; Hanging:  0.25&quot;1"/>
    <w:basedOn w:val="NoList"/>
    <w:rsid w:val="00984F1E"/>
    <w:pPr>
      <w:numPr>
        <w:numId w:val="19"/>
      </w:numPr>
    </w:pPr>
  </w:style>
  <w:style w:type="numbering" w:customStyle="1" w:styleId="StyleBulletedSymbolsymbolLeft025Hanging0252">
    <w:name w:val="Style Bulleted Symbol (symbol) Left:  0.25&quot; Hanging:  0.25&quot;2"/>
    <w:basedOn w:val="NoList"/>
    <w:rsid w:val="00984F1E"/>
    <w:pPr>
      <w:numPr>
        <w:numId w:val="21"/>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 w:type="paragraph" w:customStyle="1" w:styleId="TAN">
    <w:name w:val="TAN"/>
    <w:basedOn w:val="TAL"/>
    <w:qFormat/>
    <w:rsid w:val="00EC2FB3"/>
    <w:pPr>
      <w:overflowPunct/>
      <w:autoSpaceDE/>
      <w:autoSpaceDN/>
      <w:adjustRightInd/>
      <w:ind w:left="851" w:hanging="851"/>
      <w:textAlignment w:val="auto"/>
    </w:pPr>
    <w:rPr>
      <w:rFonts w:eastAsiaTheme="minorEastAsia"/>
      <w:lang w:eastAsia="en-US"/>
    </w:rPr>
  </w:style>
  <w:style w:type="paragraph" w:customStyle="1" w:styleId="Agreement">
    <w:name w:val="Agreement"/>
    <w:basedOn w:val="Normal"/>
    <w:next w:val="Doc-text2"/>
    <w:qFormat/>
    <w:rsid w:val="009F2BEC"/>
    <w:pPr>
      <w:numPr>
        <w:numId w:val="43"/>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2248242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13761536">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2789928">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69537806">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598147337">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4881456">
      <w:bodyDiv w:val="1"/>
      <w:marLeft w:val="0"/>
      <w:marRight w:val="0"/>
      <w:marTop w:val="0"/>
      <w:marBottom w:val="0"/>
      <w:divBdr>
        <w:top w:val="none" w:sz="0" w:space="0" w:color="auto"/>
        <w:left w:val="none" w:sz="0" w:space="0" w:color="auto"/>
        <w:bottom w:val="none" w:sz="0" w:space="0" w:color="auto"/>
        <w:right w:val="none" w:sz="0" w:space="0" w:color="auto"/>
      </w:divBdr>
      <w:divsChild>
        <w:div w:id="755130090">
          <w:marLeft w:val="360"/>
          <w:marRight w:val="0"/>
          <w:marTop w:val="200"/>
          <w:marBottom w:val="0"/>
          <w:divBdr>
            <w:top w:val="none" w:sz="0" w:space="0" w:color="auto"/>
            <w:left w:val="none" w:sz="0" w:space="0" w:color="auto"/>
            <w:bottom w:val="none" w:sz="0" w:space="0" w:color="auto"/>
            <w:right w:val="none" w:sz="0" w:space="0" w:color="auto"/>
          </w:divBdr>
        </w:div>
        <w:div w:id="1487549312">
          <w:marLeft w:val="1080"/>
          <w:marRight w:val="0"/>
          <w:marTop w:val="100"/>
          <w:marBottom w:val="0"/>
          <w:divBdr>
            <w:top w:val="none" w:sz="0" w:space="0" w:color="auto"/>
            <w:left w:val="none" w:sz="0" w:space="0" w:color="auto"/>
            <w:bottom w:val="none" w:sz="0" w:space="0" w:color="auto"/>
            <w:right w:val="none" w:sz="0" w:space="0" w:color="auto"/>
          </w:divBdr>
        </w:div>
      </w:divsChild>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78563010">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04038024">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895192625">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C1168-785E-4050-938F-8B08DF6D2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2107</Words>
  <Characters>12014</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14093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CTPClassification=CTP_NT</cp:keywords>
  <dc:description/>
  <cp:lastModifiedBy>NOVLAN, THOMAS D</cp:lastModifiedBy>
  <cp:revision>5</cp:revision>
  <cp:lastPrinted>2016-02-23T10:51:00Z</cp:lastPrinted>
  <dcterms:created xsi:type="dcterms:W3CDTF">2020-06-19T20:58:00Z</dcterms:created>
  <dcterms:modified xsi:type="dcterms:W3CDTF">2020-06-22T15:24:00Z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(2)GMpxlvSBmHuBno3+T74SVtdSR3yAQAMsxtE2mzMxzVRSmTdJhwvMHlQSbRGxfzU5S8x8QIbH
Xxe0cpepo0FZPkTLKme7tQ9s0DRrfTMmcx5/d/woSBTj3hRd1ajL6WxRtq/Nom5rdiw6Zinn
1xgLFCngp4JqpSddll+NNJHdG6eRdz7asMdcitlfmabTqtnncrpeGRkpA4k4abQU2gxYUBau
qzNhHGeQ+CXSNE/McU</vt:lpwstr>
  </property>
  <property fmtid="{D5CDD505-2E9C-101B-9397-08002B2CF9AE}" pid="4" name="_2015_ms_pID_7253431">
    <vt:lpwstr>VN6SQyVEkabJRRexfkWxVSdnDe0I3c+MqkDbUKHLEPH3yrXKEsYWRt
pZO2wqV59vTFGibvb27Z9dcA0s3yYUBfaMEOS3+rBcjOZdBRn3oB2x+YfbIJMIac/1Bas4XQ
E8XDaAdb2qjJiE4cqZTHjwYGvhmoQm0Hzl55HCT3elx3oAVPQWwMvFvVyXynMWo/qLeu6fcN
AWYk2n6mfUmClLqn</vt:lpwstr>
  </property>
  <property fmtid="{D5CDD505-2E9C-101B-9397-08002B2CF9AE}" pid="5" name="TitusGUID">
    <vt:lpwstr>be31f42a-66bd-4fed-84ed-7d2ea880f470</vt:lpwstr>
  </property>
  <property fmtid="{D5CDD505-2E9C-101B-9397-08002B2CF9AE}" pid="6" name="CTP_TimeStamp">
    <vt:lpwstr>2020-02-24 22:46:36Z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