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700EDD0D" w:rsidR="00B003B4" w:rsidRDefault="00B003B4" w:rsidP="00B003B4">
      <w:pPr>
        <w:pStyle w:val="Header"/>
        <w:tabs>
          <w:tab w:val="clear" w:pos="4153"/>
          <w:tab w:val="clear" w:pos="8306"/>
          <w:tab w:val="right" w:pos="9026"/>
        </w:tabs>
        <w:rPr>
          <w:b/>
          <w:sz w:val="24"/>
        </w:rPr>
      </w:pPr>
      <w:bookmarkStart w:id="0" w:name="_Hlk512609091"/>
      <w:bookmarkStart w:id="1" w:name="_GoBack"/>
      <w:bookmarkEnd w:id="1"/>
      <w:r>
        <w:rPr>
          <w:b/>
          <w:sz w:val="24"/>
        </w:rPr>
        <w:t>3GPP TSG-RAN Meeting #</w:t>
      </w:r>
      <w:r w:rsidR="00FC3CB5">
        <w:rPr>
          <w:b/>
          <w:sz w:val="24"/>
        </w:rPr>
        <w:t>8</w:t>
      </w:r>
      <w:r w:rsidR="00FE289A">
        <w:rPr>
          <w:b/>
          <w:sz w:val="24"/>
        </w:rPr>
        <w:t>6</w:t>
      </w:r>
      <w:r>
        <w:rPr>
          <w:b/>
          <w:sz w:val="24"/>
        </w:rPr>
        <w:tab/>
      </w:r>
      <w:r w:rsidRPr="000874DC">
        <w:rPr>
          <w:b/>
          <w:sz w:val="24"/>
        </w:rPr>
        <w:t>R</w:t>
      </w:r>
      <w:r w:rsidR="00FC3CB5" w:rsidRPr="000874DC">
        <w:rPr>
          <w:b/>
          <w:sz w:val="24"/>
        </w:rPr>
        <w:t>P</w:t>
      </w:r>
      <w:r w:rsidRPr="000874DC">
        <w:rPr>
          <w:b/>
          <w:sz w:val="24"/>
        </w:rPr>
        <w:t>-19</w:t>
      </w:r>
      <w:r w:rsidR="00B556F4" w:rsidRPr="006115F8">
        <w:rPr>
          <w:b/>
          <w:color w:val="000000" w:themeColor="text1"/>
          <w:sz w:val="24"/>
        </w:rPr>
        <w:t>2778</w:t>
      </w:r>
    </w:p>
    <w:p w14:paraId="2D04BE87" w14:textId="0016A6C8" w:rsidR="00BC0557" w:rsidRPr="003D3FE5" w:rsidRDefault="003D3FE5" w:rsidP="003D3FE5">
      <w:pPr>
        <w:pStyle w:val="Header"/>
        <w:tabs>
          <w:tab w:val="clear" w:pos="4153"/>
          <w:tab w:val="clear" w:pos="8306"/>
          <w:tab w:val="right" w:pos="9026"/>
        </w:tabs>
        <w:rPr>
          <w:b/>
          <w:sz w:val="24"/>
        </w:rPr>
      </w:pPr>
      <w:proofErr w:type="spellStart"/>
      <w:r>
        <w:rPr>
          <w:b/>
          <w:sz w:val="24"/>
        </w:rPr>
        <w:t>Sitges</w:t>
      </w:r>
      <w:proofErr w:type="spellEnd"/>
      <w:r w:rsidR="00B003B4">
        <w:rPr>
          <w:b/>
          <w:sz w:val="24"/>
        </w:rPr>
        <w:t xml:space="preserve">, </w:t>
      </w:r>
      <w:r w:rsidR="00DC44A0">
        <w:rPr>
          <w:b/>
          <w:sz w:val="24"/>
        </w:rPr>
        <w:t>Spain</w:t>
      </w:r>
      <w:r w:rsidR="00943276">
        <w:rPr>
          <w:b/>
          <w:sz w:val="24"/>
        </w:rPr>
        <w:t>,</w:t>
      </w:r>
      <w:r w:rsidR="00B003B4">
        <w:rPr>
          <w:b/>
          <w:sz w:val="24"/>
        </w:rPr>
        <w:t xml:space="preserve"> </w:t>
      </w:r>
      <w:r w:rsidR="00DC44A0">
        <w:rPr>
          <w:b/>
          <w:sz w:val="24"/>
        </w:rPr>
        <w:t>9</w:t>
      </w:r>
      <w:r w:rsidR="00B003B4">
        <w:rPr>
          <w:b/>
          <w:sz w:val="24"/>
        </w:rPr>
        <w:t xml:space="preserve"> – </w:t>
      </w:r>
      <w:r w:rsidR="00DC44A0">
        <w:rPr>
          <w:b/>
          <w:sz w:val="24"/>
        </w:rPr>
        <w:t>12</w:t>
      </w:r>
      <w:r w:rsidR="00B003B4">
        <w:rPr>
          <w:b/>
          <w:sz w:val="24"/>
        </w:rPr>
        <w:t xml:space="preserve"> </w:t>
      </w:r>
      <w:r w:rsidR="00DC44A0">
        <w:rPr>
          <w:b/>
          <w:sz w:val="24"/>
        </w:rPr>
        <w:t>December</w:t>
      </w:r>
      <w:r w:rsidR="00B003B4">
        <w:rPr>
          <w:b/>
          <w:sz w:val="24"/>
        </w:rPr>
        <w:t xml:space="preserve"> 2019</w:t>
      </w:r>
    </w:p>
    <w:bookmarkEnd w:id="0"/>
    <w:p w14:paraId="2A0E09CD" w14:textId="77777777" w:rsidR="00BC0557" w:rsidRDefault="00BC0557" w:rsidP="00BC0557"/>
    <w:p w14:paraId="779ABF42" w14:textId="6DCCF06C"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E075E6" w:rsidRPr="00D46F89">
        <w:rPr>
          <w:color w:val="000000" w:themeColor="text1"/>
        </w:rPr>
        <w:t>9.</w:t>
      </w:r>
      <w:r w:rsidR="008645D9">
        <w:rPr>
          <w:color w:val="000000" w:themeColor="text1"/>
        </w:rPr>
        <w:t>1.1</w:t>
      </w:r>
    </w:p>
    <w:p w14:paraId="06A83340" w14:textId="1FC2F875" w:rsidR="00BC0557" w:rsidRPr="00BC3D38" w:rsidRDefault="00BC0557" w:rsidP="00BF1393">
      <w:pPr>
        <w:tabs>
          <w:tab w:val="left" w:pos="1701"/>
        </w:tabs>
        <w:spacing w:after="60"/>
        <w:ind w:left="1701" w:hanging="1701"/>
        <w:jc w:val="left"/>
        <w:rPr>
          <w:bCs/>
          <w:color w:val="000000" w:themeColor="text1"/>
        </w:rPr>
      </w:pPr>
      <w:r w:rsidRPr="00C25C24">
        <w:rPr>
          <w:b/>
          <w:color w:val="000000" w:themeColor="text1"/>
          <w:sz w:val="22"/>
        </w:rPr>
        <w:t>Title:</w:t>
      </w:r>
      <w:r w:rsidRPr="00C25C24">
        <w:rPr>
          <w:b/>
          <w:color w:val="000000" w:themeColor="text1"/>
        </w:rPr>
        <w:tab/>
      </w:r>
      <w:r w:rsidR="008645D9" w:rsidRPr="008645D9">
        <w:rPr>
          <w:bCs/>
          <w:color w:val="000000" w:themeColor="text1"/>
        </w:rPr>
        <w:t>Discussion on Rel-17 general sidelink enhancement item</w:t>
      </w:r>
    </w:p>
    <w:p w14:paraId="7DC2E3DB" w14:textId="77777777"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p>
    <w:p w14:paraId="38AC3EF2" w14:textId="2CB69A4A"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D84B82">
      <w:pPr>
        <w:spacing w:after="120"/>
        <w:outlineLvl w:val="0"/>
        <w:rPr>
          <w:b/>
          <w:sz w:val="22"/>
        </w:rPr>
      </w:pPr>
      <w:r w:rsidRPr="00BC0557">
        <w:rPr>
          <w:b/>
          <w:sz w:val="22"/>
        </w:rPr>
        <w:t>1. Introduction</w:t>
      </w:r>
    </w:p>
    <w:p w14:paraId="5BEBFD0A" w14:textId="0AE24FAA" w:rsidR="00DC44A0" w:rsidRPr="002E22A2" w:rsidRDefault="00140681" w:rsidP="008614BB">
      <w:pPr>
        <w:pStyle w:val="BodyText"/>
        <w:spacing w:after="240"/>
        <w:rPr>
          <w:color w:val="000000" w:themeColor="text1"/>
          <w:sz w:val="20"/>
        </w:rPr>
      </w:pPr>
      <w:r w:rsidRPr="002E22A2">
        <w:rPr>
          <w:color w:val="000000" w:themeColor="text1"/>
          <w:sz w:val="20"/>
        </w:rPr>
        <w:t>For the work area of NR sidelink enhancement in Rel-17, two rounds / stages of discussion have been carried out over the RAN email reflector to work out key technical enhancement topics/features</w:t>
      </w:r>
      <w:r w:rsidR="001868F1" w:rsidRPr="002E22A2">
        <w:rPr>
          <w:color w:val="000000" w:themeColor="text1"/>
          <w:sz w:val="20"/>
        </w:rPr>
        <w:t xml:space="preserve"> of interest</w:t>
      </w:r>
      <w:r w:rsidRPr="002E22A2">
        <w:rPr>
          <w:color w:val="000000" w:themeColor="text1"/>
          <w:sz w:val="20"/>
        </w:rPr>
        <w:t>, map out high-level motivation</w:t>
      </w:r>
      <w:r w:rsidR="001868F1" w:rsidRPr="002E22A2">
        <w:rPr>
          <w:color w:val="000000" w:themeColor="text1"/>
          <w:sz w:val="20"/>
        </w:rPr>
        <w:t>/requirement for Rel-17</w:t>
      </w:r>
      <w:r w:rsidRPr="002E22A2">
        <w:rPr>
          <w:color w:val="000000" w:themeColor="text1"/>
          <w:sz w:val="20"/>
        </w:rPr>
        <w:t xml:space="preserve"> and scope out the exact objectives for the SID/WID</w:t>
      </w:r>
      <w:r w:rsidR="001868F1" w:rsidRPr="002E22A2">
        <w:rPr>
          <w:color w:val="000000" w:themeColor="text1"/>
          <w:sz w:val="20"/>
        </w:rPr>
        <w:t xml:space="preserve"> aiming to be approved in RAN#86 (Dec’19)</w:t>
      </w:r>
      <w:r w:rsidRPr="002E22A2">
        <w:rPr>
          <w:color w:val="000000" w:themeColor="text1"/>
          <w:sz w:val="20"/>
        </w:rPr>
        <w:t>. These summaries are provided in [1] and [2], respectively.</w:t>
      </w:r>
      <w:r w:rsidR="002E22A2" w:rsidRPr="002E22A2">
        <w:rPr>
          <w:color w:val="000000" w:themeColor="text1"/>
          <w:sz w:val="20"/>
        </w:rPr>
        <w:t xml:space="preserve"> </w:t>
      </w:r>
      <w:r w:rsidR="00DC44A0" w:rsidRPr="002E22A2">
        <w:rPr>
          <w:color w:val="000000" w:themeColor="text1"/>
          <w:sz w:val="20"/>
        </w:rPr>
        <w:t xml:space="preserve">In this contribution, we </w:t>
      </w:r>
      <w:r w:rsidR="00E657D0" w:rsidRPr="002E22A2">
        <w:rPr>
          <w:color w:val="000000" w:themeColor="text1"/>
          <w:sz w:val="20"/>
        </w:rPr>
        <w:t xml:space="preserve">first </w:t>
      </w:r>
      <w:r w:rsidR="00DC44A0" w:rsidRPr="002E22A2">
        <w:rPr>
          <w:color w:val="000000" w:themeColor="text1"/>
          <w:sz w:val="20"/>
        </w:rPr>
        <w:t xml:space="preserve">discuss </w:t>
      </w:r>
      <w:r w:rsidR="00E657D0" w:rsidRPr="002E22A2">
        <w:rPr>
          <w:color w:val="000000" w:themeColor="text1"/>
          <w:sz w:val="20"/>
        </w:rPr>
        <w:t>the key importance/benefit and what should be the new motivation and target use cases for enhancing NR sidelink in Rel-17. Then we look at reasonable planning and timeframe for this NR sidelink work in Rel-17</w:t>
      </w:r>
      <w:r w:rsidR="002E22A2" w:rsidRPr="002E22A2">
        <w:rPr>
          <w:color w:val="000000" w:themeColor="text1"/>
          <w:sz w:val="20"/>
        </w:rPr>
        <w:t xml:space="preserve"> considering there are still some leftover/remaining details to be finalized for the Rel-16 5G V2X item in some of RAN WGs. Lastly, we provide our views on the suitable topics and scope for this Rel-17 NR sidelink work. </w:t>
      </w:r>
    </w:p>
    <w:p w14:paraId="2DDFB004" w14:textId="77777777" w:rsidR="00BC0557" w:rsidRPr="000A6598" w:rsidRDefault="00BC0557" w:rsidP="00D84B82">
      <w:pPr>
        <w:spacing w:after="120"/>
        <w:outlineLvl w:val="0"/>
        <w:rPr>
          <w:b/>
          <w:color w:val="000000" w:themeColor="text1"/>
          <w:sz w:val="22"/>
        </w:rPr>
      </w:pPr>
      <w:r w:rsidRPr="000A6598">
        <w:rPr>
          <w:b/>
          <w:color w:val="000000" w:themeColor="text1"/>
          <w:sz w:val="22"/>
        </w:rPr>
        <w:t>2. Discussion</w:t>
      </w:r>
    </w:p>
    <w:p w14:paraId="417A51AD" w14:textId="4C0E67C5" w:rsidR="0004601B" w:rsidRDefault="0004601B" w:rsidP="00805A04">
      <w:pPr>
        <w:pStyle w:val="BodyText"/>
        <w:spacing w:after="240"/>
        <w:rPr>
          <w:b/>
          <w:bCs/>
          <w:color w:val="000000" w:themeColor="text1"/>
          <w:sz w:val="22"/>
          <w:szCs w:val="22"/>
        </w:rPr>
      </w:pPr>
      <w:r w:rsidRPr="00805A04">
        <w:rPr>
          <w:b/>
          <w:bCs/>
          <w:color w:val="000000" w:themeColor="text1"/>
          <w:sz w:val="22"/>
          <w:szCs w:val="22"/>
        </w:rPr>
        <w:t xml:space="preserve">2.1 </w:t>
      </w:r>
      <w:r w:rsidR="005E3E9E">
        <w:rPr>
          <w:b/>
          <w:bCs/>
          <w:color w:val="000000" w:themeColor="text1"/>
          <w:sz w:val="22"/>
          <w:szCs w:val="22"/>
        </w:rPr>
        <w:t>Motivation and use cases</w:t>
      </w:r>
    </w:p>
    <w:p w14:paraId="2C13B1FB" w14:textId="710A7E15" w:rsidR="0085741F" w:rsidRDefault="0085741F" w:rsidP="000F2B65">
      <w:pPr>
        <w:spacing w:line="259" w:lineRule="auto"/>
        <w:contextualSpacing/>
        <w:rPr>
          <w:color w:val="000000" w:themeColor="text1"/>
          <w:sz w:val="20"/>
          <w:szCs w:val="20"/>
        </w:rPr>
      </w:pPr>
      <w:r>
        <w:rPr>
          <w:color w:val="000000" w:themeColor="text1"/>
          <w:sz w:val="20"/>
          <w:szCs w:val="20"/>
        </w:rPr>
        <w:t>In Rel</w:t>
      </w:r>
      <w:r w:rsidR="00CB797F">
        <w:rPr>
          <w:color w:val="000000" w:themeColor="text1"/>
          <w:sz w:val="20"/>
          <w:szCs w:val="20"/>
        </w:rPr>
        <w:t>ease 16</w:t>
      </w:r>
      <w:r>
        <w:rPr>
          <w:color w:val="000000" w:themeColor="text1"/>
          <w:sz w:val="20"/>
          <w:szCs w:val="20"/>
        </w:rPr>
        <w:t xml:space="preserve">, V2X was the main driver </w:t>
      </w:r>
      <w:r w:rsidR="008F055B">
        <w:rPr>
          <w:color w:val="000000" w:themeColor="text1"/>
          <w:sz w:val="20"/>
          <w:szCs w:val="20"/>
        </w:rPr>
        <w:t>and</w:t>
      </w:r>
      <w:r>
        <w:rPr>
          <w:color w:val="000000" w:themeColor="text1"/>
          <w:sz w:val="20"/>
          <w:szCs w:val="20"/>
        </w:rPr>
        <w:t xml:space="preserve"> </w:t>
      </w:r>
      <w:r w:rsidR="008F055B">
        <w:rPr>
          <w:color w:val="000000" w:themeColor="text1"/>
          <w:sz w:val="20"/>
          <w:szCs w:val="20"/>
        </w:rPr>
        <w:t>design target</w:t>
      </w:r>
      <w:r>
        <w:rPr>
          <w:color w:val="000000" w:themeColor="text1"/>
          <w:sz w:val="20"/>
          <w:szCs w:val="20"/>
        </w:rPr>
        <w:t xml:space="preserve"> behind the NR sidelink </w:t>
      </w:r>
      <w:r w:rsidR="008F055B">
        <w:rPr>
          <w:color w:val="000000" w:themeColor="text1"/>
          <w:sz w:val="20"/>
          <w:szCs w:val="20"/>
        </w:rPr>
        <w:t>development</w:t>
      </w:r>
      <w:r w:rsidR="00CB797F">
        <w:rPr>
          <w:color w:val="000000" w:themeColor="text1"/>
          <w:sz w:val="20"/>
          <w:szCs w:val="20"/>
        </w:rPr>
        <w:t xml:space="preserve"> to </w:t>
      </w:r>
      <w:r w:rsidR="008F055B">
        <w:rPr>
          <w:color w:val="000000" w:themeColor="text1"/>
          <w:sz w:val="20"/>
          <w:szCs w:val="20"/>
        </w:rPr>
        <w:t>support</w:t>
      </w:r>
      <w:r w:rsidR="00CB797F">
        <w:rPr>
          <w:color w:val="000000" w:themeColor="text1"/>
          <w:sz w:val="20"/>
          <w:szCs w:val="20"/>
        </w:rPr>
        <w:t xml:space="preserve"> </w:t>
      </w:r>
      <w:r w:rsidR="008F055B">
        <w:rPr>
          <w:color w:val="000000" w:themeColor="text1"/>
          <w:sz w:val="20"/>
          <w:szCs w:val="20"/>
        </w:rPr>
        <w:t xml:space="preserve">newly introduced </w:t>
      </w:r>
      <w:r w:rsidR="00CB797F">
        <w:rPr>
          <w:color w:val="000000" w:themeColor="text1"/>
          <w:sz w:val="20"/>
          <w:szCs w:val="20"/>
        </w:rPr>
        <w:t xml:space="preserve">advanced </w:t>
      </w:r>
      <w:r w:rsidR="007D0370">
        <w:rPr>
          <w:color w:val="000000" w:themeColor="text1"/>
          <w:sz w:val="20"/>
          <w:szCs w:val="20"/>
        </w:rPr>
        <w:t>vehicle platooning, extended sensor data sharing and autonomous driving</w:t>
      </w:r>
      <w:r w:rsidR="00CB797F">
        <w:rPr>
          <w:color w:val="000000" w:themeColor="text1"/>
          <w:sz w:val="20"/>
          <w:szCs w:val="20"/>
        </w:rPr>
        <w:t xml:space="preserve"> use cases </w:t>
      </w:r>
      <w:r w:rsidR="008F055B">
        <w:rPr>
          <w:color w:val="000000" w:themeColor="text1"/>
          <w:sz w:val="20"/>
          <w:szCs w:val="20"/>
        </w:rPr>
        <w:t>and requirements by</w:t>
      </w:r>
      <w:r w:rsidR="00CB797F">
        <w:rPr>
          <w:color w:val="000000" w:themeColor="text1"/>
          <w:sz w:val="20"/>
          <w:szCs w:val="20"/>
        </w:rPr>
        <w:t xml:space="preserve"> SA1</w:t>
      </w:r>
      <w:r>
        <w:rPr>
          <w:color w:val="000000" w:themeColor="text1"/>
          <w:sz w:val="20"/>
          <w:szCs w:val="20"/>
        </w:rPr>
        <w:t>.</w:t>
      </w:r>
      <w:r w:rsidR="008F055B">
        <w:rPr>
          <w:color w:val="000000" w:themeColor="text1"/>
          <w:sz w:val="20"/>
          <w:szCs w:val="20"/>
        </w:rPr>
        <w:t xml:space="preserve"> </w:t>
      </w:r>
      <w:r w:rsidR="007D0370">
        <w:rPr>
          <w:color w:val="000000" w:themeColor="text1"/>
          <w:sz w:val="20"/>
          <w:szCs w:val="20"/>
        </w:rPr>
        <w:t xml:space="preserve">In order to meeting their key radio requirements in terms of traffic latency, reliability, frequency and periodicity, an evaluation methodology study item was set up to define various </w:t>
      </w:r>
      <w:r w:rsidR="00675FC4">
        <w:rPr>
          <w:color w:val="000000" w:themeColor="text1"/>
          <w:sz w:val="20"/>
          <w:szCs w:val="20"/>
        </w:rPr>
        <w:t>simulation</w:t>
      </w:r>
      <w:r w:rsidR="007D0370">
        <w:rPr>
          <w:color w:val="000000" w:themeColor="text1"/>
          <w:sz w:val="20"/>
          <w:szCs w:val="20"/>
        </w:rPr>
        <w:t xml:space="preserve"> models and system level profiles centred around V2X usage. </w:t>
      </w:r>
      <w:r w:rsidR="00675FC4">
        <w:rPr>
          <w:color w:val="000000" w:themeColor="text1"/>
          <w:sz w:val="20"/>
          <w:szCs w:val="20"/>
        </w:rPr>
        <w:t xml:space="preserve">Although it is widely understood that a developed technology by 3GPP is never restricted to a particular use case, industry or operating scenario, but one can never guarantee </w:t>
      </w:r>
      <w:r w:rsidR="000F2B65">
        <w:rPr>
          <w:color w:val="000000" w:themeColor="text1"/>
          <w:sz w:val="20"/>
          <w:szCs w:val="20"/>
        </w:rPr>
        <w:t xml:space="preserve">or have a high confidence level in its performance and effectiveness when used entirely for a different purpose </w:t>
      </w:r>
      <w:r w:rsidR="00675FC4">
        <w:rPr>
          <w:color w:val="000000" w:themeColor="text1"/>
          <w:sz w:val="20"/>
          <w:szCs w:val="20"/>
        </w:rPr>
        <w:t xml:space="preserve">due to </w:t>
      </w:r>
      <w:r w:rsidR="000F2B65">
        <w:rPr>
          <w:color w:val="000000" w:themeColor="text1"/>
          <w:sz w:val="20"/>
          <w:szCs w:val="20"/>
        </w:rPr>
        <w:t xml:space="preserve">different operating </w:t>
      </w:r>
      <w:r w:rsidR="00675FC4">
        <w:rPr>
          <w:color w:val="000000" w:themeColor="text1"/>
          <w:sz w:val="20"/>
          <w:szCs w:val="20"/>
        </w:rPr>
        <w:t>environment</w:t>
      </w:r>
      <w:r w:rsidR="000F2B65">
        <w:rPr>
          <w:color w:val="000000" w:themeColor="text1"/>
          <w:sz w:val="20"/>
          <w:szCs w:val="20"/>
        </w:rPr>
        <w:t>, constraints</w:t>
      </w:r>
      <w:r w:rsidR="00675FC4">
        <w:rPr>
          <w:color w:val="000000" w:themeColor="text1"/>
          <w:sz w:val="20"/>
          <w:szCs w:val="20"/>
        </w:rPr>
        <w:t xml:space="preserve"> and frequency range of interest.</w:t>
      </w:r>
    </w:p>
    <w:p w14:paraId="3A93E2B1" w14:textId="77777777" w:rsidR="000F2B65" w:rsidRDefault="000F2B65" w:rsidP="000F2B65">
      <w:pPr>
        <w:spacing w:line="259" w:lineRule="auto"/>
        <w:contextualSpacing/>
        <w:rPr>
          <w:color w:val="000000" w:themeColor="text1"/>
          <w:sz w:val="20"/>
          <w:szCs w:val="20"/>
        </w:rPr>
      </w:pPr>
    </w:p>
    <w:p w14:paraId="6E2DAFAB" w14:textId="7336AC63" w:rsidR="000F2B65" w:rsidRDefault="000F2B65" w:rsidP="005E3E9E">
      <w:pPr>
        <w:spacing w:after="240" w:line="259" w:lineRule="auto"/>
        <w:contextualSpacing/>
        <w:rPr>
          <w:color w:val="000000" w:themeColor="text1"/>
          <w:sz w:val="20"/>
        </w:rPr>
      </w:pPr>
      <w:r>
        <w:rPr>
          <w:color w:val="000000" w:themeColor="text1"/>
          <w:sz w:val="20"/>
          <w:szCs w:val="20"/>
        </w:rPr>
        <w:t>As such, a new motivation / driver for enhancing NR</w:t>
      </w:r>
      <w:r w:rsidRPr="005E3E9E">
        <w:rPr>
          <w:color w:val="000000" w:themeColor="text1"/>
          <w:sz w:val="20"/>
          <w:szCs w:val="20"/>
        </w:rPr>
        <w:t xml:space="preserve"> sidelink </w:t>
      </w:r>
      <w:r>
        <w:rPr>
          <w:color w:val="000000" w:themeColor="text1"/>
          <w:sz w:val="20"/>
          <w:szCs w:val="20"/>
        </w:rPr>
        <w:t>technology in Rel-17</w:t>
      </w:r>
      <w:r w:rsidRPr="005E3E9E">
        <w:rPr>
          <w:color w:val="000000" w:themeColor="text1"/>
          <w:sz w:val="20"/>
          <w:szCs w:val="20"/>
        </w:rPr>
        <w:t xml:space="preserve"> should </w:t>
      </w:r>
      <w:r>
        <w:rPr>
          <w:color w:val="000000" w:themeColor="text1"/>
          <w:sz w:val="20"/>
          <w:szCs w:val="20"/>
        </w:rPr>
        <w:t xml:space="preserve">be allowed to </w:t>
      </w:r>
      <w:r w:rsidRPr="005E3E9E">
        <w:rPr>
          <w:color w:val="000000" w:themeColor="text1"/>
          <w:sz w:val="20"/>
          <w:szCs w:val="20"/>
        </w:rPr>
        <w:t>address new verticals and market needs in addition to V2X</w:t>
      </w:r>
      <w:r>
        <w:rPr>
          <w:color w:val="000000" w:themeColor="text1"/>
          <w:sz w:val="20"/>
          <w:szCs w:val="20"/>
        </w:rPr>
        <w:t>, such as Public Safety and other commercial uses like AR/VR gaming and wearables</w:t>
      </w:r>
      <w:r w:rsidRPr="005E3E9E">
        <w:rPr>
          <w:color w:val="000000" w:themeColor="text1"/>
          <w:sz w:val="20"/>
          <w:szCs w:val="20"/>
        </w:rPr>
        <w:t>.</w:t>
      </w:r>
      <w:r>
        <w:rPr>
          <w:color w:val="000000" w:themeColor="text1"/>
          <w:sz w:val="20"/>
          <w:szCs w:val="20"/>
        </w:rPr>
        <w:t xml:space="preserve"> </w:t>
      </w:r>
      <w:r w:rsidR="00F65D3F">
        <w:rPr>
          <w:color w:val="000000" w:themeColor="text1"/>
          <w:sz w:val="20"/>
          <w:szCs w:val="20"/>
        </w:rPr>
        <w:t>To this end, SA1 introduced new use cases and requirements utilizing NR sidelink technology for commercial usage in [</w:t>
      </w:r>
      <w:r w:rsidR="00140681">
        <w:rPr>
          <w:color w:val="000000" w:themeColor="text1"/>
          <w:sz w:val="20"/>
          <w:szCs w:val="20"/>
        </w:rPr>
        <w:t>3</w:t>
      </w:r>
      <w:r w:rsidR="00F65D3F">
        <w:rPr>
          <w:color w:val="000000" w:themeColor="text1"/>
          <w:sz w:val="20"/>
          <w:szCs w:val="20"/>
        </w:rPr>
        <w:t>] [</w:t>
      </w:r>
      <w:r w:rsidR="00140681">
        <w:rPr>
          <w:color w:val="000000" w:themeColor="text1"/>
          <w:sz w:val="20"/>
          <w:szCs w:val="20"/>
        </w:rPr>
        <w:t>4</w:t>
      </w:r>
      <w:r w:rsidR="00F65D3F">
        <w:rPr>
          <w:color w:val="000000" w:themeColor="text1"/>
          <w:sz w:val="20"/>
          <w:szCs w:val="20"/>
        </w:rPr>
        <w:t xml:space="preserve">]. </w:t>
      </w:r>
      <w:r w:rsidR="003A5372">
        <w:rPr>
          <w:color w:val="000000" w:themeColor="text1"/>
          <w:sz w:val="20"/>
          <w:szCs w:val="20"/>
        </w:rPr>
        <w:t>Furthermore, SA2 also recognized the needs and started working on different architecture solutions to support Public Safety and commercial use cases</w:t>
      </w:r>
      <w:r w:rsidR="00B376FB">
        <w:rPr>
          <w:color w:val="000000" w:themeColor="text1"/>
          <w:sz w:val="20"/>
          <w:szCs w:val="20"/>
        </w:rPr>
        <w:t xml:space="preserve"> [5]</w:t>
      </w:r>
      <w:r w:rsidR="003A5372">
        <w:rPr>
          <w:color w:val="000000" w:themeColor="text1"/>
          <w:sz w:val="20"/>
          <w:szCs w:val="20"/>
        </w:rPr>
        <w:t>. I</w:t>
      </w:r>
      <w:r>
        <w:rPr>
          <w:color w:val="000000" w:themeColor="text1"/>
          <w:sz w:val="20"/>
          <w:szCs w:val="20"/>
        </w:rPr>
        <w:t>t is only with better support of NR sidelink technology in more/different industries</w:t>
      </w:r>
      <w:r w:rsidR="000D03F5">
        <w:rPr>
          <w:color w:val="000000" w:themeColor="text1"/>
          <w:sz w:val="20"/>
          <w:szCs w:val="20"/>
        </w:rPr>
        <w:t xml:space="preserve"> and applications, the true economic of scale can be achieved and drive down the cost for the technology/devices to be successful and adopted faster and wider than before. That is, as one of the most important endorsed principles/guidelines made in RAN#84, Rel-17 sidelink enhancement </w:t>
      </w:r>
      <w:r w:rsidR="000D03F5" w:rsidRPr="00FF754F">
        <w:rPr>
          <w:color w:val="000000" w:themeColor="text1"/>
          <w:sz w:val="20"/>
        </w:rPr>
        <w:t xml:space="preserve">should “focus on common functions across the key use cases” and at the same time </w:t>
      </w:r>
      <w:r w:rsidR="000D03F5">
        <w:rPr>
          <w:color w:val="000000" w:themeColor="text1"/>
          <w:sz w:val="20"/>
        </w:rPr>
        <w:t>“</w:t>
      </w:r>
      <w:r w:rsidR="000D03F5" w:rsidRPr="00FF754F">
        <w:rPr>
          <w:color w:val="000000" w:themeColor="text1"/>
          <w:sz w:val="20"/>
        </w:rPr>
        <w:t>the design should strive to “achieve maximum commonality between commercial, V2X, and critical communication usage of sidelink while addressing their specific requirements”</w:t>
      </w:r>
      <w:r w:rsidR="000D03F5">
        <w:rPr>
          <w:color w:val="000000" w:themeColor="text1"/>
          <w:sz w:val="20"/>
        </w:rPr>
        <w:t xml:space="preserve"> [</w:t>
      </w:r>
      <w:r w:rsidR="00B376FB">
        <w:rPr>
          <w:color w:val="000000" w:themeColor="text1"/>
          <w:sz w:val="20"/>
        </w:rPr>
        <w:t>6</w:t>
      </w:r>
      <w:r w:rsidR="000D03F5">
        <w:rPr>
          <w:color w:val="000000" w:themeColor="text1"/>
          <w:sz w:val="20"/>
        </w:rPr>
        <w:t>]</w:t>
      </w:r>
      <w:r w:rsidR="000D03F5" w:rsidRPr="00FF754F">
        <w:rPr>
          <w:color w:val="000000" w:themeColor="text1"/>
          <w:sz w:val="20"/>
        </w:rPr>
        <w:t>.</w:t>
      </w:r>
    </w:p>
    <w:p w14:paraId="79176197" w14:textId="77777777" w:rsidR="00473B28" w:rsidRDefault="00473B28" w:rsidP="005E3E9E">
      <w:pPr>
        <w:spacing w:after="240" w:line="259" w:lineRule="auto"/>
        <w:contextualSpacing/>
        <w:rPr>
          <w:color w:val="000000" w:themeColor="text1"/>
          <w:sz w:val="20"/>
        </w:rPr>
      </w:pPr>
    </w:p>
    <w:p w14:paraId="2814E466" w14:textId="67FDF5A9" w:rsidR="00473B28" w:rsidRPr="00140681" w:rsidRDefault="00473B28" w:rsidP="00473B28">
      <w:pPr>
        <w:spacing w:line="259" w:lineRule="auto"/>
        <w:contextualSpacing/>
        <w:rPr>
          <w:b/>
          <w:bCs/>
          <w:i/>
          <w:iCs/>
          <w:color w:val="000000" w:themeColor="text1"/>
          <w:sz w:val="20"/>
        </w:rPr>
      </w:pPr>
      <w:r w:rsidRPr="00140681">
        <w:rPr>
          <w:b/>
          <w:bCs/>
          <w:i/>
          <w:iCs/>
          <w:color w:val="000000" w:themeColor="text1"/>
          <w:sz w:val="20"/>
        </w:rPr>
        <w:t xml:space="preserve">Proposal 1: Continue to uphold the principle made in RAN#84 </w:t>
      </w:r>
      <w:r w:rsidR="00140681">
        <w:rPr>
          <w:b/>
          <w:bCs/>
          <w:i/>
          <w:iCs/>
          <w:color w:val="000000" w:themeColor="text1"/>
          <w:sz w:val="20"/>
        </w:rPr>
        <w:t>for</w:t>
      </w:r>
      <w:r w:rsidRPr="00140681">
        <w:rPr>
          <w:b/>
          <w:bCs/>
          <w:i/>
          <w:iCs/>
          <w:color w:val="000000" w:themeColor="text1"/>
          <w:sz w:val="20"/>
        </w:rPr>
        <w:t xml:space="preserve"> Rel-17 sidelink enhancement:</w:t>
      </w:r>
    </w:p>
    <w:p w14:paraId="7205FF57" w14:textId="6D710DF5" w:rsidR="00473B28" w:rsidRPr="00140681" w:rsidRDefault="00473B28" w:rsidP="00473B28">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rPr>
        <w:t>Includes V2X, Commercial, and Critical Comms, FR2 aspects</w:t>
      </w:r>
    </w:p>
    <w:p w14:paraId="253167F7" w14:textId="4960FCEB" w:rsidR="00473B28" w:rsidRPr="00140681" w:rsidRDefault="00473B28" w:rsidP="00473B28">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rPr>
        <w:t>Focus on common functions across the key use cases</w:t>
      </w:r>
    </w:p>
    <w:p w14:paraId="26D63D44" w14:textId="68619FC7" w:rsidR="00473B28" w:rsidRPr="00140681" w:rsidRDefault="00140681" w:rsidP="00473B28">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lang w:val="en-US"/>
        </w:rPr>
        <w:t>Achieve maximum commonality between commercial, V2X, and Critical Communication usage of sidelink while addressing their specific requirements</w:t>
      </w:r>
    </w:p>
    <w:p w14:paraId="4C38F1BF" w14:textId="1D07299F" w:rsidR="007B42CE" w:rsidRDefault="007B42CE" w:rsidP="005E3E9E">
      <w:pPr>
        <w:pStyle w:val="BodyText"/>
        <w:spacing w:after="240"/>
        <w:rPr>
          <w:b/>
          <w:bCs/>
          <w:color w:val="000000" w:themeColor="text1"/>
          <w:sz w:val="22"/>
          <w:szCs w:val="22"/>
        </w:rPr>
      </w:pPr>
      <w:r w:rsidRPr="00805A04">
        <w:rPr>
          <w:b/>
          <w:bCs/>
          <w:color w:val="000000" w:themeColor="text1"/>
          <w:sz w:val="22"/>
          <w:szCs w:val="22"/>
        </w:rPr>
        <w:t>2.</w:t>
      </w:r>
      <w:r>
        <w:rPr>
          <w:b/>
          <w:bCs/>
          <w:color w:val="000000" w:themeColor="text1"/>
          <w:sz w:val="22"/>
          <w:szCs w:val="22"/>
        </w:rPr>
        <w:t>2</w:t>
      </w:r>
      <w:r w:rsidRPr="00805A04">
        <w:rPr>
          <w:b/>
          <w:bCs/>
          <w:color w:val="000000" w:themeColor="text1"/>
          <w:sz w:val="22"/>
          <w:szCs w:val="22"/>
        </w:rPr>
        <w:t xml:space="preserve"> </w:t>
      </w:r>
      <w:r w:rsidR="005E3E9E">
        <w:rPr>
          <w:b/>
          <w:bCs/>
          <w:color w:val="000000" w:themeColor="text1"/>
          <w:sz w:val="22"/>
          <w:szCs w:val="22"/>
        </w:rPr>
        <w:t>Work planning and timeframe</w:t>
      </w:r>
    </w:p>
    <w:p w14:paraId="10F5E38D" w14:textId="11802781" w:rsidR="00577C73" w:rsidRDefault="00577C73" w:rsidP="005E3E9E">
      <w:pPr>
        <w:spacing w:after="240" w:line="259" w:lineRule="auto"/>
        <w:contextualSpacing/>
        <w:rPr>
          <w:color w:val="000000" w:themeColor="text1"/>
          <w:sz w:val="20"/>
          <w:szCs w:val="20"/>
        </w:rPr>
      </w:pPr>
      <w:r>
        <w:rPr>
          <w:color w:val="000000" w:themeColor="text1"/>
          <w:sz w:val="20"/>
          <w:szCs w:val="20"/>
        </w:rPr>
        <w:lastRenderedPageBreak/>
        <w:t>According to the current planning for 3GPP Release 17 in RAN, the duration length is 15 months with a possibility of extending to 18 months due to heavy work</w:t>
      </w:r>
      <w:r w:rsidR="00950926">
        <w:rPr>
          <w:color w:val="000000" w:themeColor="text1"/>
          <w:sz w:val="20"/>
          <w:szCs w:val="20"/>
        </w:rPr>
        <w:t>plan</w:t>
      </w:r>
      <w:r>
        <w:rPr>
          <w:color w:val="000000" w:themeColor="text1"/>
          <w:sz w:val="20"/>
          <w:szCs w:val="20"/>
        </w:rPr>
        <w:t xml:space="preserve"> </w:t>
      </w:r>
      <w:r w:rsidR="00950926">
        <w:rPr>
          <w:color w:val="000000" w:themeColor="text1"/>
          <w:sz w:val="20"/>
          <w:szCs w:val="20"/>
        </w:rPr>
        <w:t>in</w:t>
      </w:r>
      <w:r>
        <w:rPr>
          <w:color w:val="000000" w:themeColor="text1"/>
          <w:sz w:val="20"/>
          <w:szCs w:val="20"/>
        </w:rPr>
        <w:t xml:space="preserve"> </w:t>
      </w:r>
      <w:r w:rsidR="00950926">
        <w:rPr>
          <w:color w:val="000000" w:themeColor="text1"/>
          <w:sz w:val="20"/>
          <w:szCs w:val="20"/>
        </w:rPr>
        <w:t xml:space="preserve">the </w:t>
      </w:r>
      <w:r>
        <w:rPr>
          <w:color w:val="000000" w:themeColor="text1"/>
          <w:sz w:val="20"/>
          <w:szCs w:val="20"/>
        </w:rPr>
        <w:t xml:space="preserve">SA technical specification group counterpart. </w:t>
      </w:r>
      <w:r w:rsidR="008C3297">
        <w:rPr>
          <w:color w:val="000000" w:themeColor="text1"/>
          <w:sz w:val="20"/>
          <w:szCs w:val="20"/>
        </w:rPr>
        <w:t>Considering there are still some remaining final details of Rel-16 V2X WI to be worked on during at least the first quarter of Rel-17 (2020</w:t>
      </w:r>
      <w:r w:rsidR="00950926">
        <w:rPr>
          <w:color w:val="000000" w:themeColor="text1"/>
          <w:sz w:val="20"/>
          <w:szCs w:val="20"/>
        </w:rPr>
        <w:t>-Q1</w:t>
      </w:r>
      <w:r w:rsidR="008C3297">
        <w:rPr>
          <w:color w:val="000000" w:themeColor="text1"/>
          <w:sz w:val="20"/>
          <w:szCs w:val="20"/>
        </w:rPr>
        <w:t xml:space="preserve">) and the current work scope under discussion for the Rel-17 sidelink item is considerably large, an extension of the Rel-17 timeframe to 18 months </w:t>
      </w:r>
      <w:r w:rsidR="00AF4065">
        <w:rPr>
          <w:color w:val="000000" w:themeColor="text1"/>
          <w:sz w:val="20"/>
          <w:szCs w:val="20"/>
        </w:rPr>
        <w:t>(with planning of work scope for 15 months only) would at least from sidelink perspective be reasonable and it can provide some needed flexibility in organising the work and allocating TUs.</w:t>
      </w:r>
    </w:p>
    <w:p w14:paraId="1699B0B4" w14:textId="2089B92D" w:rsidR="00AF4065" w:rsidRDefault="00AF4065" w:rsidP="005E3E9E">
      <w:pPr>
        <w:spacing w:after="240" w:line="259" w:lineRule="auto"/>
        <w:contextualSpacing/>
        <w:rPr>
          <w:color w:val="000000" w:themeColor="text1"/>
          <w:sz w:val="20"/>
          <w:szCs w:val="20"/>
        </w:rPr>
      </w:pPr>
    </w:p>
    <w:p w14:paraId="511E9AB3" w14:textId="77777777" w:rsidR="00D851C1" w:rsidRDefault="00D851C1" w:rsidP="00D851C1">
      <w:pPr>
        <w:keepNext/>
        <w:spacing w:line="259" w:lineRule="auto"/>
        <w:contextualSpacing/>
      </w:pPr>
      <w:r w:rsidRPr="00D851C1">
        <w:rPr>
          <w:noProof/>
        </w:rPr>
        <w:drawing>
          <wp:inline distT="0" distB="0" distL="0" distR="0" wp14:anchorId="1522E287" wp14:editId="53E0EAEC">
            <wp:extent cx="5506085" cy="1315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6085" cy="1315720"/>
                    </a:xfrm>
                    <a:prstGeom prst="rect">
                      <a:avLst/>
                    </a:prstGeom>
                    <a:noFill/>
                    <a:ln>
                      <a:noFill/>
                    </a:ln>
                  </pic:spPr>
                </pic:pic>
              </a:graphicData>
            </a:graphic>
          </wp:inline>
        </w:drawing>
      </w:r>
    </w:p>
    <w:p w14:paraId="263618B1" w14:textId="7E350A25" w:rsidR="00D851C1" w:rsidRPr="00D851C1" w:rsidRDefault="00D851C1" w:rsidP="00D851C1">
      <w:pPr>
        <w:pStyle w:val="Caption"/>
        <w:jc w:val="center"/>
        <w:rPr>
          <w:b/>
          <w:bCs/>
          <w:color w:val="000000" w:themeColor="text1"/>
          <w:sz w:val="20"/>
          <w:szCs w:val="20"/>
        </w:rPr>
      </w:pPr>
      <w:r w:rsidRPr="00D851C1">
        <w:rPr>
          <w:b/>
          <w:bCs/>
          <w:color w:val="000000" w:themeColor="text1"/>
        </w:rPr>
        <w:t xml:space="preserve">Figure </w:t>
      </w:r>
      <w:r w:rsidRPr="00D851C1">
        <w:rPr>
          <w:b/>
          <w:bCs/>
          <w:color w:val="000000" w:themeColor="text1"/>
        </w:rPr>
        <w:fldChar w:fldCharType="begin"/>
      </w:r>
      <w:r w:rsidRPr="00D851C1">
        <w:rPr>
          <w:b/>
          <w:bCs/>
          <w:color w:val="000000" w:themeColor="text1"/>
        </w:rPr>
        <w:instrText xml:space="preserve"> SEQ Figure \* ARABIC </w:instrText>
      </w:r>
      <w:r w:rsidRPr="00D851C1">
        <w:rPr>
          <w:b/>
          <w:bCs/>
          <w:color w:val="000000" w:themeColor="text1"/>
        </w:rPr>
        <w:fldChar w:fldCharType="separate"/>
      </w:r>
      <w:r w:rsidRPr="00D851C1">
        <w:rPr>
          <w:b/>
          <w:bCs/>
          <w:noProof/>
          <w:color w:val="000000" w:themeColor="text1"/>
        </w:rPr>
        <w:t>1</w:t>
      </w:r>
      <w:r w:rsidRPr="00D851C1">
        <w:rPr>
          <w:b/>
          <w:bCs/>
          <w:color w:val="000000" w:themeColor="text1"/>
        </w:rPr>
        <w:fldChar w:fldCharType="end"/>
      </w:r>
      <w:r w:rsidRPr="00D851C1">
        <w:rPr>
          <w:b/>
          <w:bCs/>
          <w:color w:val="000000" w:themeColor="text1"/>
        </w:rPr>
        <w:t>:</w:t>
      </w:r>
      <w:r>
        <w:rPr>
          <w:b/>
          <w:bCs/>
          <w:color w:val="000000" w:themeColor="text1"/>
        </w:rPr>
        <w:t xml:space="preserve"> </w:t>
      </w:r>
    </w:p>
    <w:p w14:paraId="7D770240" w14:textId="1BB054D2" w:rsidR="00950926" w:rsidRDefault="00950926" w:rsidP="005E3E9E">
      <w:pPr>
        <w:spacing w:after="240" w:line="259" w:lineRule="auto"/>
        <w:contextualSpacing/>
        <w:rPr>
          <w:color w:val="000000" w:themeColor="text1"/>
          <w:sz w:val="20"/>
          <w:szCs w:val="20"/>
        </w:rPr>
      </w:pPr>
      <w:r>
        <w:rPr>
          <w:color w:val="000000" w:themeColor="text1"/>
          <w:sz w:val="20"/>
          <w:szCs w:val="20"/>
        </w:rPr>
        <w:t>One viable option that could be considered for the starting of the sidelink enhancement item (</w:t>
      </w:r>
      <w:proofErr w:type="spellStart"/>
      <w:r>
        <w:rPr>
          <w:color w:val="000000" w:themeColor="text1"/>
          <w:sz w:val="20"/>
          <w:szCs w:val="20"/>
        </w:rPr>
        <w:t>eSL</w:t>
      </w:r>
      <w:proofErr w:type="spellEnd"/>
      <w:r>
        <w:rPr>
          <w:color w:val="000000" w:themeColor="text1"/>
          <w:sz w:val="20"/>
          <w:szCs w:val="20"/>
        </w:rPr>
        <w:t xml:space="preserve">) in Rel-17 is to have a slow start of this item during the first quarter of Rel-17 (2020-Q1) with moderate TU allocation in RAN1 (e.g. 0.5 to 1 TU). As it is expected that the same group of NR sidelink experts are to work on finalizing the remaining Rel-16 V2X details and starting on the new Rel-17 </w:t>
      </w:r>
      <w:proofErr w:type="spellStart"/>
      <w:r>
        <w:rPr>
          <w:color w:val="000000" w:themeColor="text1"/>
          <w:sz w:val="20"/>
          <w:szCs w:val="20"/>
        </w:rPr>
        <w:t>eSL</w:t>
      </w:r>
      <w:proofErr w:type="spellEnd"/>
      <w:r>
        <w:rPr>
          <w:color w:val="000000" w:themeColor="text1"/>
          <w:sz w:val="20"/>
          <w:szCs w:val="20"/>
        </w:rPr>
        <w:t xml:space="preserve"> item at the same time during the Feb’20 meeting (not to mention about celebration of 100</w:t>
      </w:r>
      <w:r w:rsidRPr="00950926">
        <w:rPr>
          <w:color w:val="000000" w:themeColor="text1"/>
          <w:sz w:val="20"/>
          <w:szCs w:val="20"/>
          <w:vertAlign w:val="superscript"/>
        </w:rPr>
        <w:t>th</w:t>
      </w:r>
      <w:r>
        <w:rPr>
          <w:color w:val="000000" w:themeColor="text1"/>
          <w:sz w:val="20"/>
          <w:szCs w:val="20"/>
        </w:rPr>
        <w:t xml:space="preserve"> RAN1 meeting)</w:t>
      </w:r>
      <w:r w:rsidR="00F75459">
        <w:rPr>
          <w:color w:val="000000" w:themeColor="text1"/>
          <w:sz w:val="20"/>
          <w:szCs w:val="20"/>
        </w:rPr>
        <w:t xml:space="preserve">, a moderate allocation of TUs for the Rel-17 item will provide the extra time and freedom that is needed for the experts to focus on finishing the Rel-16 item. In addition, some of </w:t>
      </w:r>
      <w:proofErr w:type="spellStart"/>
      <w:r w:rsidR="00F75459">
        <w:rPr>
          <w:color w:val="000000" w:themeColor="text1"/>
          <w:sz w:val="20"/>
          <w:szCs w:val="20"/>
        </w:rPr>
        <w:t>eSL</w:t>
      </w:r>
      <w:proofErr w:type="spellEnd"/>
      <w:r w:rsidR="00F75459">
        <w:rPr>
          <w:color w:val="000000" w:themeColor="text1"/>
          <w:sz w:val="20"/>
          <w:szCs w:val="20"/>
        </w:rPr>
        <w:t xml:space="preserve"> topics like the evaluation methodology could be partly handled or started by RAN1 email discussion during the first quarter (2020-Q1) to save some precious online meeting time and still keeping a reasonable progress at the same time.</w:t>
      </w:r>
    </w:p>
    <w:p w14:paraId="56B2AA72" w14:textId="77777777" w:rsidR="00F75459" w:rsidRDefault="00F75459" w:rsidP="005E3E9E">
      <w:pPr>
        <w:spacing w:after="240" w:line="259" w:lineRule="auto"/>
        <w:contextualSpacing/>
        <w:rPr>
          <w:color w:val="000000" w:themeColor="text1"/>
          <w:sz w:val="20"/>
          <w:szCs w:val="20"/>
        </w:rPr>
      </w:pPr>
    </w:p>
    <w:p w14:paraId="58B258E8" w14:textId="1DD65B1A" w:rsidR="00F75459" w:rsidRDefault="00F75459" w:rsidP="005E3E9E">
      <w:pPr>
        <w:spacing w:after="240" w:line="259" w:lineRule="auto"/>
        <w:contextualSpacing/>
        <w:rPr>
          <w:color w:val="000000" w:themeColor="text1"/>
          <w:sz w:val="20"/>
          <w:szCs w:val="20"/>
        </w:rPr>
      </w:pPr>
      <w:r>
        <w:rPr>
          <w:color w:val="000000" w:themeColor="text1"/>
          <w:sz w:val="20"/>
          <w:szCs w:val="20"/>
        </w:rPr>
        <w:t xml:space="preserve">As mentioned earlier, if the Rel-17 timeframe is extended to 18 months duration and the work is planned for 15 months only, there will also be a reduced TU allocation for this item during the final quarter of Rel-17 (2021-Q2). As such, this </w:t>
      </w:r>
      <w:r w:rsidR="00834101">
        <w:rPr>
          <w:color w:val="000000" w:themeColor="text1"/>
          <w:sz w:val="20"/>
          <w:szCs w:val="20"/>
        </w:rPr>
        <w:t xml:space="preserve">kind of TU allocation can provide some buffering of time to complete the </w:t>
      </w:r>
      <w:proofErr w:type="spellStart"/>
      <w:r w:rsidR="00834101">
        <w:rPr>
          <w:color w:val="000000" w:themeColor="text1"/>
          <w:sz w:val="20"/>
          <w:szCs w:val="20"/>
        </w:rPr>
        <w:t>eSL</w:t>
      </w:r>
      <w:proofErr w:type="spellEnd"/>
      <w:r w:rsidR="00834101">
        <w:rPr>
          <w:color w:val="000000" w:themeColor="text1"/>
          <w:sz w:val="20"/>
          <w:szCs w:val="20"/>
        </w:rPr>
        <w:t xml:space="preserve"> by the end of Rel-17 and to avoid overflowing of work as we have seen with NR Rel-15 and sidelink Rel-16.  </w:t>
      </w:r>
    </w:p>
    <w:p w14:paraId="2962A3FE" w14:textId="4371AD9E" w:rsidR="00950926" w:rsidRDefault="00950926" w:rsidP="005E3E9E">
      <w:pPr>
        <w:spacing w:after="240" w:line="259" w:lineRule="auto"/>
        <w:contextualSpacing/>
        <w:rPr>
          <w:color w:val="000000" w:themeColor="text1"/>
          <w:sz w:val="20"/>
          <w:szCs w:val="20"/>
        </w:rPr>
      </w:pPr>
    </w:p>
    <w:p w14:paraId="7B1E5093" w14:textId="09064AC0" w:rsidR="00834101" w:rsidRPr="00A65BFE" w:rsidRDefault="00834101" w:rsidP="00834101">
      <w:pPr>
        <w:spacing w:line="259" w:lineRule="auto"/>
        <w:contextualSpacing/>
        <w:rPr>
          <w:b/>
          <w:bCs/>
          <w:i/>
          <w:iCs/>
          <w:color w:val="000000" w:themeColor="text1"/>
          <w:sz w:val="20"/>
          <w:szCs w:val="20"/>
        </w:rPr>
      </w:pPr>
      <w:r w:rsidRPr="00A65BFE">
        <w:rPr>
          <w:b/>
          <w:bCs/>
          <w:i/>
          <w:iCs/>
          <w:color w:val="000000" w:themeColor="text1"/>
          <w:sz w:val="20"/>
          <w:szCs w:val="20"/>
        </w:rPr>
        <w:t>Proposal 2: If the entire Rel-17 timeframe is extended to 18 months duration, the planning for the sidelink enhancement work in Rel-17 should be:</w:t>
      </w:r>
    </w:p>
    <w:p w14:paraId="516E5502" w14:textId="1C55AE93" w:rsidR="00834101" w:rsidRPr="00A65BFE" w:rsidRDefault="00A65BFE" w:rsidP="00834101">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Scope of the work should plan for 15 months as before</w:t>
      </w:r>
    </w:p>
    <w:p w14:paraId="4EBE3CB9" w14:textId="439EB3EB" w:rsidR="00A65BFE" w:rsidRPr="00A65BFE" w:rsidRDefault="00A65BFE" w:rsidP="00834101">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Slow start / moderate TU allocation in the first quarter of 2020-Q1 (RAN1#100), e.g. 0.5 to 1 TU</w:t>
      </w:r>
    </w:p>
    <w:p w14:paraId="3A6929E5" w14:textId="0C019953" w:rsidR="00A65BFE" w:rsidRPr="00A65BFE" w:rsidRDefault="00A65BFE" w:rsidP="00834101">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The last quarter of Rel-17 (2021-Q2) allocate also moderate TUs for the sidelink enhancement item as a mean of flexible TU management by WG chairmen and buffering</w:t>
      </w:r>
    </w:p>
    <w:p w14:paraId="2D53CECD" w14:textId="4AC8A0CC" w:rsidR="00801AF6" w:rsidRDefault="007B42CE" w:rsidP="005E3E9E">
      <w:pPr>
        <w:pStyle w:val="BodyText"/>
        <w:spacing w:after="240"/>
        <w:rPr>
          <w:b/>
          <w:bCs/>
          <w:color w:val="000000" w:themeColor="text1"/>
          <w:sz w:val="22"/>
          <w:szCs w:val="22"/>
        </w:rPr>
      </w:pPr>
      <w:r w:rsidRPr="00805A04">
        <w:rPr>
          <w:b/>
          <w:bCs/>
          <w:color w:val="000000" w:themeColor="text1"/>
          <w:sz w:val="22"/>
          <w:szCs w:val="22"/>
        </w:rPr>
        <w:t>2.</w:t>
      </w:r>
      <w:r>
        <w:rPr>
          <w:b/>
          <w:bCs/>
          <w:color w:val="000000" w:themeColor="text1"/>
          <w:sz w:val="22"/>
          <w:szCs w:val="22"/>
        </w:rPr>
        <w:t>3</w:t>
      </w:r>
      <w:r w:rsidRPr="00805A04">
        <w:rPr>
          <w:b/>
          <w:bCs/>
          <w:color w:val="000000" w:themeColor="text1"/>
          <w:sz w:val="22"/>
          <w:szCs w:val="22"/>
        </w:rPr>
        <w:t xml:space="preserve"> </w:t>
      </w:r>
      <w:r w:rsidR="005E3E9E">
        <w:rPr>
          <w:b/>
          <w:bCs/>
          <w:color w:val="000000" w:themeColor="text1"/>
          <w:sz w:val="22"/>
          <w:szCs w:val="22"/>
        </w:rPr>
        <w:t>Work scope for NR sidelink in Rel-17</w:t>
      </w:r>
    </w:p>
    <w:p w14:paraId="1B33AD2C" w14:textId="1CFB4689" w:rsidR="005E3E9E" w:rsidRPr="00866F6F" w:rsidRDefault="00B128D5" w:rsidP="005E3E9E">
      <w:pPr>
        <w:spacing w:after="120" w:line="259" w:lineRule="auto"/>
        <w:contextualSpacing/>
        <w:rPr>
          <w:color w:val="000000" w:themeColor="text1"/>
          <w:sz w:val="20"/>
          <w:szCs w:val="20"/>
        </w:rPr>
      </w:pPr>
      <w:r w:rsidRPr="00866F6F">
        <w:rPr>
          <w:color w:val="000000" w:themeColor="text1"/>
          <w:sz w:val="20"/>
          <w:szCs w:val="20"/>
        </w:rPr>
        <w:t>As discussed earlier, the scope for the Rel-16 NR sidelink item was primarily focused on V2X use case only. Coming to Rel-17, as also endorsed in TSG RAN already [6], t</w:t>
      </w:r>
      <w:r w:rsidR="005E3E9E" w:rsidRPr="00866F6F">
        <w:rPr>
          <w:color w:val="000000" w:themeColor="text1"/>
          <w:sz w:val="20"/>
          <w:szCs w:val="20"/>
        </w:rPr>
        <w:t xml:space="preserve">he </w:t>
      </w:r>
      <w:r w:rsidRPr="00866F6F">
        <w:rPr>
          <w:color w:val="000000" w:themeColor="text1"/>
          <w:sz w:val="20"/>
          <w:szCs w:val="20"/>
        </w:rPr>
        <w:t xml:space="preserve">work </w:t>
      </w:r>
      <w:r w:rsidR="005E3E9E" w:rsidRPr="00866F6F">
        <w:rPr>
          <w:color w:val="000000" w:themeColor="text1"/>
          <w:sz w:val="20"/>
          <w:szCs w:val="20"/>
        </w:rPr>
        <w:t>scope should strive for balance of technical features that are urgently needed to support new verticals in commercial applications like AR/VR gaming, and portable UE types for V2X and public safety usage.</w:t>
      </w:r>
      <w:r w:rsidRPr="00866F6F">
        <w:rPr>
          <w:color w:val="000000" w:themeColor="text1"/>
          <w:sz w:val="20"/>
          <w:szCs w:val="20"/>
        </w:rPr>
        <w:t xml:space="preserve"> In particular the following high-level motivations / technical aspects should be the main focus in Rel-17 for NR sidelink enhancement.</w:t>
      </w:r>
    </w:p>
    <w:p w14:paraId="28873A44" w14:textId="77777777" w:rsidR="005E3E9E" w:rsidRPr="00866F6F" w:rsidRDefault="005E3E9E" w:rsidP="005E3E9E">
      <w:pPr>
        <w:pStyle w:val="ListParagraph"/>
        <w:numPr>
          <w:ilvl w:val="0"/>
          <w:numId w:val="32"/>
        </w:numPr>
        <w:spacing w:after="16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Power saving</w:t>
      </w:r>
    </w:p>
    <w:p w14:paraId="66D30EE7" w14:textId="77777777" w:rsidR="005E3E9E" w:rsidRPr="00866F6F" w:rsidRDefault="005E3E9E" w:rsidP="005E3E9E">
      <w:pPr>
        <w:pStyle w:val="ListParagraph"/>
        <w:numPr>
          <w:ilvl w:val="0"/>
          <w:numId w:val="32"/>
        </w:numPr>
        <w:spacing w:after="16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Increase of data rate</w:t>
      </w:r>
    </w:p>
    <w:p w14:paraId="49EFA9B4" w14:textId="77777777" w:rsidR="005E3E9E" w:rsidRPr="00866F6F" w:rsidRDefault="005E3E9E" w:rsidP="005E3E9E">
      <w:pPr>
        <w:pStyle w:val="ListParagraph"/>
        <w:numPr>
          <w:ilvl w:val="0"/>
          <w:numId w:val="32"/>
        </w:numPr>
        <w:spacing w:after="16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Enhanced reliability and latency</w:t>
      </w:r>
    </w:p>
    <w:p w14:paraId="0DCD90E6" w14:textId="6ECDB60E" w:rsidR="005E3E9E" w:rsidRPr="00866F6F" w:rsidRDefault="005E3E9E" w:rsidP="005E3E9E">
      <w:pPr>
        <w:pStyle w:val="ListParagraph"/>
        <w:numPr>
          <w:ilvl w:val="0"/>
          <w:numId w:val="32"/>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lastRenderedPageBreak/>
        <w:t>SL resource management and coordination to improve performance</w:t>
      </w:r>
    </w:p>
    <w:p w14:paraId="64CE3171" w14:textId="65B61DCB" w:rsidR="00B128D5" w:rsidRPr="00866F6F" w:rsidRDefault="00B128D5" w:rsidP="00B128D5">
      <w:pPr>
        <w:spacing w:after="120" w:line="259" w:lineRule="auto"/>
        <w:contextualSpacing/>
        <w:rPr>
          <w:color w:val="000000" w:themeColor="text1"/>
          <w:sz w:val="20"/>
          <w:szCs w:val="20"/>
        </w:rPr>
      </w:pPr>
      <w:r w:rsidRPr="00866F6F">
        <w:rPr>
          <w:color w:val="000000" w:themeColor="text1"/>
          <w:sz w:val="20"/>
          <w:szCs w:val="20"/>
        </w:rPr>
        <w:t xml:space="preserve">In line with these high-level motivations, the following technical aspects should be included as part of objectives for the </w:t>
      </w:r>
      <w:proofErr w:type="spellStart"/>
      <w:r w:rsidRPr="00866F6F">
        <w:rPr>
          <w:color w:val="000000" w:themeColor="text1"/>
          <w:sz w:val="20"/>
          <w:szCs w:val="20"/>
        </w:rPr>
        <w:t>eSL</w:t>
      </w:r>
      <w:proofErr w:type="spellEnd"/>
      <w:r w:rsidRPr="00866F6F">
        <w:rPr>
          <w:color w:val="000000" w:themeColor="text1"/>
          <w:sz w:val="20"/>
          <w:szCs w:val="20"/>
        </w:rPr>
        <w:t xml:space="preserve"> item.</w:t>
      </w:r>
    </w:p>
    <w:p w14:paraId="16A1F40D" w14:textId="330C996E" w:rsidR="00B128D5" w:rsidRPr="00866F6F" w:rsidRDefault="00B128D5" w:rsidP="00B128D5">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 xml:space="preserve">Power saving (including DRX, resource allocation to </w:t>
      </w:r>
      <w:r w:rsidR="001A2B8B">
        <w:rPr>
          <w:rFonts w:ascii="Arial" w:hAnsi="Arial" w:cs="Arial"/>
          <w:color w:val="000000" w:themeColor="text1"/>
          <w:szCs w:val="20"/>
        </w:rPr>
        <w:t>reduce</w:t>
      </w:r>
      <w:r w:rsidRPr="00866F6F">
        <w:rPr>
          <w:rFonts w:ascii="Arial" w:hAnsi="Arial" w:cs="Arial"/>
          <w:color w:val="000000" w:themeColor="text1"/>
          <w:szCs w:val="20"/>
        </w:rPr>
        <w:t xml:space="preserve"> power </w:t>
      </w:r>
      <w:r w:rsidR="001A2B8B">
        <w:rPr>
          <w:rFonts w:ascii="Arial" w:hAnsi="Arial" w:cs="Arial"/>
          <w:color w:val="000000" w:themeColor="text1"/>
          <w:szCs w:val="20"/>
        </w:rPr>
        <w:t>consumption</w:t>
      </w:r>
      <w:r w:rsidRPr="00866F6F">
        <w:rPr>
          <w:rFonts w:ascii="Arial" w:hAnsi="Arial" w:cs="Arial"/>
          <w:color w:val="000000" w:themeColor="text1"/>
          <w:szCs w:val="20"/>
        </w:rPr>
        <w:t>)</w:t>
      </w:r>
    </w:p>
    <w:p w14:paraId="69D5B4AB" w14:textId="045BD66F" w:rsidR="00B128D5" w:rsidRPr="00866F6F" w:rsidRDefault="00B128D5" w:rsidP="00B128D5">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 xml:space="preserve">Multi-carrier operation (including </w:t>
      </w:r>
      <w:r w:rsidR="00866F6F" w:rsidRPr="00866F6F">
        <w:rPr>
          <w:rFonts w:ascii="Arial" w:hAnsi="Arial" w:cs="Arial"/>
          <w:color w:val="000000" w:themeColor="text1"/>
          <w:szCs w:val="20"/>
        </w:rPr>
        <w:t>packet multiplexing and duplication)</w:t>
      </w:r>
    </w:p>
    <w:p w14:paraId="523E1F57" w14:textId="20E35C69" w:rsidR="00866F6F" w:rsidRPr="00866F6F" w:rsidRDefault="00866F6F" w:rsidP="00B128D5">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MIMO enhancement (up to rank 4 and 2TBs)</w:t>
      </w:r>
    </w:p>
    <w:p w14:paraId="5E380C45" w14:textId="343A2350" w:rsidR="00866F6F" w:rsidRP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Beamforming support/management in FR2</w:t>
      </w:r>
    </w:p>
    <w:p w14:paraId="3910D457" w14:textId="3DA47071" w:rsidR="00866F6F" w:rsidRPr="00866F6F" w:rsidRDefault="00866F6F" w:rsidP="00866F6F">
      <w:pPr>
        <w:spacing w:after="120" w:line="259" w:lineRule="auto"/>
        <w:contextualSpacing/>
        <w:rPr>
          <w:color w:val="000000" w:themeColor="text1"/>
          <w:sz w:val="20"/>
          <w:szCs w:val="20"/>
        </w:rPr>
      </w:pPr>
      <w:r w:rsidRPr="00866F6F">
        <w:rPr>
          <w:color w:val="000000" w:themeColor="text1"/>
          <w:sz w:val="20"/>
          <w:szCs w:val="20"/>
        </w:rPr>
        <w:t>Besides new technical features that should be supported in Rel-17, some of leftover items listed below from Rel-16 should also be considered to further improve system performance.</w:t>
      </w:r>
    </w:p>
    <w:p w14:paraId="687A749E" w14:textId="6E500ED7" w:rsidR="00866F6F" w:rsidRP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PMI</w:t>
      </w:r>
      <w:r w:rsidR="001A2B8B">
        <w:rPr>
          <w:rFonts w:ascii="Arial" w:hAnsi="Arial" w:cs="Arial"/>
          <w:color w:val="000000" w:themeColor="text1"/>
          <w:szCs w:val="20"/>
        </w:rPr>
        <w:t xml:space="preserve"> and RI</w:t>
      </w:r>
      <w:r w:rsidRPr="00866F6F">
        <w:rPr>
          <w:rFonts w:ascii="Arial" w:hAnsi="Arial" w:cs="Arial"/>
          <w:color w:val="000000" w:themeColor="text1"/>
          <w:szCs w:val="20"/>
        </w:rPr>
        <w:t xml:space="preserve"> </w:t>
      </w:r>
      <w:r w:rsidR="001A2B8B">
        <w:rPr>
          <w:rFonts w:ascii="Arial" w:hAnsi="Arial" w:cs="Arial"/>
          <w:color w:val="000000" w:themeColor="text1"/>
          <w:szCs w:val="20"/>
        </w:rPr>
        <w:t xml:space="preserve">(if dropped from Rel-16) </w:t>
      </w:r>
      <w:r w:rsidRPr="00866F6F">
        <w:rPr>
          <w:rFonts w:ascii="Arial" w:hAnsi="Arial" w:cs="Arial"/>
          <w:color w:val="000000" w:themeColor="text1"/>
          <w:szCs w:val="20"/>
        </w:rPr>
        <w:t>reporting to Tx-UE and CSI reporting to gNB</w:t>
      </w:r>
    </w:p>
    <w:p w14:paraId="711CB3DF" w14:textId="64357B1A" w:rsidR="00866F6F" w:rsidRP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Resource allocation/coordination to avoid/minimize half-duplex and Tx collisions (Mode 2d/2b)</w:t>
      </w:r>
    </w:p>
    <w:p w14:paraId="72C092FF" w14:textId="7CD6BC9D" w:rsidR="00866F6F" w:rsidRP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Power control for groupcast (when group size is known) and PSFCH</w:t>
      </w:r>
    </w:p>
    <w:p w14:paraId="0F8DF0E4" w14:textId="2F224708" w:rsidR="00866F6F" w:rsidRP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Long PSFCH format and CBG based feedback</w:t>
      </w:r>
    </w:p>
    <w:p w14:paraId="510BC22A" w14:textId="09CC2305" w:rsidR="00866F6F" w:rsidRDefault="00866F6F" w:rsidP="00866F6F">
      <w:pPr>
        <w:pStyle w:val="ListParagraph"/>
        <w:numPr>
          <w:ilvl w:val="0"/>
          <w:numId w:val="37"/>
        </w:numPr>
        <w:spacing w:after="240" w:line="259" w:lineRule="auto"/>
        <w:ind w:leftChars="0"/>
        <w:contextualSpacing/>
        <w:rPr>
          <w:rFonts w:ascii="Arial" w:hAnsi="Arial" w:cs="Arial"/>
          <w:color w:val="000000" w:themeColor="text1"/>
          <w:szCs w:val="20"/>
        </w:rPr>
      </w:pPr>
      <w:r w:rsidRPr="00866F6F">
        <w:rPr>
          <w:rFonts w:ascii="Arial" w:hAnsi="Arial" w:cs="Arial"/>
          <w:color w:val="000000" w:themeColor="text1"/>
          <w:szCs w:val="20"/>
        </w:rPr>
        <w:t>SN-controlled SN sidelink</w:t>
      </w:r>
    </w:p>
    <w:p w14:paraId="76E91EB8" w14:textId="77777777" w:rsidR="00AB084F" w:rsidRPr="00AD1A1B" w:rsidRDefault="00AB084F" w:rsidP="00AB084F">
      <w:pPr>
        <w:spacing w:after="120" w:line="259" w:lineRule="auto"/>
        <w:contextualSpacing/>
        <w:rPr>
          <w:b/>
          <w:bCs/>
          <w:i/>
          <w:iCs/>
          <w:color w:val="000000" w:themeColor="text1"/>
          <w:sz w:val="20"/>
          <w:szCs w:val="20"/>
        </w:rPr>
      </w:pPr>
      <w:r w:rsidRPr="00AD1A1B">
        <w:rPr>
          <w:b/>
          <w:bCs/>
          <w:i/>
          <w:iCs/>
          <w:color w:val="000000" w:themeColor="text1"/>
          <w:sz w:val="20"/>
          <w:szCs w:val="20"/>
        </w:rPr>
        <w:t xml:space="preserve">Proposal 3: The scope for Rel-17 sidelink enhancement objective should </w:t>
      </w:r>
      <w:r w:rsidRPr="00AD1A1B">
        <w:rPr>
          <w:b/>
          <w:bCs/>
          <w:i/>
          <w:iCs/>
          <w:color w:val="000000" w:themeColor="text1"/>
          <w:sz w:val="20"/>
          <w:szCs w:val="20"/>
          <w:u w:val="single"/>
        </w:rPr>
        <w:t>include</w:t>
      </w:r>
      <w:r w:rsidRPr="00AD1A1B">
        <w:rPr>
          <w:b/>
          <w:bCs/>
          <w:i/>
          <w:iCs/>
          <w:color w:val="000000" w:themeColor="text1"/>
          <w:sz w:val="20"/>
          <w:szCs w:val="20"/>
        </w:rPr>
        <w:t xml:space="preserve"> the following technical features/aspects:</w:t>
      </w:r>
    </w:p>
    <w:p w14:paraId="684C6244"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Power saving (including DRX, resource allocation to reduce power consumption)</w:t>
      </w:r>
    </w:p>
    <w:p w14:paraId="5562BA6C"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Multi-carrier operation (including packet multiplexing and duplication)</w:t>
      </w:r>
    </w:p>
    <w:p w14:paraId="47969468"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MIMO enhancement (up to rank 4 and 2TBs)</w:t>
      </w:r>
    </w:p>
    <w:p w14:paraId="76C82515"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Beamforming support/management in FR2</w:t>
      </w:r>
    </w:p>
    <w:p w14:paraId="77438585"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PMI and RI (if dropped from Rel-16) reporting to Tx-UE and CSI reporting to gNB</w:t>
      </w:r>
    </w:p>
    <w:p w14:paraId="746638EC"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Resource allocation/coordination to avoid/minimize half-duplex and Tx collisions (Mode 2d/2b)</w:t>
      </w:r>
    </w:p>
    <w:p w14:paraId="10A2AE72"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Power control for groupcast (when group size is known) and PSFCH</w:t>
      </w:r>
    </w:p>
    <w:p w14:paraId="4C0B16DE"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Long PSFCH format and CBG based feedback</w:t>
      </w:r>
    </w:p>
    <w:p w14:paraId="6079191D"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SN-controlled SN sidelink</w:t>
      </w:r>
    </w:p>
    <w:p w14:paraId="24C6A928" w14:textId="68E4E376" w:rsidR="00866F6F" w:rsidRDefault="00866F6F" w:rsidP="00AD1A1B">
      <w:pPr>
        <w:spacing w:after="120" w:line="259" w:lineRule="auto"/>
        <w:contextualSpacing/>
        <w:rPr>
          <w:color w:val="000000" w:themeColor="text1"/>
          <w:szCs w:val="20"/>
        </w:rPr>
      </w:pPr>
      <w:r>
        <w:rPr>
          <w:color w:val="000000" w:themeColor="text1"/>
          <w:szCs w:val="20"/>
        </w:rPr>
        <w:t>However, there are also some other leftover items that should not be considered in Rel-17, such as</w:t>
      </w:r>
      <w:r w:rsidR="00AD1A1B">
        <w:rPr>
          <w:color w:val="000000" w:themeColor="text1"/>
          <w:szCs w:val="20"/>
        </w:rPr>
        <w:t xml:space="preserve"> s</w:t>
      </w:r>
      <w:r w:rsidRPr="00AD1A1B">
        <w:rPr>
          <w:color w:val="000000" w:themeColor="text1"/>
          <w:szCs w:val="20"/>
        </w:rPr>
        <w:t>imultaneous mode 1 and mode 2 configuration</w:t>
      </w:r>
      <w:r w:rsidR="00AD1A1B">
        <w:rPr>
          <w:color w:val="000000" w:themeColor="text1"/>
          <w:szCs w:val="20"/>
        </w:rPr>
        <w:t xml:space="preserve">. This is </w:t>
      </w:r>
      <w:r w:rsidRPr="00AD1A1B">
        <w:rPr>
          <w:color w:val="000000" w:themeColor="text1"/>
          <w:szCs w:val="20"/>
        </w:rPr>
        <w:t xml:space="preserve">due to type 1 and type 2 CGs are already supported in mode </w:t>
      </w:r>
      <w:r w:rsidR="00AD1A1B">
        <w:rPr>
          <w:color w:val="000000" w:themeColor="text1"/>
          <w:szCs w:val="20"/>
        </w:rPr>
        <w:t xml:space="preserve">1. Furthermore, it is not necessary to define sidelink RRC states and the corresponding functionalities in order to support sidelink DRX. As this will only further </w:t>
      </w:r>
      <w:r w:rsidR="00AD1A1B" w:rsidRPr="00AD1A1B">
        <w:rPr>
          <w:color w:val="000000" w:themeColor="text1"/>
          <w:szCs w:val="20"/>
        </w:rPr>
        <w:t>complicate the SL RRC connection management</w:t>
      </w:r>
      <w:r w:rsidR="00AD1A1B">
        <w:rPr>
          <w:color w:val="000000" w:themeColor="text1"/>
          <w:szCs w:val="20"/>
        </w:rPr>
        <w:t>,</w:t>
      </w:r>
      <w:r w:rsidR="00AD1A1B" w:rsidRPr="00AD1A1B">
        <w:rPr>
          <w:color w:val="000000" w:themeColor="text1"/>
          <w:szCs w:val="20"/>
        </w:rPr>
        <w:t xml:space="preserve"> which is different </w:t>
      </w:r>
      <w:r w:rsidR="00AD1A1B">
        <w:rPr>
          <w:color w:val="000000" w:themeColor="text1"/>
          <w:szCs w:val="20"/>
        </w:rPr>
        <w:t xml:space="preserve">from </w:t>
      </w:r>
      <w:r w:rsidR="00AD1A1B" w:rsidRPr="00AD1A1B">
        <w:rPr>
          <w:color w:val="000000" w:themeColor="text1"/>
          <w:szCs w:val="20"/>
        </w:rPr>
        <w:t>Uu where different entity is responsible for AS/NAS state</w:t>
      </w:r>
      <w:r w:rsidR="00AD1A1B">
        <w:rPr>
          <w:color w:val="000000" w:themeColor="text1"/>
          <w:szCs w:val="20"/>
        </w:rPr>
        <w:t>.</w:t>
      </w:r>
    </w:p>
    <w:p w14:paraId="2FF71344" w14:textId="34AAD2AC" w:rsidR="00AD1A1B" w:rsidRDefault="00AD1A1B" w:rsidP="00AD1A1B">
      <w:pPr>
        <w:spacing w:after="120" w:line="259" w:lineRule="auto"/>
        <w:contextualSpacing/>
        <w:rPr>
          <w:color w:val="000000" w:themeColor="text1"/>
          <w:szCs w:val="20"/>
        </w:rPr>
      </w:pPr>
    </w:p>
    <w:p w14:paraId="5F35AB8D" w14:textId="73917064" w:rsidR="00AD1A1B" w:rsidRPr="00AD1A1B" w:rsidRDefault="00AD1A1B" w:rsidP="00AD1A1B">
      <w:pPr>
        <w:spacing w:after="120" w:line="259" w:lineRule="auto"/>
        <w:contextualSpacing/>
        <w:rPr>
          <w:b/>
          <w:bCs/>
          <w:i/>
          <w:iCs/>
          <w:color w:val="000000" w:themeColor="text1"/>
          <w:sz w:val="20"/>
          <w:szCs w:val="20"/>
        </w:rPr>
      </w:pPr>
      <w:r w:rsidRPr="00AD1A1B">
        <w:rPr>
          <w:b/>
          <w:bCs/>
          <w:i/>
          <w:iCs/>
          <w:color w:val="000000" w:themeColor="text1"/>
          <w:sz w:val="20"/>
          <w:szCs w:val="20"/>
        </w:rPr>
        <w:t xml:space="preserve">Proposal 4: The scope for Rel-17 sidelink enhancement objective should </w:t>
      </w:r>
      <w:r w:rsidRPr="00AD1A1B">
        <w:rPr>
          <w:b/>
          <w:bCs/>
          <w:i/>
          <w:iCs/>
          <w:color w:val="000000" w:themeColor="text1"/>
          <w:sz w:val="20"/>
          <w:szCs w:val="20"/>
          <w:u w:val="single"/>
        </w:rPr>
        <w:t>avoid</w:t>
      </w:r>
      <w:r w:rsidRPr="00AD1A1B">
        <w:rPr>
          <w:b/>
          <w:bCs/>
          <w:i/>
          <w:iCs/>
          <w:color w:val="000000" w:themeColor="text1"/>
          <w:sz w:val="20"/>
          <w:szCs w:val="20"/>
        </w:rPr>
        <w:t xml:space="preserve"> the following technical features/aspects:</w:t>
      </w:r>
    </w:p>
    <w:p w14:paraId="3BCBF3E0" w14:textId="683D8FE4" w:rsidR="00AD1A1B" w:rsidRPr="00AD1A1B" w:rsidRDefault="00AD1A1B" w:rsidP="00AD1A1B">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simultaneous mode 1 and mode 2 configuration</w:t>
      </w:r>
    </w:p>
    <w:p w14:paraId="1A57B2AB" w14:textId="3FFED288" w:rsidR="00AD1A1B" w:rsidRPr="00AD1A1B" w:rsidRDefault="00AD1A1B" w:rsidP="00AD1A1B">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define sidelink RRC states and the corresponding functionalities</w:t>
      </w:r>
    </w:p>
    <w:p w14:paraId="3A91C9E1" w14:textId="1F37736D" w:rsidR="00BC0557" w:rsidRPr="00117AF6" w:rsidRDefault="00BC0557" w:rsidP="00117AF6">
      <w:pPr>
        <w:pStyle w:val="BodyText"/>
        <w:spacing w:after="120"/>
        <w:rPr>
          <w:b/>
          <w:bCs/>
          <w:color w:val="000000" w:themeColor="text1"/>
          <w:sz w:val="22"/>
          <w:szCs w:val="22"/>
        </w:rPr>
      </w:pPr>
      <w:r w:rsidRPr="00117AF6">
        <w:rPr>
          <w:b/>
          <w:bCs/>
          <w:color w:val="000000" w:themeColor="text1"/>
          <w:sz w:val="22"/>
          <w:szCs w:val="22"/>
        </w:rPr>
        <w:t>3. Conclusion</w:t>
      </w:r>
    </w:p>
    <w:p w14:paraId="63EE7C33" w14:textId="20AC82E7" w:rsidR="00CD7B37" w:rsidRPr="00AB084F" w:rsidRDefault="0024589F" w:rsidP="00F908AE">
      <w:pPr>
        <w:spacing w:after="240"/>
        <w:rPr>
          <w:iCs/>
          <w:color w:val="000000" w:themeColor="text1"/>
          <w:sz w:val="20"/>
        </w:rPr>
      </w:pPr>
      <w:r w:rsidRPr="00AB084F">
        <w:rPr>
          <w:iCs/>
          <w:color w:val="000000" w:themeColor="text1"/>
          <w:sz w:val="20"/>
        </w:rPr>
        <w:t xml:space="preserve">In this contribution, we </w:t>
      </w:r>
      <w:r w:rsidR="00CD7B37" w:rsidRPr="00AB084F">
        <w:rPr>
          <w:iCs/>
          <w:color w:val="000000" w:themeColor="text1"/>
          <w:sz w:val="20"/>
        </w:rPr>
        <w:t xml:space="preserve">provided </w:t>
      </w:r>
      <w:r w:rsidR="00AB084F" w:rsidRPr="00AB084F">
        <w:rPr>
          <w:iCs/>
          <w:color w:val="000000" w:themeColor="text1"/>
          <w:sz w:val="20"/>
        </w:rPr>
        <w:t>discussions on motivation/use cases that should be included and work planning for the sidelink enhancement item in Rel-17. In addition, we also provided our views on the work scope with technical features that should be included in the objectives section. In summary, we have the following proposals.</w:t>
      </w:r>
    </w:p>
    <w:p w14:paraId="58638453" w14:textId="77777777" w:rsidR="00AB084F" w:rsidRPr="00140681" w:rsidRDefault="00AB084F" w:rsidP="00AB084F">
      <w:pPr>
        <w:spacing w:line="259" w:lineRule="auto"/>
        <w:contextualSpacing/>
        <w:rPr>
          <w:b/>
          <w:bCs/>
          <w:i/>
          <w:iCs/>
          <w:color w:val="000000" w:themeColor="text1"/>
          <w:sz w:val="20"/>
        </w:rPr>
      </w:pPr>
      <w:r w:rsidRPr="00140681">
        <w:rPr>
          <w:b/>
          <w:bCs/>
          <w:i/>
          <w:iCs/>
          <w:color w:val="000000" w:themeColor="text1"/>
          <w:sz w:val="20"/>
        </w:rPr>
        <w:t xml:space="preserve">Proposal 1: Continue to uphold the principle made in RAN#84 </w:t>
      </w:r>
      <w:r>
        <w:rPr>
          <w:b/>
          <w:bCs/>
          <w:i/>
          <w:iCs/>
          <w:color w:val="000000" w:themeColor="text1"/>
          <w:sz w:val="20"/>
        </w:rPr>
        <w:t>for</w:t>
      </w:r>
      <w:r w:rsidRPr="00140681">
        <w:rPr>
          <w:b/>
          <w:bCs/>
          <w:i/>
          <w:iCs/>
          <w:color w:val="000000" w:themeColor="text1"/>
          <w:sz w:val="20"/>
        </w:rPr>
        <w:t xml:space="preserve"> Rel-17 sidelink enhancement:</w:t>
      </w:r>
    </w:p>
    <w:p w14:paraId="7CD85631" w14:textId="77777777" w:rsidR="00AB084F" w:rsidRPr="00140681" w:rsidRDefault="00AB084F" w:rsidP="00AB084F">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rPr>
        <w:t>Includes V2X, Commercial, and Critical Comms, FR2 aspects</w:t>
      </w:r>
    </w:p>
    <w:p w14:paraId="126F812D" w14:textId="77777777" w:rsidR="00AB084F" w:rsidRPr="00140681" w:rsidRDefault="00AB084F" w:rsidP="00AB084F">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rPr>
        <w:t>Focus on common functions across the key use cases</w:t>
      </w:r>
    </w:p>
    <w:p w14:paraId="5ABB5A10" w14:textId="77777777" w:rsidR="00AB084F" w:rsidRPr="00140681" w:rsidRDefault="00AB084F" w:rsidP="00AB084F">
      <w:pPr>
        <w:pStyle w:val="ListParagraph"/>
        <w:numPr>
          <w:ilvl w:val="0"/>
          <w:numId w:val="35"/>
        </w:numPr>
        <w:spacing w:after="240" w:line="259" w:lineRule="auto"/>
        <w:ind w:leftChars="0" w:left="851"/>
        <w:contextualSpacing/>
        <w:rPr>
          <w:rFonts w:ascii="Arial" w:hAnsi="Arial" w:cs="Arial"/>
          <w:b/>
          <w:bCs/>
          <w:i/>
          <w:iCs/>
          <w:color w:val="000000" w:themeColor="text1"/>
        </w:rPr>
      </w:pPr>
      <w:r w:rsidRPr="00140681">
        <w:rPr>
          <w:rFonts w:ascii="Arial" w:hAnsi="Arial" w:cs="Arial"/>
          <w:b/>
          <w:bCs/>
          <w:i/>
          <w:iCs/>
          <w:color w:val="000000" w:themeColor="text1"/>
          <w:lang w:val="en-US"/>
        </w:rPr>
        <w:lastRenderedPageBreak/>
        <w:t>Achieve maximum commonality between commercial, V2X, and Critical Communication usage of sidelink while addressing their specific requirements</w:t>
      </w:r>
    </w:p>
    <w:p w14:paraId="7CFC164F" w14:textId="77777777" w:rsidR="00AB084F" w:rsidRPr="00A65BFE" w:rsidRDefault="00AB084F" w:rsidP="00AB084F">
      <w:pPr>
        <w:spacing w:line="259" w:lineRule="auto"/>
        <w:contextualSpacing/>
        <w:rPr>
          <w:b/>
          <w:bCs/>
          <w:i/>
          <w:iCs/>
          <w:color w:val="000000" w:themeColor="text1"/>
          <w:sz w:val="20"/>
          <w:szCs w:val="20"/>
        </w:rPr>
      </w:pPr>
      <w:r w:rsidRPr="00A65BFE">
        <w:rPr>
          <w:b/>
          <w:bCs/>
          <w:i/>
          <w:iCs/>
          <w:color w:val="000000" w:themeColor="text1"/>
          <w:sz w:val="20"/>
          <w:szCs w:val="20"/>
        </w:rPr>
        <w:t>Proposal 2: If the entire Rel-17 timeframe is extended to 18 months duration, the planning for the sidelink enhancement work in Rel-17 should be:</w:t>
      </w:r>
    </w:p>
    <w:p w14:paraId="6DF0C204" w14:textId="77777777" w:rsidR="00AB084F" w:rsidRPr="00A65BFE" w:rsidRDefault="00AB084F" w:rsidP="00AB084F">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Scope of the work should plan for 15 months as before</w:t>
      </w:r>
    </w:p>
    <w:p w14:paraId="48501441" w14:textId="77777777" w:rsidR="00AB084F" w:rsidRPr="00A65BFE" w:rsidRDefault="00AB084F" w:rsidP="00AB084F">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Slow start / moderate TU allocation in the first quarter of 2020-Q1 (RAN1#100), e.g. 0.5 to 1 TU</w:t>
      </w:r>
    </w:p>
    <w:p w14:paraId="4325E4BE" w14:textId="77777777" w:rsidR="00AB084F" w:rsidRPr="00A65BFE" w:rsidRDefault="00AB084F" w:rsidP="00AB084F">
      <w:pPr>
        <w:pStyle w:val="ListParagraph"/>
        <w:numPr>
          <w:ilvl w:val="0"/>
          <w:numId w:val="36"/>
        </w:numPr>
        <w:spacing w:after="240" w:line="259" w:lineRule="auto"/>
        <w:ind w:leftChars="0"/>
        <w:contextualSpacing/>
        <w:rPr>
          <w:rFonts w:ascii="Arial" w:hAnsi="Arial" w:cs="Arial"/>
          <w:b/>
          <w:bCs/>
          <w:i/>
          <w:iCs/>
          <w:color w:val="000000" w:themeColor="text1"/>
          <w:szCs w:val="20"/>
        </w:rPr>
      </w:pPr>
      <w:r w:rsidRPr="00A65BFE">
        <w:rPr>
          <w:rFonts w:ascii="Arial" w:hAnsi="Arial" w:cs="Arial"/>
          <w:b/>
          <w:bCs/>
          <w:i/>
          <w:iCs/>
          <w:color w:val="000000" w:themeColor="text1"/>
          <w:szCs w:val="20"/>
        </w:rPr>
        <w:t>The last quarter of Rel-17 (2021-Q2) allocate also moderate TUs for the sidelink enhancement item as a mean of flexible TU management by WG chairmen and buffering</w:t>
      </w:r>
    </w:p>
    <w:p w14:paraId="5AAE311C" w14:textId="77777777" w:rsidR="00AB084F" w:rsidRPr="00AD1A1B" w:rsidRDefault="00AB084F" w:rsidP="00AB084F">
      <w:pPr>
        <w:spacing w:after="120" w:line="259" w:lineRule="auto"/>
        <w:contextualSpacing/>
        <w:rPr>
          <w:b/>
          <w:bCs/>
          <w:i/>
          <w:iCs/>
          <w:color w:val="000000" w:themeColor="text1"/>
          <w:sz w:val="20"/>
          <w:szCs w:val="20"/>
        </w:rPr>
      </w:pPr>
      <w:r w:rsidRPr="00AD1A1B">
        <w:rPr>
          <w:b/>
          <w:bCs/>
          <w:i/>
          <w:iCs/>
          <w:color w:val="000000" w:themeColor="text1"/>
          <w:sz w:val="20"/>
          <w:szCs w:val="20"/>
        </w:rPr>
        <w:t xml:space="preserve">Proposal 3: The scope for Rel-17 sidelink enhancement objective should </w:t>
      </w:r>
      <w:r w:rsidRPr="00AD1A1B">
        <w:rPr>
          <w:b/>
          <w:bCs/>
          <w:i/>
          <w:iCs/>
          <w:color w:val="000000" w:themeColor="text1"/>
          <w:sz w:val="20"/>
          <w:szCs w:val="20"/>
          <w:u w:val="single"/>
        </w:rPr>
        <w:t>include</w:t>
      </w:r>
      <w:r w:rsidRPr="00AD1A1B">
        <w:rPr>
          <w:b/>
          <w:bCs/>
          <w:i/>
          <w:iCs/>
          <w:color w:val="000000" w:themeColor="text1"/>
          <w:sz w:val="20"/>
          <w:szCs w:val="20"/>
        </w:rPr>
        <w:t xml:space="preserve"> the following technical features/aspects:</w:t>
      </w:r>
    </w:p>
    <w:p w14:paraId="679ED842"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Power saving (including DRX, resource allocation to reduce power consumption)</w:t>
      </w:r>
    </w:p>
    <w:p w14:paraId="53DB5B0E"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Multi-carrier operation (including packet multiplexing and duplication)</w:t>
      </w:r>
    </w:p>
    <w:p w14:paraId="21410453"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MIMO enhancement (up to rank 4 and 2TBs)</w:t>
      </w:r>
    </w:p>
    <w:p w14:paraId="564FAEA1"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Beamforming support/management in FR2</w:t>
      </w:r>
    </w:p>
    <w:p w14:paraId="49EB4575"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PMI and RI (if dropped from Rel-16) reporting to Tx-UE and CSI reporting to gNB</w:t>
      </w:r>
    </w:p>
    <w:p w14:paraId="61D473B7"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Resource allocation/coordination to avoid/minimize half-duplex and Tx collisions (Mode 2d/2b)</w:t>
      </w:r>
    </w:p>
    <w:p w14:paraId="2E6827FF"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Power control for groupcast (when group size is known) and PSFCH</w:t>
      </w:r>
    </w:p>
    <w:p w14:paraId="6CD3266B"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Long PSFCH format and CBG based feedback</w:t>
      </w:r>
    </w:p>
    <w:p w14:paraId="7B75CD54"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SN-controlled SN sidelink</w:t>
      </w:r>
    </w:p>
    <w:p w14:paraId="71531675" w14:textId="77777777" w:rsidR="00AB084F" w:rsidRPr="00AD1A1B" w:rsidRDefault="00AB084F" w:rsidP="00AB084F">
      <w:pPr>
        <w:spacing w:after="120" w:line="259" w:lineRule="auto"/>
        <w:contextualSpacing/>
        <w:rPr>
          <w:b/>
          <w:bCs/>
          <w:i/>
          <w:iCs/>
          <w:color w:val="000000" w:themeColor="text1"/>
          <w:sz w:val="20"/>
          <w:szCs w:val="20"/>
        </w:rPr>
      </w:pPr>
      <w:r w:rsidRPr="00AD1A1B">
        <w:rPr>
          <w:b/>
          <w:bCs/>
          <w:i/>
          <w:iCs/>
          <w:color w:val="000000" w:themeColor="text1"/>
          <w:sz w:val="20"/>
          <w:szCs w:val="20"/>
        </w:rPr>
        <w:t xml:space="preserve">Proposal 4: The scope for Rel-17 sidelink enhancement objective should </w:t>
      </w:r>
      <w:r w:rsidRPr="00AD1A1B">
        <w:rPr>
          <w:b/>
          <w:bCs/>
          <w:i/>
          <w:iCs/>
          <w:color w:val="000000" w:themeColor="text1"/>
          <w:sz w:val="20"/>
          <w:szCs w:val="20"/>
          <w:u w:val="single"/>
        </w:rPr>
        <w:t>avoid</w:t>
      </w:r>
      <w:r w:rsidRPr="00AD1A1B">
        <w:rPr>
          <w:b/>
          <w:bCs/>
          <w:i/>
          <w:iCs/>
          <w:color w:val="000000" w:themeColor="text1"/>
          <w:sz w:val="20"/>
          <w:szCs w:val="20"/>
        </w:rPr>
        <w:t xml:space="preserve"> the following technical features/aspects:</w:t>
      </w:r>
    </w:p>
    <w:p w14:paraId="1B918BF4"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simultaneous mode 1 and mode 2 configuration</w:t>
      </w:r>
    </w:p>
    <w:p w14:paraId="39B2D673" w14:textId="77777777" w:rsidR="00AB084F" w:rsidRPr="00AD1A1B" w:rsidRDefault="00AB084F" w:rsidP="00AB084F">
      <w:pPr>
        <w:pStyle w:val="ListParagraph"/>
        <w:numPr>
          <w:ilvl w:val="0"/>
          <w:numId w:val="39"/>
        </w:numPr>
        <w:spacing w:after="240" w:line="259" w:lineRule="auto"/>
        <w:ind w:leftChars="0"/>
        <w:contextualSpacing/>
        <w:rPr>
          <w:rFonts w:ascii="Arial" w:hAnsi="Arial" w:cs="Arial"/>
          <w:b/>
          <w:bCs/>
          <w:i/>
          <w:iCs/>
          <w:color w:val="000000" w:themeColor="text1"/>
          <w:szCs w:val="20"/>
        </w:rPr>
      </w:pPr>
      <w:r w:rsidRPr="00AD1A1B">
        <w:rPr>
          <w:rFonts w:ascii="Arial" w:hAnsi="Arial" w:cs="Arial"/>
          <w:b/>
          <w:bCs/>
          <w:i/>
          <w:iCs/>
          <w:color w:val="000000" w:themeColor="text1"/>
          <w:szCs w:val="20"/>
        </w:rPr>
        <w:t>define sidelink RRC states and the corresponding functionalities</w:t>
      </w:r>
    </w:p>
    <w:p w14:paraId="020103EA" w14:textId="77777777" w:rsidR="00801AF6" w:rsidRDefault="00801AF6" w:rsidP="00BC0557">
      <w:pPr>
        <w:spacing w:after="120"/>
        <w:rPr>
          <w:b/>
          <w:sz w:val="22"/>
        </w:rPr>
      </w:pPr>
    </w:p>
    <w:p w14:paraId="37E830A0" w14:textId="76411F68" w:rsidR="00BC0557" w:rsidRPr="00117AF6" w:rsidRDefault="00BC0557" w:rsidP="00117AF6">
      <w:pPr>
        <w:pStyle w:val="BodyText"/>
        <w:spacing w:after="120"/>
        <w:rPr>
          <w:b/>
          <w:bCs/>
          <w:color w:val="000000" w:themeColor="text1"/>
          <w:sz w:val="22"/>
          <w:szCs w:val="22"/>
        </w:rPr>
      </w:pPr>
      <w:r w:rsidRPr="00117AF6">
        <w:rPr>
          <w:b/>
          <w:bCs/>
          <w:color w:val="000000" w:themeColor="text1"/>
          <w:sz w:val="22"/>
          <w:szCs w:val="22"/>
        </w:rPr>
        <w:t>4. References</w:t>
      </w:r>
    </w:p>
    <w:p w14:paraId="3DE9CEB1" w14:textId="7AA6B0DF" w:rsidR="00140681" w:rsidRDefault="00B376FB" w:rsidP="00B376FB">
      <w:pPr>
        <w:tabs>
          <w:tab w:val="left" w:pos="336"/>
        </w:tabs>
        <w:spacing w:after="120"/>
        <w:ind w:left="350" w:hanging="350"/>
        <w:rPr>
          <w:color w:val="000000" w:themeColor="text1"/>
          <w:sz w:val="20"/>
        </w:rPr>
      </w:pPr>
      <w:r>
        <w:rPr>
          <w:color w:val="000000" w:themeColor="text1"/>
          <w:sz w:val="20"/>
        </w:rPr>
        <w:t>[1]</w:t>
      </w:r>
      <w:r>
        <w:rPr>
          <w:color w:val="000000" w:themeColor="text1"/>
          <w:sz w:val="20"/>
        </w:rPr>
        <w:tab/>
        <w:t>RP-191725 “</w:t>
      </w:r>
      <w:r w:rsidRPr="00B376FB">
        <w:rPr>
          <w:color w:val="000000" w:themeColor="text1"/>
          <w:sz w:val="20"/>
        </w:rPr>
        <w:t>Summary of email discussion on sidelink enhancements in Rel-17</w:t>
      </w:r>
      <w:r>
        <w:rPr>
          <w:color w:val="000000" w:themeColor="text1"/>
          <w:sz w:val="20"/>
        </w:rPr>
        <w:t>”, RAN#85, LGE, OPPO</w:t>
      </w:r>
    </w:p>
    <w:p w14:paraId="3E625C91" w14:textId="500EC613" w:rsidR="00140681" w:rsidRDefault="00B376FB" w:rsidP="00B376FB">
      <w:pPr>
        <w:tabs>
          <w:tab w:val="left" w:pos="336"/>
        </w:tabs>
        <w:spacing w:after="120"/>
        <w:ind w:left="350" w:hanging="350"/>
        <w:rPr>
          <w:color w:val="000000" w:themeColor="text1"/>
          <w:sz w:val="20"/>
        </w:rPr>
      </w:pPr>
      <w:r>
        <w:rPr>
          <w:color w:val="000000" w:themeColor="text1"/>
          <w:sz w:val="20"/>
        </w:rPr>
        <w:t>[2]</w:t>
      </w:r>
      <w:r>
        <w:rPr>
          <w:color w:val="000000" w:themeColor="text1"/>
          <w:sz w:val="20"/>
        </w:rPr>
        <w:tab/>
      </w:r>
      <w:r w:rsidR="00BD5301">
        <w:rPr>
          <w:color w:val="000000" w:themeColor="text1"/>
          <w:sz w:val="20"/>
        </w:rPr>
        <w:t>RP-192745 “</w:t>
      </w:r>
      <w:r w:rsidR="00BD5301" w:rsidRPr="00BD5301">
        <w:rPr>
          <w:color w:val="000000" w:themeColor="text1"/>
          <w:sz w:val="20"/>
        </w:rPr>
        <w:t>Summary of email discussion on Rel-17 sidelink enhancement</w:t>
      </w:r>
      <w:r w:rsidR="00BD5301">
        <w:rPr>
          <w:color w:val="000000" w:themeColor="text1"/>
          <w:sz w:val="20"/>
        </w:rPr>
        <w:t>”, RAN#86, LGE</w:t>
      </w:r>
    </w:p>
    <w:p w14:paraId="5C7C871A" w14:textId="553C0038" w:rsidR="00F65D3F" w:rsidRDefault="00F65D3F" w:rsidP="00B376FB">
      <w:pPr>
        <w:tabs>
          <w:tab w:val="left" w:pos="336"/>
        </w:tabs>
        <w:spacing w:after="120"/>
        <w:ind w:left="350" w:hanging="350"/>
        <w:rPr>
          <w:color w:val="000000" w:themeColor="text1"/>
          <w:sz w:val="20"/>
        </w:rPr>
      </w:pPr>
      <w:r>
        <w:rPr>
          <w:color w:val="000000" w:themeColor="text1"/>
          <w:sz w:val="20"/>
        </w:rPr>
        <w:t>[</w:t>
      </w:r>
      <w:r w:rsidR="00140681">
        <w:rPr>
          <w:color w:val="000000" w:themeColor="text1"/>
          <w:sz w:val="20"/>
        </w:rPr>
        <w:t>3</w:t>
      </w:r>
      <w:r>
        <w:rPr>
          <w:color w:val="000000" w:themeColor="text1"/>
          <w:sz w:val="20"/>
        </w:rPr>
        <w:t>]</w:t>
      </w:r>
      <w:r>
        <w:rPr>
          <w:color w:val="000000" w:themeColor="text1"/>
          <w:sz w:val="20"/>
        </w:rPr>
        <w:tab/>
        <w:t>3GPP TR 22.842 “Study on Network Controlled Interactive Services”, V17.1.0 (2019-09)</w:t>
      </w:r>
    </w:p>
    <w:p w14:paraId="5D85BCF3" w14:textId="53CA63D6" w:rsidR="00F65D3F" w:rsidRDefault="00F65D3F" w:rsidP="00B376FB">
      <w:pPr>
        <w:tabs>
          <w:tab w:val="left" w:pos="336"/>
        </w:tabs>
        <w:spacing w:after="120"/>
        <w:ind w:left="350" w:hanging="350"/>
        <w:rPr>
          <w:color w:val="000000" w:themeColor="text1"/>
          <w:sz w:val="20"/>
        </w:rPr>
      </w:pPr>
      <w:r>
        <w:rPr>
          <w:color w:val="000000" w:themeColor="text1"/>
          <w:sz w:val="20"/>
        </w:rPr>
        <w:t>[</w:t>
      </w:r>
      <w:r w:rsidR="00140681">
        <w:rPr>
          <w:color w:val="000000" w:themeColor="text1"/>
          <w:sz w:val="20"/>
        </w:rPr>
        <w:t>4</w:t>
      </w:r>
      <w:r>
        <w:rPr>
          <w:color w:val="000000" w:themeColor="text1"/>
          <w:sz w:val="20"/>
        </w:rPr>
        <w:t>]</w:t>
      </w:r>
      <w:r>
        <w:rPr>
          <w:color w:val="000000" w:themeColor="text1"/>
          <w:sz w:val="20"/>
        </w:rPr>
        <w:tab/>
      </w:r>
      <w:r w:rsidR="00CC0BF3">
        <w:rPr>
          <w:color w:val="000000" w:themeColor="text1"/>
          <w:sz w:val="20"/>
        </w:rPr>
        <w:t>3GPP TS 22.261 “Service requirements for the 5G system”, V17.0.1 (2019-10)</w:t>
      </w:r>
    </w:p>
    <w:p w14:paraId="2A6C422D" w14:textId="3926EADA" w:rsidR="00F65D3F" w:rsidRDefault="00F65D3F" w:rsidP="003A5372">
      <w:pPr>
        <w:tabs>
          <w:tab w:val="left" w:pos="336"/>
        </w:tabs>
        <w:spacing w:after="120"/>
        <w:ind w:left="350" w:hanging="350"/>
        <w:rPr>
          <w:color w:val="000000" w:themeColor="text1"/>
          <w:sz w:val="20"/>
        </w:rPr>
      </w:pPr>
      <w:r>
        <w:rPr>
          <w:color w:val="000000" w:themeColor="text1"/>
          <w:sz w:val="20"/>
        </w:rPr>
        <w:t>[</w:t>
      </w:r>
      <w:r w:rsidR="00140681">
        <w:rPr>
          <w:color w:val="000000" w:themeColor="text1"/>
          <w:sz w:val="20"/>
        </w:rPr>
        <w:t>5</w:t>
      </w:r>
      <w:r>
        <w:rPr>
          <w:color w:val="000000" w:themeColor="text1"/>
          <w:sz w:val="20"/>
        </w:rPr>
        <w:t>]</w:t>
      </w:r>
      <w:r w:rsidR="00CC0BF3">
        <w:rPr>
          <w:color w:val="000000" w:themeColor="text1"/>
          <w:sz w:val="20"/>
        </w:rPr>
        <w:tab/>
        <w:t>S2-1906727 “</w:t>
      </w:r>
      <w:r w:rsidR="003A5372" w:rsidRPr="003A5372">
        <w:rPr>
          <w:color w:val="000000" w:themeColor="text1"/>
          <w:sz w:val="20"/>
        </w:rPr>
        <w:t>New SID: Study on System enhancement for Proximity based Services in 5GS</w:t>
      </w:r>
      <w:r w:rsidR="00CC0BF3">
        <w:rPr>
          <w:color w:val="000000" w:themeColor="text1"/>
          <w:sz w:val="20"/>
        </w:rPr>
        <w:t xml:space="preserve">”, </w:t>
      </w:r>
      <w:r w:rsidR="003A5372">
        <w:rPr>
          <w:color w:val="000000" w:themeColor="text1"/>
          <w:sz w:val="20"/>
        </w:rPr>
        <w:t>May 2019, OPPO, CATT</w:t>
      </w:r>
    </w:p>
    <w:p w14:paraId="2AB8A358" w14:textId="6A43D15B" w:rsidR="000D03F5" w:rsidRPr="00FF754F" w:rsidRDefault="000D03F5" w:rsidP="00B376FB">
      <w:pPr>
        <w:tabs>
          <w:tab w:val="left" w:pos="336"/>
        </w:tabs>
        <w:spacing w:after="120"/>
        <w:ind w:left="350" w:hanging="350"/>
        <w:rPr>
          <w:color w:val="000000" w:themeColor="text1"/>
          <w:sz w:val="20"/>
        </w:rPr>
      </w:pPr>
      <w:r w:rsidRPr="00FF754F">
        <w:rPr>
          <w:color w:val="000000" w:themeColor="text1"/>
          <w:sz w:val="20"/>
        </w:rPr>
        <w:t>[</w:t>
      </w:r>
      <w:r w:rsidR="00140681">
        <w:rPr>
          <w:color w:val="000000" w:themeColor="text1"/>
          <w:sz w:val="20"/>
        </w:rPr>
        <w:t>6</w:t>
      </w:r>
      <w:r w:rsidRPr="00FF754F">
        <w:rPr>
          <w:color w:val="000000" w:themeColor="text1"/>
          <w:sz w:val="20"/>
        </w:rPr>
        <w:t>]</w:t>
      </w:r>
      <w:r>
        <w:rPr>
          <w:color w:val="000000" w:themeColor="text1"/>
          <w:sz w:val="20"/>
        </w:rPr>
        <w:tab/>
      </w:r>
      <w:r w:rsidRPr="00FF754F">
        <w:rPr>
          <w:color w:val="000000" w:themeColor="text1"/>
          <w:sz w:val="20"/>
        </w:rPr>
        <w:t>RP-191551 “Preparing for Rel-17”, TSG RAN Chairman, RAN WG Chairmen</w:t>
      </w:r>
    </w:p>
    <w:sectPr w:rsidR="000D03F5" w:rsidRPr="00FF754F">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DD64B" w14:textId="77777777" w:rsidR="0022682A" w:rsidRDefault="0022682A" w:rsidP="00C15BA1">
      <w:r>
        <w:separator/>
      </w:r>
    </w:p>
  </w:endnote>
  <w:endnote w:type="continuationSeparator" w:id="0">
    <w:p w14:paraId="51B847E7" w14:textId="77777777" w:rsidR="0022682A" w:rsidRDefault="0022682A"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69096C">
          <w:rPr>
            <w:rFonts w:ascii="Times New Roman" w:hAnsi="Times New Roman" w:cs="Times New Roman"/>
            <w:noProof/>
            <w:sz w:val="20"/>
          </w:rPr>
          <w:t>3</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7E2A" w14:textId="77777777" w:rsidR="0022682A" w:rsidRDefault="0022682A" w:rsidP="00C15BA1">
      <w:r>
        <w:separator/>
      </w:r>
    </w:p>
  </w:footnote>
  <w:footnote w:type="continuationSeparator" w:id="0">
    <w:p w14:paraId="54A949FD" w14:textId="77777777" w:rsidR="0022682A" w:rsidRDefault="0022682A"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0215"/>
    <w:multiLevelType w:val="hybridMultilevel"/>
    <w:tmpl w:val="1A6E59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A11A64"/>
    <w:multiLevelType w:val="hybridMultilevel"/>
    <w:tmpl w:val="60EA6E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C97F1F"/>
    <w:multiLevelType w:val="hybridMultilevel"/>
    <w:tmpl w:val="4E1E30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E36E16"/>
    <w:multiLevelType w:val="hybridMultilevel"/>
    <w:tmpl w:val="2BDE3700"/>
    <w:lvl w:ilvl="0" w:tplc="C79C67A2">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543E7A"/>
    <w:multiLevelType w:val="hybridMultilevel"/>
    <w:tmpl w:val="4FD617B2"/>
    <w:lvl w:ilvl="0" w:tplc="6F3A7D4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251B03"/>
    <w:multiLevelType w:val="hybridMultilevel"/>
    <w:tmpl w:val="F8FA15B2"/>
    <w:lvl w:ilvl="0" w:tplc="66A433B8">
      <w:start w:val="1"/>
      <w:numFmt w:val="bullet"/>
      <w:lvlText w:val="•"/>
      <w:lvlJc w:val="left"/>
      <w:pPr>
        <w:tabs>
          <w:tab w:val="num" w:pos="720"/>
        </w:tabs>
        <w:ind w:left="720" w:hanging="360"/>
      </w:pPr>
      <w:rPr>
        <w:rFonts w:ascii="Arial" w:hAnsi="Aria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5D7E1530" w:tentative="1">
      <w:start w:val="1"/>
      <w:numFmt w:val="bullet"/>
      <w:lvlText w:val="•"/>
      <w:lvlJc w:val="left"/>
      <w:pPr>
        <w:tabs>
          <w:tab w:val="num" w:pos="2160"/>
        </w:tabs>
        <w:ind w:left="2160" w:hanging="360"/>
      </w:pPr>
      <w:rPr>
        <w:rFonts w:ascii="Arial" w:hAnsi="Arial" w:hint="default"/>
      </w:rPr>
    </w:lvl>
    <w:lvl w:ilvl="3" w:tplc="44EA33E2" w:tentative="1">
      <w:start w:val="1"/>
      <w:numFmt w:val="bullet"/>
      <w:lvlText w:val="•"/>
      <w:lvlJc w:val="left"/>
      <w:pPr>
        <w:tabs>
          <w:tab w:val="num" w:pos="2880"/>
        </w:tabs>
        <w:ind w:left="2880" w:hanging="360"/>
      </w:pPr>
      <w:rPr>
        <w:rFonts w:ascii="Arial" w:hAnsi="Arial" w:hint="default"/>
      </w:rPr>
    </w:lvl>
    <w:lvl w:ilvl="4" w:tplc="ABFEAC80" w:tentative="1">
      <w:start w:val="1"/>
      <w:numFmt w:val="bullet"/>
      <w:lvlText w:val="•"/>
      <w:lvlJc w:val="left"/>
      <w:pPr>
        <w:tabs>
          <w:tab w:val="num" w:pos="3600"/>
        </w:tabs>
        <w:ind w:left="3600" w:hanging="360"/>
      </w:pPr>
      <w:rPr>
        <w:rFonts w:ascii="Arial" w:hAnsi="Arial" w:hint="default"/>
      </w:rPr>
    </w:lvl>
    <w:lvl w:ilvl="5" w:tplc="2B500976" w:tentative="1">
      <w:start w:val="1"/>
      <w:numFmt w:val="bullet"/>
      <w:lvlText w:val="•"/>
      <w:lvlJc w:val="left"/>
      <w:pPr>
        <w:tabs>
          <w:tab w:val="num" w:pos="4320"/>
        </w:tabs>
        <w:ind w:left="4320" w:hanging="360"/>
      </w:pPr>
      <w:rPr>
        <w:rFonts w:ascii="Arial" w:hAnsi="Arial" w:hint="default"/>
      </w:rPr>
    </w:lvl>
    <w:lvl w:ilvl="6" w:tplc="543623A0" w:tentative="1">
      <w:start w:val="1"/>
      <w:numFmt w:val="bullet"/>
      <w:lvlText w:val="•"/>
      <w:lvlJc w:val="left"/>
      <w:pPr>
        <w:tabs>
          <w:tab w:val="num" w:pos="5040"/>
        </w:tabs>
        <w:ind w:left="5040" w:hanging="360"/>
      </w:pPr>
      <w:rPr>
        <w:rFonts w:ascii="Arial" w:hAnsi="Arial" w:hint="default"/>
      </w:rPr>
    </w:lvl>
    <w:lvl w:ilvl="7" w:tplc="2F3C6634" w:tentative="1">
      <w:start w:val="1"/>
      <w:numFmt w:val="bullet"/>
      <w:lvlText w:val="•"/>
      <w:lvlJc w:val="left"/>
      <w:pPr>
        <w:tabs>
          <w:tab w:val="num" w:pos="5760"/>
        </w:tabs>
        <w:ind w:left="5760" w:hanging="360"/>
      </w:pPr>
      <w:rPr>
        <w:rFonts w:ascii="Arial" w:hAnsi="Arial" w:hint="default"/>
      </w:rPr>
    </w:lvl>
    <w:lvl w:ilvl="8" w:tplc="4B3228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2775B"/>
    <w:multiLevelType w:val="hybridMultilevel"/>
    <w:tmpl w:val="4A4A4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2355B"/>
    <w:multiLevelType w:val="hybridMultilevel"/>
    <w:tmpl w:val="C4E0764E"/>
    <w:lvl w:ilvl="0" w:tplc="AEBE1F08">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33170E1"/>
    <w:multiLevelType w:val="hybridMultilevel"/>
    <w:tmpl w:val="15D8765A"/>
    <w:lvl w:ilvl="0" w:tplc="5202A240">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4A823E0"/>
    <w:multiLevelType w:val="hybridMultilevel"/>
    <w:tmpl w:val="1C28AB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B5CC0"/>
    <w:multiLevelType w:val="hybridMultilevel"/>
    <w:tmpl w:val="8946B0DE"/>
    <w:lvl w:ilvl="0" w:tplc="9C3076D0">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F844C7F"/>
    <w:multiLevelType w:val="hybridMultilevel"/>
    <w:tmpl w:val="D4881DFC"/>
    <w:lvl w:ilvl="0" w:tplc="0B8AF0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E7EA6"/>
    <w:multiLevelType w:val="hybridMultilevel"/>
    <w:tmpl w:val="8828088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6CC2435"/>
    <w:multiLevelType w:val="hybridMultilevel"/>
    <w:tmpl w:val="8CE0E538"/>
    <w:lvl w:ilvl="0" w:tplc="66A433B8">
      <w:start w:val="1"/>
      <w:numFmt w:val="bullet"/>
      <w:lvlText w:val="•"/>
      <w:lvlJc w:val="left"/>
      <w:pPr>
        <w:tabs>
          <w:tab w:val="num" w:pos="720"/>
        </w:tabs>
        <w:ind w:left="720" w:hanging="360"/>
      </w:pPr>
      <w:rPr>
        <w:rFonts w:ascii="Arial" w:hAnsi="Arial" w:hint="default"/>
      </w:rPr>
    </w:lvl>
    <w:lvl w:ilvl="1" w:tplc="78001BA8">
      <w:start w:val="184"/>
      <w:numFmt w:val="bullet"/>
      <w:lvlText w:val="•"/>
      <w:lvlJc w:val="left"/>
      <w:pPr>
        <w:tabs>
          <w:tab w:val="num" w:pos="1440"/>
        </w:tabs>
        <w:ind w:left="1440" w:hanging="360"/>
      </w:pPr>
      <w:rPr>
        <w:rFonts w:ascii="Arial" w:hAnsi="Arial" w:hint="default"/>
      </w:rPr>
    </w:lvl>
    <w:lvl w:ilvl="2" w:tplc="5D7E1530" w:tentative="1">
      <w:start w:val="1"/>
      <w:numFmt w:val="bullet"/>
      <w:lvlText w:val="•"/>
      <w:lvlJc w:val="left"/>
      <w:pPr>
        <w:tabs>
          <w:tab w:val="num" w:pos="2160"/>
        </w:tabs>
        <w:ind w:left="2160" w:hanging="360"/>
      </w:pPr>
      <w:rPr>
        <w:rFonts w:ascii="Arial" w:hAnsi="Arial" w:hint="default"/>
      </w:rPr>
    </w:lvl>
    <w:lvl w:ilvl="3" w:tplc="44EA33E2" w:tentative="1">
      <w:start w:val="1"/>
      <w:numFmt w:val="bullet"/>
      <w:lvlText w:val="•"/>
      <w:lvlJc w:val="left"/>
      <w:pPr>
        <w:tabs>
          <w:tab w:val="num" w:pos="2880"/>
        </w:tabs>
        <w:ind w:left="2880" w:hanging="360"/>
      </w:pPr>
      <w:rPr>
        <w:rFonts w:ascii="Arial" w:hAnsi="Arial" w:hint="default"/>
      </w:rPr>
    </w:lvl>
    <w:lvl w:ilvl="4" w:tplc="ABFEAC80" w:tentative="1">
      <w:start w:val="1"/>
      <w:numFmt w:val="bullet"/>
      <w:lvlText w:val="•"/>
      <w:lvlJc w:val="left"/>
      <w:pPr>
        <w:tabs>
          <w:tab w:val="num" w:pos="3600"/>
        </w:tabs>
        <w:ind w:left="3600" w:hanging="360"/>
      </w:pPr>
      <w:rPr>
        <w:rFonts w:ascii="Arial" w:hAnsi="Arial" w:hint="default"/>
      </w:rPr>
    </w:lvl>
    <w:lvl w:ilvl="5" w:tplc="2B500976" w:tentative="1">
      <w:start w:val="1"/>
      <w:numFmt w:val="bullet"/>
      <w:lvlText w:val="•"/>
      <w:lvlJc w:val="left"/>
      <w:pPr>
        <w:tabs>
          <w:tab w:val="num" w:pos="4320"/>
        </w:tabs>
        <w:ind w:left="4320" w:hanging="360"/>
      </w:pPr>
      <w:rPr>
        <w:rFonts w:ascii="Arial" w:hAnsi="Arial" w:hint="default"/>
      </w:rPr>
    </w:lvl>
    <w:lvl w:ilvl="6" w:tplc="543623A0" w:tentative="1">
      <w:start w:val="1"/>
      <w:numFmt w:val="bullet"/>
      <w:lvlText w:val="•"/>
      <w:lvlJc w:val="left"/>
      <w:pPr>
        <w:tabs>
          <w:tab w:val="num" w:pos="5040"/>
        </w:tabs>
        <w:ind w:left="5040" w:hanging="360"/>
      </w:pPr>
      <w:rPr>
        <w:rFonts w:ascii="Arial" w:hAnsi="Arial" w:hint="default"/>
      </w:rPr>
    </w:lvl>
    <w:lvl w:ilvl="7" w:tplc="2F3C6634" w:tentative="1">
      <w:start w:val="1"/>
      <w:numFmt w:val="bullet"/>
      <w:lvlText w:val="•"/>
      <w:lvlJc w:val="left"/>
      <w:pPr>
        <w:tabs>
          <w:tab w:val="num" w:pos="5760"/>
        </w:tabs>
        <w:ind w:left="5760" w:hanging="360"/>
      </w:pPr>
      <w:rPr>
        <w:rFonts w:ascii="Arial" w:hAnsi="Arial" w:hint="default"/>
      </w:rPr>
    </w:lvl>
    <w:lvl w:ilvl="8" w:tplc="4B322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2623F7"/>
    <w:multiLevelType w:val="hybridMultilevel"/>
    <w:tmpl w:val="E14CD57C"/>
    <w:lvl w:ilvl="0" w:tplc="E2B864D6">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7B37D92"/>
    <w:multiLevelType w:val="hybridMultilevel"/>
    <w:tmpl w:val="15C0B310"/>
    <w:lvl w:ilvl="0" w:tplc="0778EA6C">
      <w:start w:val="1"/>
      <w:numFmt w:val="bullet"/>
      <w:lvlText w:val="•"/>
      <w:lvlJc w:val="left"/>
      <w:pPr>
        <w:tabs>
          <w:tab w:val="num" w:pos="720"/>
        </w:tabs>
        <w:ind w:left="720" w:hanging="360"/>
      </w:pPr>
      <w:rPr>
        <w:rFonts w:ascii="Arial" w:hAnsi="Arial" w:hint="default"/>
      </w:rPr>
    </w:lvl>
    <w:lvl w:ilvl="1" w:tplc="C15A3662">
      <w:start w:val="184"/>
      <w:numFmt w:val="bullet"/>
      <w:lvlText w:val="•"/>
      <w:lvlJc w:val="left"/>
      <w:pPr>
        <w:tabs>
          <w:tab w:val="num" w:pos="1440"/>
        </w:tabs>
        <w:ind w:left="1440" w:hanging="360"/>
      </w:pPr>
      <w:rPr>
        <w:rFonts w:ascii="Arial" w:hAnsi="Arial" w:hint="default"/>
      </w:rPr>
    </w:lvl>
    <w:lvl w:ilvl="2" w:tplc="D1623808" w:tentative="1">
      <w:start w:val="1"/>
      <w:numFmt w:val="bullet"/>
      <w:lvlText w:val="•"/>
      <w:lvlJc w:val="left"/>
      <w:pPr>
        <w:tabs>
          <w:tab w:val="num" w:pos="2160"/>
        </w:tabs>
        <w:ind w:left="2160" w:hanging="360"/>
      </w:pPr>
      <w:rPr>
        <w:rFonts w:ascii="Arial" w:hAnsi="Arial" w:hint="default"/>
      </w:rPr>
    </w:lvl>
    <w:lvl w:ilvl="3" w:tplc="050E2D72" w:tentative="1">
      <w:start w:val="1"/>
      <w:numFmt w:val="bullet"/>
      <w:lvlText w:val="•"/>
      <w:lvlJc w:val="left"/>
      <w:pPr>
        <w:tabs>
          <w:tab w:val="num" w:pos="2880"/>
        </w:tabs>
        <w:ind w:left="2880" w:hanging="360"/>
      </w:pPr>
      <w:rPr>
        <w:rFonts w:ascii="Arial" w:hAnsi="Arial" w:hint="default"/>
      </w:rPr>
    </w:lvl>
    <w:lvl w:ilvl="4" w:tplc="DF9CFB26" w:tentative="1">
      <w:start w:val="1"/>
      <w:numFmt w:val="bullet"/>
      <w:lvlText w:val="•"/>
      <w:lvlJc w:val="left"/>
      <w:pPr>
        <w:tabs>
          <w:tab w:val="num" w:pos="3600"/>
        </w:tabs>
        <w:ind w:left="3600" w:hanging="360"/>
      </w:pPr>
      <w:rPr>
        <w:rFonts w:ascii="Arial" w:hAnsi="Arial" w:hint="default"/>
      </w:rPr>
    </w:lvl>
    <w:lvl w:ilvl="5" w:tplc="99FAA090" w:tentative="1">
      <w:start w:val="1"/>
      <w:numFmt w:val="bullet"/>
      <w:lvlText w:val="•"/>
      <w:lvlJc w:val="left"/>
      <w:pPr>
        <w:tabs>
          <w:tab w:val="num" w:pos="4320"/>
        </w:tabs>
        <w:ind w:left="4320" w:hanging="360"/>
      </w:pPr>
      <w:rPr>
        <w:rFonts w:ascii="Arial" w:hAnsi="Arial" w:hint="default"/>
      </w:rPr>
    </w:lvl>
    <w:lvl w:ilvl="6" w:tplc="341EABFE" w:tentative="1">
      <w:start w:val="1"/>
      <w:numFmt w:val="bullet"/>
      <w:lvlText w:val="•"/>
      <w:lvlJc w:val="left"/>
      <w:pPr>
        <w:tabs>
          <w:tab w:val="num" w:pos="5040"/>
        </w:tabs>
        <w:ind w:left="5040" w:hanging="360"/>
      </w:pPr>
      <w:rPr>
        <w:rFonts w:ascii="Arial" w:hAnsi="Arial" w:hint="default"/>
      </w:rPr>
    </w:lvl>
    <w:lvl w:ilvl="7" w:tplc="A080DBE8" w:tentative="1">
      <w:start w:val="1"/>
      <w:numFmt w:val="bullet"/>
      <w:lvlText w:val="•"/>
      <w:lvlJc w:val="left"/>
      <w:pPr>
        <w:tabs>
          <w:tab w:val="num" w:pos="5760"/>
        </w:tabs>
        <w:ind w:left="5760" w:hanging="360"/>
      </w:pPr>
      <w:rPr>
        <w:rFonts w:ascii="Arial" w:hAnsi="Arial" w:hint="default"/>
      </w:rPr>
    </w:lvl>
    <w:lvl w:ilvl="8" w:tplc="0B225C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BE14D8"/>
    <w:multiLevelType w:val="hybridMultilevel"/>
    <w:tmpl w:val="59CC3C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C417E"/>
    <w:multiLevelType w:val="hybridMultilevel"/>
    <w:tmpl w:val="8828088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BC0F5C"/>
    <w:multiLevelType w:val="hybridMultilevel"/>
    <w:tmpl w:val="EBACEE5C"/>
    <w:lvl w:ilvl="0" w:tplc="C79C67A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9493821"/>
    <w:multiLevelType w:val="hybridMultilevel"/>
    <w:tmpl w:val="B98CA83C"/>
    <w:lvl w:ilvl="0" w:tplc="41629F5A">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DD58F8"/>
    <w:multiLevelType w:val="hybridMultilevel"/>
    <w:tmpl w:val="D3866DB8"/>
    <w:lvl w:ilvl="0" w:tplc="C79C67A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9F86CBF"/>
    <w:multiLevelType w:val="hybridMultilevel"/>
    <w:tmpl w:val="41B06CDC"/>
    <w:lvl w:ilvl="0" w:tplc="6AD0307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1734A"/>
    <w:multiLevelType w:val="hybridMultilevel"/>
    <w:tmpl w:val="8828088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E12DE"/>
    <w:multiLevelType w:val="hybridMultilevel"/>
    <w:tmpl w:val="A1C222B6"/>
    <w:lvl w:ilvl="0" w:tplc="C3960D7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30"/>
  </w:num>
  <w:num w:numId="4">
    <w:abstractNumId w:val="8"/>
  </w:num>
  <w:num w:numId="5">
    <w:abstractNumId w:val="25"/>
  </w:num>
  <w:num w:numId="6">
    <w:abstractNumId w:val="1"/>
  </w:num>
  <w:num w:numId="7">
    <w:abstractNumId w:val="15"/>
  </w:num>
  <w:num w:numId="8">
    <w:abstractNumId w:val="22"/>
  </w:num>
  <w:num w:numId="9">
    <w:abstractNumId w:val="18"/>
  </w:num>
  <w:num w:numId="10">
    <w:abstractNumId w:val="11"/>
  </w:num>
  <w:num w:numId="11">
    <w:abstractNumId w:val="32"/>
  </w:num>
  <w:num w:numId="12">
    <w:abstractNumId w:val="9"/>
  </w:num>
  <w:num w:numId="13">
    <w:abstractNumId w:val="14"/>
  </w:num>
  <w:num w:numId="14">
    <w:abstractNumId w:val="12"/>
  </w:num>
  <w:num w:numId="15">
    <w:abstractNumId w:val="37"/>
  </w:num>
  <w:num w:numId="16">
    <w:abstractNumId w:val="13"/>
  </w:num>
  <w:num w:numId="17">
    <w:abstractNumId w:val="28"/>
  </w:num>
  <w:num w:numId="18">
    <w:abstractNumId w:val="10"/>
  </w:num>
  <w:num w:numId="19">
    <w:abstractNumId w:val="5"/>
  </w:num>
  <w:num w:numId="20">
    <w:abstractNumId w:val="23"/>
  </w:num>
  <w:num w:numId="21">
    <w:abstractNumId w:val="4"/>
  </w:num>
  <w:num w:numId="22">
    <w:abstractNumId w:val="31"/>
  </w:num>
  <w:num w:numId="23">
    <w:abstractNumId w:val="34"/>
  </w:num>
  <w:num w:numId="24">
    <w:abstractNumId w:val="33"/>
  </w:num>
  <w:num w:numId="25">
    <w:abstractNumId w:val="19"/>
  </w:num>
  <w:num w:numId="26">
    <w:abstractNumId w:val="35"/>
  </w:num>
  <w:num w:numId="27">
    <w:abstractNumId w:val="38"/>
  </w:num>
  <w:num w:numId="28">
    <w:abstractNumId w:val="21"/>
  </w:num>
  <w:num w:numId="29">
    <w:abstractNumId w:val="24"/>
  </w:num>
  <w:num w:numId="30">
    <w:abstractNumId w:val="6"/>
  </w:num>
  <w:num w:numId="31">
    <w:abstractNumId w:val="27"/>
  </w:num>
  <w:num w:numId="32">
    <w:abstractNumId w:val="29"/>
  </w:num>
  <w:num w:numId="33">
    <w:abstractNumId w:val="36"/>
  </w:num>
  <w:num w:numId="34">
    <w:abstractNumId w:val="20"/>
  </w:num>
  <w:num w:numId="35">
    <w:abstractNumId w:val="16"/>
  </w:num>
  <w:num w:numId="36">
    <w:abstractNumId w:val="3"/>
  </w:num>
  <w:num w:numId="37">
    <w:abstractNumId w:val="0"/>
  </w:num>
  <w:num w:numId="38">
    <w:abstractNumId w:val="2"/>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20899"/>
    <w:rsid w:val="00027D81"/>
    <w:rsid w:val="00032D13"/>
    <w:rsid w:val="0003321D"/>
    <w:rsid w:val="00033679"/>
    <w:rsid w:val="00037BD8"/>
    <w:rsid w:val="00037CDE"/>
    <w:rsid w:val="000400A0"/>
    <w:rsid w:val="00041F7B"/>
    <w:rsid w:val="00042F48"/>
    <w:rsid w:val="0004601B"/>
    <w:rsid w:val="00046F2E"/>
    <w:rsid w:val="00052803"/>
    <w:rsid w:val="00053973"/>
    <w:rsid w:val="00060CCB"/>
    <w:rsid w:val="00065846"/>
    <w:rsid w:val="000874DC"/>
    <w:rsid w:val="00095553"/>
    <w:rsid w:val="00095CFC"/>
    <w:rsid w:val="000A04A3"/>
    <w:rsid w:val="000A6598"/>
    <w:rsid w:val="000C1234"/>
    <w:rsid w:val="000C206B"/>
    <w:rsid w:val="000C7607"/>
    <w:rsid w:val="000D01FD"/>
    <w:rsid w:val="000D03F5"/>
    <w:rsid w:val="000D78C8"/>
    <w:rsid w:val="000E177D"/>
    <w:rsid w:val="000F08BB"/>
    <w:rsid w:val="000F09C2"/>
    <w:rsid w:val="000F0BD9"/>
    <w:rsid w:val="000F18B7"/>
    <w:rsid w:val="000F2B65"/>
    <w:rsid w:val="000F53D8"/>
    <w:rsid w:val="00101901"/>
    <w:rsid w:val="001025BC"/>
    <w:rsid w:val="00117AF6"/>
    <w:rsid w:val="00120019"/>
    <w:rsid w:val="00120580"/>
    <w:rsid w:val="00131220"/>
    <w:rsid w:val="00140681"/>
    <w:rsid w:val="0014716F"/>
    <w:rsid w:val="001607DA"/>
    <w:rsid w:val="00174654"/>
    <w:rsid w:val="001836E1"/>
    <w:rsid w:val="001868F1"/>
    <w:rsid w:val="001923CB"/>
    <w:rsid w:val="0019476C"/>
    <w:rsid w:val="001A1718"/>
    <w:rsid w:val="001A2B8B"/>
    <w:rsid w:val="001A4B51"/>
    <w:rsid w:val="001D0504"/>
    <w:rsid w:val="001D1F7E"/>
    <w:rsid w:val="001D3D53"/>
    <w:rsid w:val="001D4C8E"/>
    <w:rsid w:val="001D6AA5"/>
    <w:rsid w:val="001E413C"/>
    <w:rsid w:val="001E4A0E"/>
    <w:rsid w:val="001E58A6"/>
    <w:rsid w:val="001F26C7"/>
    <w:rsid w:val="00203716"/>
    <w:rsid w:val="00206ECF"/>
    <w:rsid w:val="002111FF"/>
    <w:rsid w:val="0021293C"/>
    <w:rsid w:val="002162B8"/>
    <w:rsid w:val="00216B44"/>
    <w:rsid w:val="00222281"/>
    <w:rsid w:val="00222C18"/>
    <w:rsid w:val="0022682A"/>
    <w:rsid w:val="00231BE1"/>
    <w:rsid w:val="00237C9B"/>
    <w:rsid w:val="002401B4"/>
    <w:rsid w:val="0024589F"/>
    <w:rsid w:val="00246D4C"/>
    <w:rsid w:val="00250D68"/>
    <w:rsid w:val="0025102B"/>
    <w:rsid w:val="0025285D"/>
    <w:rsid w:val="0026247D"/>
    <w:rsid w:val="00265E0C"/>
    <w:rsid w:val="00270EA9"/>
    <w:rsid w:val="00271B54"/>
    <w:rsid w:val="00273964"/>
    <w:rsid w:val="00274756"/>
    <w:rsid w:val="00277431"/>
    <w:rsid w:val="00297698"/>
    <w:rsid w:val="002A4A8E"/>
    <w:rsid w:val="002A4F9C"/>
    <w:rsid w:val="002B61C2"/>
    <w:rsid w:val="002C03C2"/>
    <w:rsid w:val="002D5682"/>
    <w:rsid w:val="002E22A2"/>
    <w:rsid w:val="002F5695"/>
    <w:rsid w:val="00300491"/>
    <w:rsid w:val="003030B8"/>
    <w:rsid w:val="003036C4"/>
    <w:rsid w:val="00307B0C"/>
    <w:rsid w:val="00320196"/>
    <w:rsid w:val="00335DA5"/>
    <w:rsid w:val="00337649"/>
    <w:rsid w:val="00341819"/>
    <w:rsid w:val="00362B41"/>
    <w:rsid w:val="00367361"/>
    <w:rsid w:val="00383817"/>
    <w:rsid w:val="00391304"/>
    <w:rsid w:val="00394F78"/>
    <w:rsid w:val="003A2F86"/>
    <w:rsid w:val="003A5372"/>
    <w:rsid w:val="003B2833"/>
    <w:rsid w:val="003D1B2B"/>
    <w:rsid w:val="003D3FE5"/>
    <w:rsid w:val="003D5831"/>
    <w:rsid w:val="003E010C"/>
    <w:rsid w:val="003E076D"/>
    <w:rsid w:val="003E610F"/>
    <w:rsid w:val="003E6646"/>
    <w:rsid w:val="003F4162"/>
    <w:rsid w:val="003F4A98"/>
    <w:rsid w:val="00405A5B"/>
    <w:rsid w:val="00416BC5"/>
    <w:rsid w:val="0042711C"/>
    <w:rsid w:val="00446146"/>
    <w:rsid w:val="00464909"/>
    <w:rsid w:val="004733A5"/>
    <w:rsid w:val="004737F0"/>
    <w:rsid w:val="00473B28"/>
    <w:rsid w:val="00473E4F"/>
    <w:rsid w:val="00475607"/>
    <w:rsid w:val="004853AA"/>
    <w:rsid w:val="0049088B"/>
    <w:rsid w:val="00495FF8"/>
    <w:rsid w:val="004A0109"/>
    <w:rsid w:val="004A0FE3"/>
    <w:rsid w:val="004A21C0"/>
    <w:rsid w:val="004A24EF"/>
    <w:rsid w:val="004A26CE"/>
    <w:rsid w:val="004A63F5"/>
    <w:rsid w:val="004A64CF"/>
    <w:rsid w:val="004B26A6"/>
    <w:rsid w:val="004B48A9"/>
    <w:rsid w:val="004B6811"/>
    <w:rsid w:val="004C470D"/>
    <w:rsid w:val="004C4969"/>
    <w:rsid w:val="004D3E2E"/>
    <w:rsid w:val="004D6E25"/>
    <w:rsid w:val="004D7587"/>
    <w:rsid w:val="004F049D"/>
    <w:rsid w:val="004F4C27"/>
    <w:rsid w:val="0050149C"/>
    <w:rsid w:val="00501533"/>
    <w:rsid w:val="00501C3F"/>
    <w:rsid w:val="00510784"/>
    <w:rsid w:val="005137AD"/>
    <w:rsid w:val="00521A3D"/>
    <w:rsid w:val="00521EF0"/>
    <w:rsid w:val="00540D17"/>
    <w:rsid w:val="00554CC4"/>
    <w:rsid w:val="00566027"/>
    <w:rsid w:val="00571946"/>
    <w:rsid w:val="00571C38"/>
    <w:rsid w:val="00574311"/>
    <w:rsid w:val="00577C73"/>
    <w:rsid w:val="005A22E0"/>
    <w:rsid w:val="005D060A"/>
    <w:rsid w:val="005E08FC"/>
    <w:rsid w:val="005E3E9E"/>
    <w:rsid w:val="00602A0A"/>
    <w:rsid w:val="00603589"/>
    <w:rsid w:val="006109DD"/>
    <w:rsid w:val="006110F0"/>
    <w:rsid w:val="006115F8"/>
    <w:rsid w:val="00621126"/>
    <w:rsid w:val="00622761"/>
    <w:rsid w:val="00630B34"/>
    <w:rsid w:val="0065168F"/>
    <w:rsid w:val="00655F92"/>
    <w:rsid w:val="00664D3A"/>
    <w:rsid w:val="00665319"/>
    <w:rsid w:val="00675FC4"/>
    <w:rsid w:val="0069096C"/>
    <w:rsid w:val="00690B87"/>
    <w:rsid w:val="006912F1"/>
    <w:rsid w:val="00693037"/>
    <w:rsid w:val="00693101"/>
    <w:rsid w:val="00693E96"/>
    <w:rsid w:val="006A1ECB"/>
    <w:rsid w:val="006A2B95"/>
    <w:rsid w:val="006C1BB5"/>
    <w:rsid w:val="006C2A38"/>
    <w:rsid w:val="006C78D3"/>
    <w:rsid w:val="006E03FC"/>
    <w:rsid w:val="006E130C"/>
    <w:rsid w:val="006F5DDB"/>
    <w:rsid w:val="0070322A"/>
    <w:rsid w:val="007051A5"/>
    <w:rsid w:val="0070652B"/>
    <w:rsid w:val="00714633"/>
    <w:rsid w:val="007234CD"/>
    <w:rsid w:val="0072684D"/>
    <w:rsid w:val="00727487"/>
    <w:rsid w:val="007425F1"/>
    <w:rsid w:val="00744008"/>
    <w:rsid w:val="0074662B"/>
    <w:rsid w:val="00753B96"/>
    <w:rsid w:val="00777C69"/>
    <w:rsid w:val="007812EB"/>
    <w:rsid w:val="007939C7"/>
    <w:rsid w:val="007A0AB3"/>
    <w:rsid w:val="007B42CE"/>
    <w:rsid w:val="007D0370"/>
    <w:rsid w:val="007D5A69"/>
    <w:rsid w:val="007D7FA0"/>
    <w:rsid w:val="007E145A"/>
    <w:rsid w:val="007F008D"/>
    <w:rsid w:val="007F245C"/>
    <w:rsid w:val="007F4584"/>
    <w:rsid w:val="007F6EFC"/>
    <w:rsid w:val="00801AF6"/>
    <w:rsid w:val="008021F5"/>
    <w:rsid w:val="008037AC"/>
    <w:rsid w:val="00805A04"/>
    <w:rsid w:val="00815456"/>
    <w:rsid w:val="00815C76"/>
    <w:rsid w:val="00817627"/>
    <w:rsid w:val="0082301E"/>
    <w:rsid w:val="008232B5"/>
    <w:rsid w:val="00823DE1"/>
    <w:rsid w:val="00834101"/>
    <w:rsid w:val="0084041C"/>
    <w:rsid w:val="00842262"/>
    <w:rsid w:val="008447A0"/>
    <w:rsid w:val="00845C5E"/>
    <w:rsid w:val="00851D1E"/>
    <w:rsid w:val="0085741F"/>
    <w:rsid w:val="00861347"/>
    <w:rsid w:val="008614BB"/>
    <w:rsid w:val="0086236E"/>
    <w:rsid w:val="008645D9"/>
    <w:rsid w:val="0086533D"/>
    <w:rsid w:val="0086557D"/>
    <w:rsid w:val="00866F6F"/>
    <w:rsid w:val="008706E5"/>
    <w:rsid w:val="00882612"/>
    <w:rsid w:val="00895823"/>
    <w:rsid w:val="00897310"/>
    <w:rsid w:val="008B11A1"/>
    <w:rsid w:val="008B1DD6"/>
    <w:rsid w:val="008C0DF8"/>
    <w:rsid w:val="008C3297"/>
    <w:rsid w:val="008C3665"/>
    <w:rsid w:val="008D12B7"/>
    <w:rsid w:val="008E58F8"/>
    <w:rsid w:val="008F055B"/>
    <w:rsid w:val="008F78E3"/>
    <w:rsid w:val="0090456D"/>
    <w:rsid w:val="00905F1D"/>
    <w:rsid w:val="009071DE"/>
    <w:rsid w:val="009078B7"/>
    <w:rsid w:val="00920A71"/>
    <w:rsid w:val="00923B78"/>
    <w:rsid w:val="00925716"/>
    <w:rsid w:val="00926026"/>
    <w:rsid w:val="009265B3"/>
    <w:rsid w:val="00943276"/>
    <w:rsid w:val="00944616"/>
    <w:rsid w:val="00950926"/>
    <w:rsid w:val="00951001"/>
    <w:rsid w:val="00956852"/>
    <w:rsid w:val="00970287"/>
    <w:rsid w:val="009741B1"/>
    <w:rsid w:val="00977BC0"/>
    <w:rsid w:val="00983804"/>
    <w:rsid w:val="009910B0"/>
    <w:rsid w:val="00991302"/>
    <w:rsid w:val="00993926"/>
    <w:rsid w:val="009A0E67"/>
    <w:rsid w:val="009C254E"/>
    <w:rsid w:val="009D02AA"/>
    <w:rsid w:val="009E0397"/>
    <w:rsid w:val="009F0CF0"/>
    <w:rsid w:val="00A12BE5"/>
    <w:rsid w:val="00A12C77"/>
    <w:rsid w:val="00A13926"/>
    <w:rsid w:val="00A5130E"/>
    <w:rsid w:val="00A54AD1"/>
    <w:rsid w:val="00A61A9F"/>
    <w:rsid w:val="00A61E42"/>
    <w:rsid w:val="00A65BFE"/>
    <w:rsid w:val="00A702A0"/>
    <w:rsid w:val="00A72734"/>
    <w:rsid w:val="00A74A34"/>
    <w:rsid w:val="00A9388F"/>
    <w:rsid w:val="00A97109"/>
    <w:rsid w:val="00AA2FEC"/>
    <w:rsid w:val="00AB084F"/>
    <w:rsid w:val="00AC2BBF"/>
    <w:rsid w:val="00AC374B"/>
    <w:rsid w:val="00AD1A1B"/>
    <w:rsid w:val="00AE11A5"/>
    <w:rsid w:val="00AF4065"/>
    <w:rsid w:val="00AF5988"/>
    <w:rsid w:val="00AF7CAE"/>
    <w:rsid w:val="00B003B4"/>
    <w:rsid w:val="00B04603"/>
    <w:rsid w:val="00B128D5"/>
    <w:rsid w:val="00B277F1"/>
    <w:rsid w:val="00B31C87"/>
    <w:rsid w:val="00B32FC6"/>
    <w:rsid w:val="00B33902"/>
    <w:rsid w:val="00B33B78"/>
    <w:rsid w:val="00B35A62"/>
    <w:rsid w:val="00B3685F"/>
    <w:rsid w:val="00B376FB"/>
    <w:rsid w:val="00B42524"/>
    <w:rsid w:val="00B42AC0"/>
    <w:rsid w:val="00B46A32"/>
    <w:rsid w:val="00B5095C"/>
    <w:rsid w:val="00B556F4"/>
    <w:rsid w:val="00B6134F"/>
    <w:rsid w:val="00B70F3A"/>
    <w:rsid w:val="00B807B7"/>
    <w:rsid w:val="00B82DFA"/>
    <w:rsid w:val="00B82F41"/>
    <w:rsid w:val="00B83705"/>
    <w:rsid w:val="00B87A40"/>
    <w:rsid w:val="00BA679D"/>
    <w:rsid w:val="00BB1878"/>
    <w:rsid w:val="00BB320E"/>
    <w:rsid w:val="00BB526E"/>
    <w:rsid w:val="00BC0557"/>
    <w:rsid w:val="00BC2F81"/>
    <w:rsid w:val="00BC3D38"/>
    <w:rsid w:val="00BD5301"/>
    <w:rsid w:val="00BD6A0F"/>
    <w:rsid w:val="00BE406A"/>
    <w:rsid w:val="00BE51EF"/>
    <w:rsid w:val="00BE66C3"/>
    <w:rsid w:val="00BF1393"/>
    <w:rsid w:val="00C015E7"/>
    <w:rsid w:val="00C0190E"/>
    <w:rsid w:val="00C01DC8"/>
    <w:rsid w:val="00C15BA1"/>
    <w:rsid w:val="00C209C7"/>
    <w:rsid w:val="00C20C67"/>
    <w:rsid w:val="00C24881"/>
    <w:rsid w:val="00C25C24"/>
    <w:rsid w:val="00C432E7"/>
    <w:rsid w:val="00C439ED"/>
    <w:rsid w:val="00C51EC9"/>
    <w:rsid w:val="00C54CEA"/>
    <w:rsid w:val="00C609AF"/>
    <w:rsid w:val="00C61196"/>
    <w:rsid w:val="00C74E61"/>
    <w:rsid w:val="00C75ABC"/>
    <w:rsid w:val="00C94E60"/>
    <w:rsid w:val="00CB26AA"/>
    <w:rsid w:val="00CB6C2C"/>
    <w:rsid w:val="00CB797F"/>
    <w:rsid w:val="00CC0BF3"/>
    <w:rsid w:val="00CC6B1B"/>
    <w:rsid w:val="00CD7B37"/>
    <w:rsid w:val="00CE5EE5"/>
    <w:rsid w:val="00D07E4A"/>
    <w:rsid w:val="00D16626"/>
    <w:rsid w:val="00D17259"/>
    <w:rsid w:val="00D200E5"/>
    <w:rsid w:val="00D24100"/>
    <w:rsid w:val="00D24510"/>
    <w:rsid w:val="00D2723D"/>
    <w:rsid w:val="00D345A1"/>
    <w:rsid w:val="00D43F89"/>
    <w:rsid w:val="00D46D99"/>
    <w:rsid w:val="00D46F89"/>
    <w:rsid w:val="00D47A88"/>
    <w:rsid w:val="00D47AE2"/>
    <w:rsid w:val="00D52C08"/>
    <w:rsid w:val="00D64A63"/>
    <w:rsid w:val="00D65D3D"/>
    <w:rsid w:val="00D715A7"/>
    <w:rsid w:val="00D721ED"/>
    <w:rsid w:val="00D75B9F"/>
    <w:rsid w:val="00D77585"/>
    <w:rsid w:val="00D8204B"/>
    <w:rsid w:val="00D827A6"/>
    <w:rsid w:val="00D83AF9"/>
    <w:rsid w:val="00D84B82"/>
    <w:rsid w:val="00D851C1"/>
    <w:rsid w:val="00D87498"/>
    <w:rsid w:val="00D9206D"/>
    <w:rsid w:val="00D94A23"/>
    <w:rsid w:val="00D976A6"/>
    <w:rsid w:val="00DA0DAB"/>
    <w:rsid w:val="00DA1B85"/>
    <w:rsid w:val="00DA62E5"/>
    <w:rsid w:val="00DB2D7D"/>
    <w:rsid w:val="00DC44A0"/>
    <w:rsid w:val="00DC6B6D"/>
    <w:rsid w:val="00DE3643"/>
    <w:rsid w:val="00DE4AFE"/>
    <w:rsid w:val="00DE7DF5"/>
    <w:rsid w:val="00DF4049"/>
    <w:rsid w:val="00DF6F70"/>
    <w:rsid w:val="00E00432"/>
    <w:rsid w:val="00E01C14"/>
    <w:rsid w:val="00E023F7"/>
    <w:rsid w:val="00E075E6"/>
    <w:rsid w:val="00E14954"/>
    <w:rsid w:val="00E16F3D"/>
    <w:rsid w:val="00E22E27"/>
    <w:rsid w:val="00E300D6"/>
    <w:rsid w:val="00E3149F"/>
    <w:rsid w:val="00E325FF"/>
    <w:rsid w:val="00E35ACA"/>
    <w:rsid w:val="00E43DDB"/>
    <w:rsid w:val="00E50ADD"/>
    <w:rsid w:val="00E50BF5"/>
    <w:rsid w:val="00E5454D"/>
    <w:rsid w:val="00E5577C"/>
    <w:rsid w:val="00E657D0"/>
    <w:rsid w:val="00E723E4"/>
    <w:rsid w:val="00E73CDD"/>
    <w:rsid w:val="00E9092D"/>
    <w:rsid w:val="00EA404D"/>
    <w:rsid w:val="00EB38A5"/>
    <w:rsid w:val="00EC2033"/>
    <w:rsid w:val="00ED6CA7"/>
    <w:rsid w:val="00EE102D"/>
    <w:rsid w:val="00EF0D19"/>
    <w:rsid w:val="00EF1D70"/>
    <w:rsid w:val="00EF4054"/>
    <w:rsid w:val="00F0605C"/>
    <w:rsid w:val="00F11991"/>
    <w:rsid w:val="00F12598"/>
    <w:rsid w:val="00F12E90"/>
    <w:rsid w:val="00F1678A"/>
    <w:rsid w:val="00F22140"/>
    <w:rsid w:val="00F33CD9"/>
    <w:rsid w:val="00F42048"/>
    <w:rsid w:val="00F567F5"/>
    <w:rsid w:val="00F601C5"/>
    <w:rsid w:val="00F65D3F"/>
    <w:rsid w:val="00F74664"/>
    <w:rsid w:val="00F75459"/>
    <w:rsid w:val="00F759E2"/>
    <w:rsid w:val="00F80654"/>
    <w:rsid w:val="00F86EBF"/>
    <w:rsid w:val="00F87954"/>
    <w:rsid w:val="00F908AE"/>
    <w:rsid w:val="00F9654A"/>
    <w:rsid w:val="00FA08F8"/>
    <w:rsid w:val="00FA1AA1"/>
    <w:rsid w:val="00FA4C21"/>
    <w:rsid w:val="00FA6FCE"/>
    <w:rsid w:val="00FA7EA5"/>
    <w:rsid w:val="00FB5F81"/>
    <w:rsid w:val="00FC18AD"/>
    <w:rsid w:val="00FC3CB5"/>
    <w:rsid w:val="00FC4159"/>
    <w:rsid w:val="00FC45F5"/>
    <w:rsid w:val="00FC5559"/>
    <w:rsid w:val="00FE289A"/>
    <w:rsid w:val="00FF50C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Lista1 Char,?? ?? Char,????? Char,???? Char"/>
    <w:link w:val="ListParagraph"/>
    <w:uiPriority w:val="34"/>
    <w:qFormat/>
    <w:rsid w:val="00FA1AA1"/>
    <w:rPr>
      <w:rFonts w:ascii="Times" w:eastAsia="Batang" w:hAnsi="Times" w:cs="Times New Roman"/>
      <w:sz w:val="20"/>
      <w:szCs w:val="24"/>
      <w:lang w:val="en-GB" w:eastAsia="x-none"/>
    </w:rPr>
  </w:style>
  <w:style w:type="paragraph" w:styleId="BalloonText">
    <w:name w:val="Balloon Text"/>
    <w:basedOn w:val="Normal"/>
    <w:link w:val="BalloonTextChar"/>
    <w:uiPriority w:val="99"/>
    <w:semiHidden/>
    <w:unhideWhenUsed/>
    <w:rsid w:val="00E01C14"/>
    <w:rPr>
      <w:sz w:val="18"/>
      <w:szCs w:val="18"/>
    </w:rPr>
  </w:style>
  <w:style w:type="character" w:customStyle="1" w:styleId="BalloonTextChar">
    <w:name w:val="Balloon Text Char"/>
    <w:basedOn w:val="DefaultParagraphFont"/>
    <w:link w:val="BalloonText"/>
    <w:uiPriority w:val="99"/>
    <w:semiHidden/>
    <w:rsid w:val="00E01C14"/>
    <w:rPr>
      <w:rFonts w:ascii="Arial" w:eastAsia="SimSun" w:hAnsi="Arial" w:cs="Arial"/>
      <w:sz w:val="18"/>
      <w:szCs w:val="18"/>
      <w:lang w:val="en-GB"/>
    </w:rPr>
  </w:style>
  <w:style w:type="character" w:styleId="CommentReference">
    <w:name w:val="annotation reference"/>
    <w:basedOn w:val="DefaultParagraphFont"/>
    <w:uiPriority w:val="99"/>
    <w:semiHidden/>
    <w:unhideWhenUsed/>
    <w:rsid w:val="002D5682"/>
    <w:rPr>
      <w:sz w:val="21"/>
      <w:szCs w:val="21"/>
    </w:rPr>
  </w:style>
  <w:style w:type="paragraph" w:styleId="CommentText">
    <w:name w:val="annotation text"/>
    <w:basedOn w:val="Normal"/>
    <w:link w:val="CommentTextChar"/>
    <w:uiPriority w:val="99"/>
    <w:semiHidden/>
    <w:unhideWhenUsed/>
    <w:rsid w:val="002D5682"/>
    <w:pPr>
      <w:jc w:val="left"/>
    </w:pPr>
  </w:style>
  <w:style w:type="character" w:customStyle="1" w:styleId="CommentTextChar">
    <w:name w:val="Comment Text Char"/>
    <w:basedOn w:val="DefaultParagraphFont"/>
    <w:link w:val="CommentText"/>
    <w:uiPriority w:val="99"/>
    <w:semiHidden/>
    <w:rsid w:val="002D5682"/>
    <w:rPr>
      <w:rFonts w:ascii="Arial" w:eastAsia="SimSun" w:hAnsi="Arial" w:cs="Arial"/>
      <w:sz w:val="21"/>
      <w:szCs w:val="21"/>
      <w:lang w:val="en-GB"/>
    </w:rPr>
  </w:style>
  <w:style w:type="paragraph" w:styleId="CommentSubject">
    <w:name w:val="annotation subject"/>
    <w:basedOn w:val="CommentText"/>
    <w:next w:val="CommentText"/>
    <w:link w:val="CommentSubjectChar"/>
    <w:uiPriority w:val="99"/>
    <w:semiHidden/>
    <w:unhideWhenUsed/>
    <w:rsid w:val="002D5682"/>
    <w:rPr>
      <w:b/>
      <w:bCs/>
    </w:rPr>
  </w:style>
  <w:style w:type="character" w:customStyle="1" w:styleId="CommentSubjectChar">
    <w:name w:val="Comment Subject Char"/>
    <w:basedOn w:val="CommentTextChar"/>
    <w:link w:val="CommentSubject"/>
    <w:uiPriority w:val="99"/>
    <w:semiHidden/>
    <w:rsid w:val="002D5682"/>
    <w:rPr>
      <w:rFonts w:ascii="Arial" w:eastAsia="SimSun" w:hAnsi="Arial" w:cs="Arial"/>
      <w:b/>
      <w:bCs/>
      <w:sz w:val="21"/>
      <w:szCs w:val="21"/>
      <w:lang w:val="en-GB"/>
    </w:rPr>
  </w:style>
  <w:style w:type="paragraph" w:customStyle="1" w:styleId="3GPPAgreements">
    <w:name w:val="3GPP Agreements"/>
    <w:basedOn w:val="Normal"/>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SimSun" w:hAnsi="Times New Roman" w:cs="Times New Roman"/>
      <w:szCs w:val="20"/>
      <w:lang w:val="en-US"/>
    </w:rPr>
  </w:style>
  <w:style w:type="paragraph" w:styleId="Caption">
    <w:name w:val="caption"/>
    <w:basedOn w:val="Normal"/>
    <w:next w:val="Normal"/>
    <w:uiPriority w:val="35"/>
    <w:unhideWhenUsed/>
    <w:qFormat/>
    <w:rsid w:val="00D851C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91526">
      <w:bodyDiv w:val="1"/>
      <w:marLeft w:val="0"/>
      <w:marRight w:val="0"/>
      <w:marTop w:val="0"/>
      <w:marBottom w:val="0"/>
      <w:divBdr>
        <w:top w:val="none" w:sz="0" w:space="0" w:color="auto"/>
        <w:left w:val="none" w:sz="0" w:space="0" w:color="auto"/>
        <w:bottom w:val="none" w:sz="0" w:space="0" w:color="auto"/>
        <w:right w:val="none" w:sz="0" w:space="0" w:color="auto"/>
      </w:divBdr>
      <w:divsChild>
        <w:div w:id="1661226936">
          <w:marLeft w:val="360"/>
          <w:marRight w:val="0"/>
          <w:marTop w:val="200"/>
          <w:marBottom w:val="0"/>
          <w:divBdr>
            <w:top w:val="none" w:sz="0" w:space="0" w:color="auto"/>
            <w:left w:val="none" w:sz="0" w:space="0" w:color="auto"/>
            <w:bottom w:val="none" w:sz="0" w:space="0" w:color="auto"/>
            <w:right w:val="none" w:sz="0" w:space="0" w:color="auto"/>
          </w:divBdr>
        </w:div>
        <w:div w:id="1341617782">
          <w:marLeft w:val="1080"/>
          <w:marRight w:val="0"/>
          <w:marTop w:val="100"/>
          <w:marBottom w:val="0"/>
          <w:divBdr>
            <w:top w:val="none" w:sz="0" w:space="0" w:color="auto"/>
            <w:left w:val="none" w:sz="0" w:space="0" w:color="auto"/>
            <w:bottom w:val="none" w:sz="0" w:space="0" w:color="auto"/>
            <w:right w:val="none" w:sz="0" w:space="0" w:color="auto"/>
          </w:divBdr>
        </w:div>
        <w:div w:id="1631085082">
          <w:marLeft w:val="1080"/>
          <w:marRight w:val="0"/>
          <w:marTop w:val="100"/>
          <w:marBottom w:val="0"/>
          <w:divBdr>
            <w:top w:val="none" w:sz="0" w:space="0" w:color="auto"/>
            <w:left w:val="none" w:sz="0" w:space="0" w:color="auto"/>
            <w:bottom w:val="none" w:sz="0" w:space="0" w:color="auto"/>
            <w:right w:val="none" w:sz="0" w:space="0" w:color="auto"/>
          </w:divBdr>
        </w:div>
        <w:div w:id="1083987459">
          <w:marLeft w:val="1080"/>
          <w:marRight w:val="0"/>
          <w:marTop w:val="100"/>
          <w:marBottom w:val="0"/>
          <w:divBdr>
            <w:top w:val="none" w:sz="0" w:space="0" w:color="auto"/>
            <w:left w:val="none" w:sz="0" w:space="0" w:color="auto"/>
            <w:bottom w:val="none" w:sz="0" w:space="0" w:color="auto"/>
            <w:right w:val="none" w:sz="0" w:space="0" w:color="auto"/>
          </w:divBdr>
        </w:div>
        <w:div w:id="218710795">
          <w:marLeft w:val="1080"/>
          <w:marRight w:val="0"/>
          <w:marTop w:val="100"/>
          <w:marBottom w:val="0"/>
          <w:divBdr>
            <w:top w:val="none" w:sz="0" w:space="0" w:color="auto"/>
            <w:left w:val="none" w:sz="0" w:space="0" w:color="auto"/>
            <w:bottom w:val="none" w:sz="0" w:space="0" w:color="auto"/>
            <w:right w:val="none" w:sz="0" w:space="0" w:color="auto"/>
          </w:divBdr>
        </w:div>
        <w:div w:id="379791231">
          <w:marLeft w:val="360"/>
          <w:marRight w:val="0"/>
          <w:marTop w:val="200"/>
          <w:marBottom w:val="0"/>
          <w:divBdr>
            <w:top w:val="none" w:sz="0" w:space="0" w:color="auto"/>
            <w:left w:val="none" w:sz="0" w:space="0" w:color="auto"/>
            <w:bottom w:val="none" w:sz="0" w:space="0" w:color="auto"/>
            <w:right w:val="none" w:sz="0" w:space="0" w:color="auto"/>
          </w:divBdr>
        </w:div>
        <w:div w:id="701589451">
          <w:marLeft w:val="1080"/>
          <w:marRight w:val="0"/>
          <w:marTop w:val="100"/>
          <w:marBottom w:val="0"/>
          <w:divBdr>
            <w:top w:val="none" w:sz="0" w:space="0" w:color="auto"/>
            <w:left w:val="none" w:sz="0" w:space="0" w:color="auto"/>
            <w:bottom w:val="none" w:sz="0" w:space="0" w:color="auto"/>
            <w:right w:val="none" w:sz="0" w:space="0" w:color="auto"/>
          </w:divBdr>
        </w:div>
        <w:div w:id="1145390444">
          <w:marLeft w:val="1080"/>
          <w:marRight w:val="0"/>
          <w:marTop w:val="100"/>
          <w:marBottom w:val="0"/>
          <w:divBdr>
            <w:top w:val="none" w:sz="0" w:space="0" w:color="auto"/>
            <w:left w:val="none" w:sz="0" w:space="0" w:color="auto"/>
            <w:bottom w:val="none" w:sz="0" w:space="0" w:color="auto"/>
            <w:right w:val="none" w:sz="0" w:space="0" w:color="auto"/>
          </w:divBdr>
        </w:div>
        <w:div w:id="1222403406">
          <w:marLeft w:val="360"/>
          <w:marRight w:val="0"/>
          <w:marTop w:val="200"/>
          <w:marBottom w:val="0"/>
          <w:divBdr>
            <w:top w:val="none" w:sz="0" w:space="0" w:color="auto"/>
            <w:left w:val="none" w:sz="0" w:space="0" w:color="auto"/>
            <w:bottom w:val="none" w:sz="0" w:space="0" w:color="auto"/>
            <w:right w:val="none" w:sz="0" w:space="0" w:color="auto"/>
          </w:divBdr>
        </w:div>
        <w:div w:id="296228043">
          <w:marLeft w:val="1080"/>
          <w:marRight w:val="0"/>
          <w:marTop w:val="100"/>
          <w:marBottom w:val="0"/>
          <w:divBdr>
            <w:top w:val="none" w:sz="0" w:space="0" w:color="auto"/>
            <w:left w:val="none" w:sz="0" w:space="0" w:color="auto"/>
            <w:bottom w:val="none" w:sz="0" w:space="0" w:color="auto"/>
            <w:right w:val="none" w:sz="0" w:space="0" w:color="auto"/>
          </w:divBdr>
        </w:div>
      </w:divsChild>
    </w:div>
    <w:div w:id="1276717684">
      <w:bodyDiv w:val="1"/>
      <w:marLeft w:val="0"/>
      <w:marRight w:val="0"/>
      <w:marTop w:val="0"/>
      <w:marBottom w:val="0"/>
      <w:divBdr>
        <w:top w:val="none" w:sz="0" w:space="0" w:color="auto"/>
        <w:left w:val="none" w:sz="0" w:space="0" w:color="auto"/>
        <w:bottom w:val="none" w:sz="0" w:space="0" w:color="auto"/>
        <w:right w:val="none" w:sz="0" w:space="0" w:color="auto"/>
      </w:divBdr>
    </w:div>
    <w:div w:id="1286935486">
      <w:bodyDiv w:val="1"/>
      <w:marLeft w:val="0"/>
      <w:marRight w:val="0"/>
      <w:marTop w:val="0"/>
      <w:marBottom w:val="0"/>
      <w:divBdr>
        <w:top w:val="none" w:sz="0" w:space="0" w:color="auto"/>
        <w:left w:val="none" w:sz="0" w:space="0" w:color="auto"/>
        <w:bottom w:val="none" w:sz="0" w:space="0" w:color="auto"/>
        <w:right w:val="none" w:sz="0" w:space="0" w:color="auto"/>
      </w:divBdr>
      <w:divsChild>
        <w:div w:id="1427581930">
          <w:marLeft w:val="360"/>
          <w:marRight w:val="0"/>
          <w:marTop w:val="200"/>
          <w:marBottom w:val="0"/>
          <w:divBdr>
            <w:top w:val="none" w:sz="0" w:space="0" w:color="auto"/>
            <w:left w:val="none" w:sz="0" w:space="0" w:color="auto"/>
            <w:bottom w:val="none" w:sz="0" w:space="0" w:color="auto"/>
            <w:right w:val="none" w:sz="0" w:space="0" w:color="auto"/>
          </w:divBdr>
        </w:div>
        <w:div w:id="795559245">
          <w:marLeft w:val="1080"/>
          <w:marRight w:val="0"/>
          <w:marTop w:val="100"/>
          <w:marBottom w:val="0"/>
          <w:divBdr>
            <w:top w:val="none" w:sz="0" w:space="0" w:color="auto"/>
            <w:left w:val="none" w:sz="0" w:space="0" w:color="auto"/>
            <w:bottom w:val="none" w:sz="0" w:space="0" w:color="auto"/>
            <w:right w:val="none" w:sz="0" w:space="0" w:color="auto"/>
          </w:divBdr>
        </w:div>
        <w:div w:id="421991883">
          <w:marLeft w:val="1080"/>
          <w:marRight w:val="0"/>
          <w:marTop w:val="100"/>
          <w:marBottom w:val="0"/>
          <w:divBdr>
            <w:top w:val="none" w:sz="0" w:space="0" w:color="auto"/>
            <w:left w:val="none" w:sz="0" w:space="0" w:color="auto"/>
            <w:bottom w:val="none" w:sz="0" w:space="0" w:color="auto"/>
            <w:right w:val="none" w:sz="0" w:space="0" w:color="auto"/>
          </w:divBdr>
        </w:div>
        <w:div w:id="1860196934">
          <w:marLeft w:val="1080"/>
          <w:marRight w:val="0"/>
          <w:marTop w:val="100"/>
          <w:marBottom w:val="0"/>
          <w:divBdr>
            <w:top w:val="none" w:sz="0" w:space="0" w:color="auto"/>
            <w:left w:val="none" w:sz="0" w:space="0" w:color="auto"/>
            <w:bottom w:val="none" w:sz="0" w:space="0" w:color="auto"/>
            <w:right w:val="none" w:sz="0" w:space="0" w:color="auto"/>
          </w:divBdr>
        </w:div>
        <w:div w:id="1445270595">
          <w:marLeft w:val="1080"/>
          <w:marRight w:val="0"/>
          <w:marTop w:val="100"/>
          <w:marBottom w:val="0"/>
          <w:divBdr>
            <w:top w:val="none" w:sz="0" w:space="0" w:color="auto"/>
            <w:left w:val="none" w:sz="0" w:space="0" w:color="auto"/>
            <w:bottom w:val="none" w:sz="0" w:space="0" w:color="auto"/>
            <w:right w:val="none" w:sz="0" w:space="0" w:color="auto"/>
          </w:divBdr>
        </w:div>
        <w:div w:id="794444302">
          <w:marLeft w:val="1080"/>
          <w:marRight w:val="0"/>
          <w:marTop w:val="100"/>
          <w:marBottom w:val="0"/>
          <w:divBdr>
            <w:top w:val="none" w:sz="0" w:space="0" w:color="auto"/>
            <w:left w:val="none" w:sz="0" w:space="0" w:color="auto"/>
            <w:bottom w:val="none" w:sz="0" w:space="0" w:color="auto"/>
            <w:right w:val="none" w:sz="0" w:space="0" w:color="auto"/>
          </w:divBdr>
        </w:div>
        <w:div w:id="1860198176">
          <w:marLeft w:val="1080"/>
          <w:marRight w:val="0"/>
          <w:marTop w:val="100"/>
          <w:marBottom w:val="0"/>
          <w:divBdr>
            <w:top w:val="none" w:sz="0" w:space="0" w:color="auto"/>
            <w:left w:val="none" w:sz="0" w:space="0" w:color="auto"/>
            <w:bottom w:val="none" w:sz="0" w:space="0" w:color="auto"/>
            <w:right w:val="none" w:sz="0" w:space="0" w:color="auto"/>
          </w:divBdr>
        </w:div>
        <w:div w:id="1486164788">
          <w:marLeft w:val="360"/>
          <w:marRight w:val="0"/>
          <w:marTop w:val="200"/>
          <w:marBottom w:val="0"/>
          <w:divBdr>
            <w:top w:val="none" w:sz="0" w:space="0" w:color="auto"/>
            <w:left w:val="none" w:sz="0" w:space="0" w:color="auto"/>
            <w:bottom w:val="none" w:sz="0" w:space="0" w:color="auto"/>
            <w:right w:val="none" w:sz="0" w:space="0" w:color="auto"/>
          </w:divBdr>
        </w:div>
        <w:div w:id="1288470301">
          <w:marLeft w:val="1080"/>
          <w:marRight w:val="0"/>
          <w:marTop w:val="100"/>
          <w:marBottom w:val="0"/>
          <w:divBdr>
            <w:top w:val="none" w:sz="0" w:space="0" w:color="auto"/>
            <w:left w:val="none" w:sz="0" w:space="0" w:color="auto"/>
            <w:bottom w:val="none" w:sz="0" w:space="0" w:color="auto"/>
            <w:right w:val="none" w:sz="0" w:space="0" w:color="auto"/>
          </w:divBdr>
        </w:div>
        <w:div w:id="13793585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5814-E035-4A6B-963F-23EABBC6C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Discussion on Rel-17 general sidelink enhancement item</vt:lpstr>
    </vt:vector>
  </TitlesOfParts>
  <Company>Guangdong OPPO Mobile Telecom</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Rel-17 general sidelink enhancement item</dc:title>
  <dc:subject/>
  <dc:creator>Kevin Lin</dc:creator>
  <cp:keywords/>
  <dc:description>Final version for submission</dc:description>
  <cp:lastModifiedBy>Kevin Lin</cp:lastModifiedBy>
  <cp:revision>2</cp:revision>
  <dcterms:created xsi:type="dcterms:W3CDTF">2019-12-02T09:47:00Z</dcterms:created>
  <dcterms:modified xsi:type="dcterms:W3CDTF">2019-12-02T09:47:00Z</dcterms:modified>
</cp:coreProperties>
</file>