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A592" w14:textId="6AAAB860" w:rsidR="00BE515E" w:rsidRPr="00BE515E" w:rsidRDefault="00BE515E" w:rsidP="00BE515E">
      <w:pPr>
        <w:ind w:left="1800" w:hanging="1800"/>
        <w:rPr>
          <w:rFonts w:cs="Arial"/>
          <w:b/>
          <w:sz w:val="24"/>
          <w:szCs w:val="24"/>
        </w:rPr>
      </w:pPr>
      <w:r w:rsidRPr="00BE515E">
        <w:rPr>
          <w:rFonts w:cs="Arial"/>
          <w:b/>
          <w:sz w:val="24"/>
          <w:szCs w:val="24"/>
        </w:rPr>
        <w:t>3GPP TSG RAN WG # 85</w:t>
      </w:r>
      <w:r w:rsidRPr="00BE515E">
        <w:rPr>
          <w:rFonts w:cs="Arial"/>
          <w:b/>
          <w:sz w:val="24"/>
          <w:szCs w:val="24"/>
        </w:rPr>
        <w:tab/>
      </w:r>
      <w:r w:rsidRPr="00BE515E">
        <w:rPr>
          <w:rFonts w:cs="Arial"/>
          <w:b/>
          <w:sz w:val="24"/>
          <w:szCs w:val="24"/>
        </w:rPr>
        <w:tab/>
      </w:r>
      <w:r w:rsidRPr="00BE515E">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r w:rsidRPr="00BE515E">
        <w:rPr>
          <w:rFonts w:cs="Arial"/>
          <w:b/>
          <w:sz w:val="24"/>
          <w:szCs w:val="24"/>
        </w:rPr>
        <w:t>RP-19</w:t>
      </w:r>
      <w:r>
        <w:rPr>
          <w:rFonts w:cs="Arial"/>
          <w:b/>
          <w:sz w:val="24"/>
          <w:szCs w:val="24"/>
        </w:rPr>
        <w:t>2115</w:t>
      </w:r>
    </w:p>
    <w:p w14:paraId="228C4B2E" w14:textId="016698B7" w:rsidR="0015319D" w:rsidRDefault="00BE515E" w:rsidP="00BE515E">
      <w:pPr>
        <w:ind w:left="1800" w:hanging="1800"/>
        <w:rPr>
          <w:rFonts w:cs="Arial"/>
          <w:b/>
          <w:sz w:val="24"/>
          <w:szCs w:val="24"/>
        </w:rPr>
      </w:pPr>
      <w:r w:rsidRPr="00BE515E">
        <w:rPr>
          <w:rFonts w:cs="Arial"/>
          <w:b/>
          <w:sz w:val="24"/>
          <w:szCs w:val="24"/>
        </w:rPr>
        <w:t>New</w:t>
      </w:r>
      <w:r>
        <w:rPr>
          <w:rFonts w:cs="Arial"/>
          <w:b/>
          <w:sz w:val="24"/>
          <w:szCs w:val="24"/>
        </w:rPr>
        <w:t>p</w:t>
      </w:r>
      <w:r w:rsidRPr="00BE515E">
        <w:rPr>
          <w:rFonts w:cs="Arial"/>
          <w:b/>
          <w:sz w:val="24"/>
          <w:szCs w:val="24"/>
        </w:rPr>
        <w:t>ort Beach, CA, USA, Sep.16-20, 2019</w:t>
      </w:r>
    </w:p>
    <w:p w14:paraId="6AF9CF9B" w14:textId="77777777" w:rsidR="00BE515E" w:rsidRDefault="00BE515E" w:rsidP="00BE515E">
      <w:pPr>
        <w:ind w:left="1800" w:hanging="1800"/>
        <w:rPr>
          <w:b/>
          <w:sz w:val="24"/>
          <w:szCs w:val="24"/>
        </w:rPr>
      </w:pPr>
    </w:p>
    <w:p w14:paraId="7B2CECD6" w14:textId="55902AF2"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A445AF">
        <w:rPr>
          <w:b/>
          <w:sz w:val="24"/>
          <w:szCs w:val="24"/>
        </w:rPr>
        <w:t>9</w:t>
      </w:r>
      <w:r w:rsidR="00FD6C05">
        <w:rPr>
          <w:b/>
          <w:sz w:val="24"/>
          <w:szCs w:val="24"/>
        </w:rPr>
        <w:t>.</w:t>
      </w:r>
      <w:r w:rsidR="001C5198">
        <w:rPr>
          <w:b/>
          <w:sz w:val="24"/>
          <w:szCs w:val="24"/>
        </w:rPr>
        <w:t>4.11</w:t>
      </w:r>
    </w:p>
    <w:p w14:paraId="0586D8BD" w14:textId="77777777"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14:paraId="21357C0A" w14:textId="5A7D590D"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BE515E" w:rsidRPr="00BE515E">
        <w:rPr>
          <w:b/>
          <w:sz w:val="24"/>
          <w:szCs w:val="24"/>
        </w:rPr>
        <w:t xml:space="preserve">IAB RRM and </w:t>
      </w:r>
      <w:proofErr w:type="spellStart"/>
      <w:r w:rsidR="00BE515E" w:rsidRPr="00BE515E">
        <w:rPr>
          <w:b/>
          <w:sz w:val="24"/>
          <w:szCs w:val="24"/>
        </w:rPr>
        <w:t>Demod</w:t>
      </w:r>
      <w:proofErr w:type="spellEnd"/>
      <w:r w:rsidR="00BE515E" w:rsidRPr="00BE515E">
        <w:rPr>
          <w:b/>
          <w:sz w:val="24"/>
          <w:szCs w:val="24"/>
        </w:rPr>
        <w:t xml:space="preserve"> Requirements for Rel 16</w:t>
      </w:r>
    </w:p>
    <w:p w14:paraId="1BE45A03" w14:textId="77777777" w:rsidR="002D479B" w:rsidRPr="00812560" w:rsidRDefault="0060603E" w:rsidP="0015319D">
      <w:pPr>
        <w:ind w:left="1800" w:hanging="1800"/>
        <w:rPr>
          <w:b/>
          <w:sz w:val="24"/>
          <w:szCs w:val="24"/>
        </w:rPr>
      </w:pPr>
      <w:r w:rsidRPr="00212204">
        <w:rPr>
          <w:b/>
          <w:sz w:val="24"/>
          <w:szCs w:val="24"/>
        </w:rPr>
        <w:t>Document for</w:t>
      </w:r>
      <w:bookmarkStart w:id="1" w:name="DocumentFor"/>
      <w:bookmarkEnd w:id="1"/>
      <w:r w:rsidR="00E67F4E">
        <w:rPr>
          <w:b/>
          <w:sz w:val="24"/>
          <w:szCs w:val="24"/>
        </w:rPr>
        <w:t xml:space="preserve">: </w:t>
      </w:r>
      <w:r w:rsidR="000052FF" w:rsidRPr="00212204">
        <w:rPr>
          <w:b/>
          <w:sz w:val="24"/>
          <w:szCs w:val="24"/>
        </w:rPr>
        <w:t>Discussion/</w:t>
      </w:r>
      <w:r w:rsidRPr="00212204">
        <w:rPr>
          <w:b/>
          <w:sz w:val="24"/>
          <w:szCs w:val="24"/>
        </w:rPr>
        <w:t>Approval</w:t>
      </w:r>
    </w:p>
    <w:p w14:paraId="225DD86B" w14:textId="77777777" w:rsidR="00A64CF7" w:rsidRPr="00A11840" w:rsidRDefault="00A64CF7" w:rsidP="00424124">
      <w:pPr>
        <w:pStyle w:val="NoSpacing"/>
        <w:jc w:val="left"/>
        <w:rPr>
          <w:sz w:val="16"/>
          <w:szCs w:val="16"/>
        </w:rPr>
      </w:pPr>
    </w:p>
    <w:p w14:paraId="0544449C" w14:textId="77777777" w:rsidR="00707D20" w:rsidRPr="00172743" w:rsidRDefault="00424124" w:rsidP="00326FF6">
      <w:pPr>
        <w:pStyle w:val="Heading1"/>
      </w:pPr>
      <w:r w:rsidRPr="00172743">
        <w:t>Introduction</w:t>
      </w:r>
    </w:p>
    <w:p w14:paraId="20F8D5E5" w14:textId="68D72D86" w:rsidR="00492E31" w:rsidRDefault="002122D0" w:rsidP="00492E31">
      <w:pPr>
        <w:pStyle w:val="maintext"/>
        <w:ind w:firstLineChars="0" w:firstLine="0"/>
        <w:rPr>
          <w:rFonts w:ascii="Calibri" w:hAnsi="Calibri"/>
        </w:rPr>
      </w:pPr>
      <w:bookmarkStart w:id="2" w:name="_Hlk7433984"/>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00492E31">
        <w:rPr>
          <w:rFonts w:ascii="Calibri" w:hAnsi="Calibri"/>
        </w:rPr>
        <w:t xml:space="preserve">The specification of RF and RRM </w:t>
      </w:r>
      <w:r w:rsidR="00492E31">
        <w:rPr>
          <w:rFonts w:ascii="Calibri" w:hAnsi="Calibri"/>
        </w:rPr>
        <w:t xml:space="preserve">core </w:t>
      </w:r>
      <w:r w:rsidR="00492E31">
        <w:rPr>
          <w:rFonts w:ascii="Calibri" w:hAnsi="Calibri"/>
        </w:rPr>
        <w:t>requirements for IAB nodes is already captured in the IAB WID [1]:</w:t>
      </w:r>
    </w:p>
    <w:p w14:paraId="05328896" w14:textId="77777777" w:rsidR="00492E31" w:rsidRDefault="00492E31" w:rsidP="00492E31">
      <w:pPr>
        <w:pStyle w:val="ListParagraph"/>
        <w:numPr>
          <w:ilvl w:val="0"/>
          <w:numId w:val="11"/>
        </w:numPr>
        <w:spacing w:after="60"/>
        <w:ind w:left="720"/>
        <w:contextualSpacing w:val="0"/>
        <w:jc w:val="left"/>
      </w:pPr>
      <w:r>
        <w:t>Specification</w:t>
      </w:r>
      <w:r w:rsidRPr="005778F1">
        <w:t xml:space="preserve"> of </w:t>
      </w:r>
      <w:r>
        <w:t>RF and RRM requirements [RAN4-led]:</w:t>
      </w:r>
    </w:p>
    <w:p w14:paraId="7EAEA686" w14:textId="77777777" w:rsidR="00492E31" w:rsidRDefault="00492E31" w:rsidP="00492E31">
      <w:pPr>
        <w:pStyle w:val="ListParagraph"/>
        <w:numPr>
          <w:ilvl w:val="1"/>
          <w:numId w:val="11"/>
        </w:numPr>
        <w:spacing w:after="60"/>
        <w:ind w:left="1440"/>
        <w:contextualSpacing w:val="0"/>
        <w:jc w:val="left"/>
      </w:pPr>
      <w:r w:rsidRPr="009972A4">
        <w:t>D</w:t>
      </w:r>
      <w:r w:rsidRPr="004158B0">
        <w:t>efine RF</w:t>
      </w:r>
      <w:r>
        <w:t xml:space="preserve"> requirements for both backhaul and access links of an IAB-node including requirements for co-existence (e.g. ACLR, ACS). This may include defining a new power class for MT.</w:t>
      </w:r>
    </w:p>
    <w:p w14:paraId="0D376030" w14:textId="77777777" w:rsidR="00492E31" w:rsidRDefault="00492E31" w:rsidP="00492E31">
      <w:pPr>
        <w:pStyle w:val="ListParagraph"/>
        <w:numPr>
          <w:ilvl w:val="1"/>
          <w:numId w:val="11"/>
        </w:numPr>
        <w:spacing w:after="60"/>
        <w:ind w:left="1440"/>
        <w:contextualSpacing w:val="0"/>
        <w:jc w:val="left"/>
      </w:pPr>
      <w:r>
        <w:t>Define RRM core requirements for both backhaul and access links of IAB node.</w:t>
      </w:r>
    </w:p>
    <w:p w14:paraId="2071CE82" w14:textId="77777777" w:rsidR="00492E31" w:rsidRDefault="00492E31" w:rsidP="00492E31">
      <w:pPr>
        <w:pStyle w:val="ListParagraph"/>
        <w:numPr>
          <w:ilvl w:val="1"/>
          <w:numId w:val="11"/>
        </w:numPr>
        <w:spacing w:after="60"/>
        <w:ind w:left="1440"/>
        <w:contextualSpacing w:val="0"/>
        <w:jc w:val="left"/>
      </w:pPr>
      <w:r>
        <w:t>Define latency requirements for switching between communication over parent backhaul link (i.e. MT) and child backhaul/access links (i.e. DU).</w:t>
      </w:r>
    </w:p>
    <w:p w14:paraId="490C0620" w14:textId="77777777" w:rsidR="00492E31" w:rsidRPr="00AC7CE4" w:rsidRDefault="00492E31" w:rsidP="00492E31">
      <w:pPr>
        <w:pStyle w:val="ListParagraph"/>
        <w:numPr>
          <w:ilvl w:val="1"/>
          <w:numId w:val="11"/>
        </w:numPr>
        <w:spacing w:after="60"/>
        <w:ind w:left="1440"/>
        <w:contextualSpacing w:val="0"/>
        <w:jc w:val="left"/>
      </w:pPr>
      <w:r>
        <w:t>Define timing requirements for IAB specific network synchronization.</w:t>
      </w:r>
      <w:r w:rsidRPr="00635386">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0766477A" w14:textId="77777777" w:rsidR="00492E31" w:rsidRDefault="00492E31" w:rsidP="008C5D32">
      <w:pPr>
        <w:pStyle w:val="maintext"/>
        <w:ind w:firstLineChars="0" w:firstLine="0"/>
        <w:rPr>
          <w:rFonts w:ascii="Calibri" w:hAnsi="Calibri"/>
        </w:rPr>
      </w:pPr>
    </w:p>
    <w:p w14:paraId="31515BB8" w14:textId="1D920F6B" w:rsidR="00492E31" w:rsidRDefault="00492E31" w:rsidP="008C5D32">
      <w:pPr>
        <w:pStyle w:val="maintext"/>
        <w:ind w:firstLineChars="0" w:firstLine="0"/>
        <w:rPr>
          <w:rFonts w:ascii="Calibri" w:hAnsi="Calibri"/>
        </w:rPr>
      </w:pPr>
      <w:r>
        <w:rPr>
          <w:rFonts w:ascii="Calibri" w:hAnsi="Calibri"/>
        </w:rPr>
        <w:t>In addition, for the performance part of the WID the following is defined:</w:t>
      </w:r>
    </w:p>
    <w:p w14:paraId="153F4F27" w14:textId="77777777" w:rsidR="00492E31" w:rsidRDefault="00492E31" w:rsidP="00492E31">
      <w:pPr>
        <w:pStyle w:val="ListParagraph"/>
        <w:numPr>
          <w:ilvl w:val="0"/>
          <w:numId w:val="11"/>
        </w:numPr>
        <w:spacing w:after="60"/>
        <w:ind w:left="720"/>
        <w:contextualSpacing w:val="0"/>
        <w:jc w:val="left"/>
      </w:pPr>
      <w:r>
        <w:t>Define RRM performance requirements.</w:t>
      </w:r>
    </w:p>
    <w:p w14:paraId="31CE6F42" w14:textId="5B8BCF06" w:rsidR="00492E31" w:rsidRPr="00492E31" w:rsidRDefault="00492E31" w:rsidP="00AA064B">
      <w:pPr>
        <w:pStyle w:val="ListParagraph"/>
        <w:numPr>
          <w:ilvl w:val="0"/>
          <w:numId w:val="11"/>
        </w:numPr>
        <w:spacing w:after="60"/>
        <w:ind w:left="720"/>
        <w:contextualSpacing w:val="0"/>
        <w:jc w:val="left"/>
        <w:rPr>
          <w:rFonts w:ascii="Calibri" w:hAnsi="Calibri"/>
        </w:rPr>
      </w:pPr>
      <w:r>
        <w:t>Define demodulation performance requirements for both backhaul and access links of an IAB-node. [RAN4]</w:t>
      </w:r>
    </w:p>
    <w:p w14:paraId="5AFC9F8C" w14:textId="77777777" w:rsidR="00492E31" w:rsidRDefault="00492E31" w:rsidP="00492E31">
      <w:pPr>
        <w:spacing w:after="60"/>
        <w:jc w:val="left"/>
        <w:rPr>
          <w:rFonts w:ascii="Calibri" w:hAnsi="Calibri"/>
        </w:rPr>
      </w:pPr>
    </w:p>
    <w:p w14:paraId="23677100" w14:textId="1684BE54" w:rsidR="00492E31" w:rsidRPr="00233D70" w:rsidRDefault="00492E31" w:rsidP="00492E31">
      <w:pPr>
        <w:spacing w:after="60"/>
        <w:jc w:val="left"/>
        <w:rPr>
          <w:rFonts w:ascii="Calibri" w:hAnsi="Calibri"/>
        </w:rPr>
      </w:pPr>
      <w:r w:rsidRPr="00492E31">
        <w:rPr>
          <w:rFonts w:ascii="Calibri" w:hAnsi="Calibri"/>
        </w:rPr>
        <w:t xml:space="preserve">This document provides an overview of the key RRM requirements for IAB nodes as well as the need for </w:t>
      </w:r>
      <w:r w:rsidR="00E56751">
        <w:rPr>
          <w:rFonts w:ascii="Calibri" w:hAnsi="Calibri"/>
        </w:rPr>
        <w:t>d</w:t>
      </w:r>
      <w:r w:rsidRPr="00492E31">
        <w:rPr>
          <w:rFonts w:ascii="Calibri" w:hAnsi="Calibri"/>
        </w:rPr>
        <w:t>emod</w:t>
      </w:r>
      <w:r w:rsidR="00E56751">
        <w:rPr>
          <w:rFonts w:ascii="Calibri" w:hAnsi="Calibri"/>
        </w:rPr>
        <w:t>ulation</w:t>
      </w:r>
      <w:r w:rsidRPr="00492E31">
        <w:rPr>
          <w:rFonts w:ascii="Calibri" w:hAnsi="Calibri"/>
        </w:rPr>
        <w:t xml:space="preserve"> requirements.</w:t>
      </w:r>
    </w:p>
    <w:bookmarkEnd w:id="2"/>
    <w:p w14:paraId="181E1E08" w14:textId="7BE3814E" w:rsidR="00346605" w:rsidRPr="00172743" w:rsidRDefault="00031603" w:rsidP="00326FF6">
      <w:pPr>
        <w:pStyle w:val="Heading1"/>
      </w:pPr>
      <w:r>
        <w:t>IAB R</w:t>
      </w:r>
      <w:r w:rsidR="0034374B">
        <w:t>RM</w:t>
      </w:r>
      <w:r>
        <w:t xml:space="preserve"> Requirements</w:t>
      </w:r>
    </w:p>
    <w:p w14:paraId="6F2D4F43" w14:textId="0D2CD4AE" w:rsidR="006C77B1" w:rsidRDefault="00492E31" w:rsidP="006C77B1">
      <w:pPr>
        <w:rPr>
          <w:rFonts w:ascii="Calibri" w:eastAsia="Malgun Gothic" w:hAnsi="Calibri" w:cs="Batang"/>
          <w:lang w:val="en-GB" w:eastAsia="ko-KR"/>
        </w:rPr>
      </w:pPr>
      <w:r>
        <w:rPr>
          <w:rFonts w:ascii="Calibri" w:eastAsia="Malgun Gothic" w:hAnsi="Calibri" w:cs="Batang"/>
          <w:lang w:val="en-GB" w:eastAsia="ko-KR"/>
        </w:rPr>
        <w:t>One of the key areas of work in RAN1 is to support IAB inter-node discovery and measurement which has to be enhanced compared to the Rel-15 RRM framework design for access UEs due to the half-duplex constraint</w:t>
      </w:r>
      <w:r w:rsidR="006C77B1">
        <w:rPr>
          <w:rFonts w:ascii="Calibri" w:eastAsia="Malgun Gothic" w:hAnsi="Calibri" w:cs="Batang"/>
          <w:lang w:val="en-GB" w:eastAsia="ko-KR"/>
        </w:rPr>
        <w:t>:</w:t>
      </w:r>
    </w:p>
    <w:p w14:paraId="3846A677" w14:textId="13D4A537" w:rsidR="006C77B1" w:rsidRPr="00AF750F" w:rsidRDefault="006C77B1" w:rsidP="00351D22">
      <w:pPr>
        <w:pStyle w:val="ListParagraph"/>
        <w:numPr>
          <w:ilvl w:val="2"/>
          <w:numId w:val="11"/>
        </w:numPr>
        <w:spacing w:beforeLines="60" w:before="144" w:afterLines="60" w:after="144" w:line="254" w:lineRule="auto"/>
        <w:jc w:val="left"/>
        <w:rPr>
          <w:rFonts w:ascii="Calibri" w:hAnsi="Calibr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40DE5DE5" w14:textId="77777777" w:rsidR="00351D22" w:rsidRDefault="00351D22" w:rsidP="000D13BC">
      <w:pPr>
        <w:pStyle w:val="maintext"/>
        <w:ind w:firstLineChars="0" w:firstLine="0"/>
        <w:rPr>
          <w:rFonts w:ascii="Calibri" w:hAnsi="Calibri"/>
        </w:rPr>
      </w:pPr>
    </w:p>
    <w:p w14:paraId="11012CBC" w14:textId="2DC501AB" w:rsidR="000D13BC" w:rsidRDefault="000D13BC" w:rsidP="000D13BC">
      <w:pPr>
        <w:pStyle w:val="maintext"/>
        <w:ind w:firstLineChars="0" w:firstLine="0"/>
        <w:rPr>
          <w:rFonts w:ascii="Calibri" w:hAnsi="Calibri"/>
        </w:rPr>
      </w:pPr>
      <w:r>
        <w:rPr>
          <w:rFonts w:ascii="Calibri" w:hAnsi="Calibri"/>
        </w:rPr>
        <w:t xml:space="preserve">Figure 1 provides an example of SSB </w:t>
      </w:r>
      <w:r w:rsidR="00C0195E">
        <w:rPr>
          <w:rFonts w:ascii="Calibri" w:hAnsi="Calibri"/>
        </w:rPr>
        <w:t>transmission configurations (STC)</w:t>
      </w:r>
      <w:r>
        <w:rPr>
          <w:rFonts w:ascii="Calibri" w:hAnsi="Calibri"/>
        </w:rPr>
        <w:t xml:space="preserve"> between access and two backhaul link hop orders.</w:t>
      </w:r>
      <w:r w:rsidR="00C0195E">
        <w:rPr>
          <w:rFonts w:ascii="Calibri" w:hAnsi="Calibri"/>
        </w:rPr>
        <w:t xml:space="preserve"> </w:t>
      </w:r>
    </w:p>
    <w:p w14:paraId="751DDADF" w14:textId="1B554C1C" w:rsidR="000D13BC" w:rsidRDefault="00A445AF" w:rsidP="00351D22">
      <w:pPr>
        <w:pStyle w:val="maintext"/>
        <w:ind w:firstLineChars="0" w:firstLine="0"/>
        <w:jc w:val="center"/>
        <w:rPr>
          <w:rFonts w:ascii="Calibri" w:hAnsi="Calibri"/>
        </w:rPr>
      </w:pPr>
      <w:r>
        <w:rPr>
          <w:rFonts w:ascii="Calibri" w:hAnsi="Calibri"/>
          <w:noProof/>
          <w:lang w:val="en-US" w:eastAsia="en-US"/>
        </w:rPr>
        <w:lastRenderedPageBreak/>
        <w:drawing>
          <wp:inline distT="0" distB="0" distL="0" distR="0" wp14:anchorId="6DE2E315" wp14:editId="7035C9A1">
            <wp:extent cx="4238046" cy="1399430"/>
            <wp:effectExtent l="0" t="0" r="0" b="0"/>
            <wp:docPr id="3" name="Picture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2792" cy="1490153"/>
                    </a:xfrm>
                    <a:prstGeom prst="rect">
                      <a:avLst/>
                    </a:prstGeom>
                    <a:noFill/>
                    <a:ln>
                      <a:noFill/>
                    </a:ln>
                  </pic:spPr>
                </pic:pic>
              </a:graphicData>
            </a:graphic>
          </wp:inline>
        </w:drawing>
      </w:r>
    </w:p>
    <w:p w14:paraId="15628E28" w14:textId="77777777" w:rsidR="000D13BC" w:rsidRDefault="000D13BC" w:rsidP="000D13B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1: TDM multiplexing of initial access signals between access and backhaul links (same periodicity)</w:t>
      </w:r>
    </w:p>
    <w:p w14:paraId="381933C7" w14:textId="7D865D07" w:rsidR="00C0195E" w:rsidRDefault="00C0195E" w:rsidP="00C0195E">
      <w:pPr>
        <w:pStyle w:val="maintext"/>
        <w:ind w:firstLineChars="0" w:firstLine="0"/>
        <w:rPr>
          <w:rFonts w:ascii="Calibri" w:hAnsi="Calibri"/>
        </w:rPr>
      </w:pPr>
      <w:r>
        <w:rPr>
          <w:rFonts w:ascii="Calibri" w:hAnsi="Calibri"/>
        </w:rPr>
        <w:t>The access synchronization signal transmissions can overlap in time across hop orders since they are intended for UEs and therefore not subject to the half-duplex constrain requirement. However, orthogonal STCs are required for the transmission of the synchronization signal transmissions intended for backhaul link discovery and maintenance with a possibly larger periodicity of transmission and separately configured from the parameters/resources used by access UEs. As a result</w:t>
      </w:r>
      <w:r w:rsidR="00E56751">
        <w:rPr>
          <w:rFonts w:ascii="Calibri" w:hAnsi="Calibri"/>
        </w:rPr>
        <w:t>,</w:t>
      </w:r>
      <w:r>
        <w:rPr>
          <w:rFonts w:ascii="Calibri" w:hAnsi="Calibri"/>
        </w:rPr>
        <w:t xml:space="preserve"> RAN1 agreed to support up to 4 SMTCs for IAB-node MTs, which is optimized for 3 hop orders and additional periodicities than supported by access UEs in Rel-15 (320 and 640 subframes).</w:t>
      </w:r>
    </w:p>
    <w:p w14:paraId="39E420B4" w14:textId="4DD3DB79" w:rsidR="00B73A69" w:rsidRDefault="00351D22" w:rsidP="006F253E">
      <w:pPr>
        <w:pStyle w:val="maintext"/>
        <w:ind w:firstLineChars="0" w:firstLine="0"/>
        <w:rPr>
          <w:rFonts w:ascii="Calibri" w:hAnsi="Calibri"/>
          <w:b/>
        </w:rPr>
      </w:pPr>
      <w:r>
        <w:rPr>
          <w:rFonts w:ascii="Calibri" w:hAnsi="Calibri"/>
          <w:b/>
        </w:rPr>
        <w:t>Observation</w:t>
      </w:r>
      <w:r w:rsidR="00EE48A6">
        <w:rPr>
          <w:rFonts w:ascii="Calibri" w:hAnsi="Calibri"/>
          <w:b/>
        </w:rPr>
        <w:t xml:space="preserve"> </w:t>
      </w:r>
      <w:r w:rsidR="00EA0940">
        <w:rPr>
          <w:rFonts w:ascii="Calibri" w:hAnsi="Calibri"/>
          <w:b/>
        </w:rPr>
        <w:t>1</w:t>
      </w:r>
      <w:r w:rsidR="00EE48A6">
        <w:rPr>
          <w:rFonts w:ascii="Calibri" w:hAnsi="Calibri"/>
          <w:b/>
        </w:rPr>
        <w:t xml:space="preserve">: </w:t>
      </w:r>
      <w:r w:rsidR="001B46AF">
        <w:rPr>
          <w:rFonts w:ascii="Calibri" w:hAnsi="Calibri"/>
          <w:b/>
        </w:rPr>
        <w:t>The starting point for</w:t>
      </w:r>
      <w:r>
        <w:rPr>
          <w:rFonts w:ascii="Calibri" w:hAnsi="Calibri"/>
          <w:b/>
        </w:rPr>
        <w:t xml:space="preserve"> </w:t>
      </w:r>
      <w:r w:rsidR="001B46AF">
        <w:rPr>
          <w:rFonts w:ascii="Calibri" w:hAnsi="Calibri"/>
          <w:b/>
        </w:rPr>
        <w:t xml:space="preserve">the definition of </w:t>
      </w:r>
      <w:r>
        <w:rPr>
          <w:rFonts w:ascii="Calibri" w:hAnsi="Calibri"/>
          <w:b/>
        </w:rPr>
        <w:t>RRM requirements for IAB nodes</w:t>
      </w:r>
      <w:r w:rsidR="00BE240D">
        <w:rPr>
          <w:rFonts w:ascii="Calibri" w:hAnsi="Calibri"/>
          <w:b/>
        </w:rPr>
        <w:t xml:space="preserve"> </w:t>
      </w:r>
      <w:r w:rsidR="001B46AF">
        <w:rPr>
          <w:rFonts w:ascii="Calibri" w:hAnsi="Calibri"/>
          <w:b/>
        </w:rPr>
        <w:t xml:space="preserve">can be those already defined for access UEs, but </w:t>
      </w:r>
      <w:r w:rsidR="00BE240D">
        <w:rPr>
          <w:rFonts w:ascii="Calibri" w:hAnsi="Calibri"/>
          <w:b/>
        </w:rPr>
        <w:t xml:space="preserve">should </w:t>
      </w:r>
      <w:r w:rsidR="001B46AF">
        <w:rPr>
          <w:rFonts w:ascii="Calibri" w:hAnsi="Calibri"/>
          <w:b/>
        </w:rPr>
        <w:t xml:space="preserve">also </w:t>
      </w:r>
      <w:r w:rsidR="00BE240D">
        <w:rPr>
          <w:rFonts w:ascii="Calibri" w:hAnsi="Calibri"/>
          <w:b/>
        </w:rPr>
        <w:t xml:space="preserve">include </w:t>
      </w:r>
      <w:r w:rsidR="000D13BC">
        <w:rPr>
          <w:rFonts w:ascii="Calibri" w:hAnsi="Calibri"/>
          <w:b/>
        </w:rPr>
        <w:t>the additional periodicities defined in Rel-16 (320 and 640 subframes) and up to 4 configured SMTCs at an IAB-node MT.</w:t>
      </w:r>
    </w:p>
    <w:p w14:paraId="7FC75C4C" w14:textId="77777777" w:rsidR="000337FD" w:rsidRPr="006F253E" w:rsidRDefault="000337FD" w:rsidP="006F253E">
      <w:pPr>
        <w:pStyle w:val="maintext"/>
        <w:ind w:firstLineChars="0" w:firstLine="0"/>
        <w:rPr>
          <w:rFonts w:ascii="Calibri" w:hAnsi="Calibri"/>
          <w:b/>
        </w:rPr>
      </w:pPr>
    </w:p>
    <w:p w14:paraId="395B02A8" w14:textId="1F9F2D7D" w:rsidR="000D13BC" w:rsidRPr="00C0195E" w:rsidRDefault="00351D22" w:rsidP="00C0195E">
      <w:pPr>
        <w:pStyle w:val="maintext"/>
        <w:ind w:firstLineChars="0" w:firstLine="0"/>
        <w:rPr>
          <w:rFonts w:ascii="Calibri" w:hAnsi="Calibri"/>
        </w:rPr>
      </w:pPr>
      <w:r>
        <w:rPr>
          <w:rFonts w:ascii="Calibri" w:hAnsi="Calibri"/>
        </w:rPr>
        <w:t>Additionally, f</w:t>
      </w:r>
      <w:r w:rsidR="00C0195E">
        <w:rPr>
          <w:rFonts w:ascii="Calibri" w:hAnsi="Calibri"/>
        </w:rPr>
        <w:t xml:space="preserve">requent transmission of SSBs can result in excessive overhead and result in undesirable scheduling restrictions on the IAB node DU function since data transmissions cannot be scheduled when the IAB node UE function is performing measurements. </w:t>
      </w:r>
      <w:r w:rsidR="000D13BC" w:rsidRPr="00C0195E">
        <w:rPr>
          <w:rFonts w:ascii="Calibri" w:hAnsi="Calibri"/>
        </w:rPr>
        <w:t>During RAN1#94bis</w:t>
      </w:r>
      <w:r w:rsidR="00C0195E">
        <w:rPr>
          <w:rFonts w:ascii="Calibri" w:hAnsi="Calibri"/>
        </w:rPr>
        <w:t>, CSI-RS was studied as an alternative for inter-IAB node discovery and measurement, and the following agreement was made</w:t>
      </w:r>
      <w:r w:rsidR="000D13BC" w:rsidRPr="00C0195E">
        <w:rPr>
          <w:rFonts w:ascii="Calibri" w:hAnsi="Calibri"/>
        </w:rPr>
        <w:t>:</w:t>
      </w:r>
    </w:p>
    <w:p w14:paraId="7381B5B4" w14:textId="77777777" w:rsidR="000D13BC" w:rsidRDefault="000D13BC" w:rsidP="000D13BC">
      <w:pPr>
        <w:numPr>
          <w:ilvl w:val="0"/>
          <w:numId w:val="12"/>
        </w:numPr>
        <w:spacing w:before="0" w:after="0"/>
        <w:jc w:val="left"/>
      </w:pPr>
      <w:r>
        <w:t>CSI-RS can be used for inter-IAB detection in synchronous network</w:t>
      </w:r>
    </w:p>
    <w:p w14:paraId="5224AFF4" w14:textId="77777777" w:rsidR="000D13BC" w:rsidRDefault="000D13BC" w:rsidP="000D13BC">
      <w:pPr>
        <w:numPr>
          <w:ilvl w:val="1"/>
          <w:numId w:val="12"/>
        </w:numPr>
        <w:spacing w:before="0" w:after="0"/>
        <w:jc w:val="left"/>
      </w:pPr>
      <w:r>
        <w:t xml:space="preserve">Extended CSI-RS periodicities can be considered. </w:t>
      </w:r>
    </w:p>
    <w:p w14:paraId="495B2C51" w14:textId="77777777" w:rsidR="005C380B" w:rsidRDefault="005C380B" w:rsidP="000D13BC">
      <w:pPr>
        <w:rPr>
          <w:rFonts w:ascii="Calibri" w:hAnsi="Calibri"/>
        </w:rPr>
      </w:pPr>
    </w:p>
    <w:p w14:paraId="647EFD54" w14:textId="66F11262" w:rsidR="000D13BC" w:rsidRPr="000D13BC" w:rsidRDefault="005C380B" w:rsidP="000D13BC">
      <w:r>
        <w:rPr>
          <w:rFonts w:ascii="Calibri" w:hAnsi="Calibri"/>
        </w:rPr>
        <w:t>As a result, instead of relying on SSB-based RRM, the network may utilize CSI-RS for topology and route management measurements since the CSI-RS can have lower time/frequency resource overhead and can be UE-specifically configured with finer granularity than SSB-based measurements.</w:t>
      </w:r>
    </w:p>
    <w:p w14:paraId="76C9699C" w14:textId="46518900" w:rsidR="00DC61A8" w:rsidRDefault="00351D22" w:rsidP="00DC61A8">
      <w:pPr>
        <w:pStyle w:val="maintext"/>
        <w:ind w:firstLineChars="0" w:firstLine="0"/>
        <w:rPr>
          <w:rFonts w:ascii="Calibri" w:hAnsi="Calibri"/>
          <w:b/>
        </w:rPr>
      </w:pPr>
      <w:r>
        <w:rPr>
          <w:rFonts w:ascii="Calibri" w:hAnsi="Calibri"/>
          <w:b/>
        </w:rPr>
        <w:t xml:space="preserve">Observation </w:t>
      </w:r>
      <w:r w:rsidR="0054154F">
        <w:rPr>
          <w:rFonts w:ascii="Calibri" w:hAnsi="Calibri"/>
          <w:b/>
        </w:rPr>
        <w:t>2</w:t>
      </w:r>
      <w:r w:rsidR="004050F6" w:rsidRPr="0070610B">
        <w:rPr>
          <w:rFonts w:ascii="Calibri" w:hAnsi="Calibri"/>
          <w:b/>
        </w:rPr>
        <w:t xml:space="preserve">: </w:t>
      </w:r>
      <w:r w:rsidR="006961B0">
        <w:rPr>
          <w:rFonts w:ascii="Calibri" w:hAnsi="Calibri"/>
          <w:b/>
        </w:rPr>
        <w:t xml:space="preserve">CSI-RS based RRM measurements for inter IAB-node discovery and measurement </w:t>
      </w:r>
      <w:r>
        <w:rPr>
          <w:rFonts w:ascii="Calibri" w:hAnsi="Calibri"/>
          <w:b/>
        </w:rPr>
        <w:t>can have a significant benefit compared to SSB based RRM measurements</w:t>
      </w:r>
      <w:r w:rsidR="006961B0">
        <w:rPr>
          <w:rFonts w:ascii="Calibri" w:hAnsi="Calibri"/>
          <w:b/>
        </w:rPr>
        <w:t>.</w:t>
      </w:r>
    </w:p>
    <w:p w14:paraId="27E58DAB" w14:textId="77777777" w:rsidR="00C0195E" w:rsidRDefault="00C0195E" w:rsidP="00DC61A8">
      <w:pPr>
        <w:pStyle w:val="maintext"/>
        <w:ind w:firstLineChars="0" w:firstLine="0"/>
        <w:rPr>
          <w:rFonts w:ascii="Calibri" w:hAnsi="Calibri"/>
        </w:rPr>
      </w:pPr>
    </w:p>
    <w:p w14:paraId="01F7C4A6" w14:textId="3E767FAB" w:rsidR="002D5A03" w:rsidRPr="002D5A03" w:rsidRDefault="005C380B" w:rsidP="001B46AF">
      <w:pPr>
        <w:pStyle w:val="maintext"/>
        <w:ind w:firstLineChars="0" w:firstLine="0"/>
        <w:rPr>
          <w:rFonts w:ascii="Calibri" w:hAnsi="Calibri"/>
          <w:lang w:val="en-US"/>
        </w:rPr>
      </w:pPr>
      <w:r>
        <w:rPr>
          <w:rFonts w:ascii="Calibri" w:hAnsi="Calibri"/>
        </w:rPr>
        <w:t>Of course,</w:t>
      </w:r>
      <w:r w:rsidR="00C0195E">
        <w:rPr>
          <w:rFonts w:ascii="Calibri" w:hAnsi="Calibri"/>
        </w:rPr>
        <w:t xml:space="preserve"> certain parameters should be optimized to support IAB deployments, considering the higher capability of IAB node</w:t>
      </w:r>
      <w:r>
        <w:rPr>
          <w:rFonts w:ascii="Calibri" w:hAnsi="Calibri"/>
        </w:rPr>
        <w:t xml:space="preserve"> MT</w:t>
      </w:r>
      <w:r w:rsidR="00C0195E">
        <w:rPr>
          <w:rFonts w:ascii="Calibri" w:hAnsi="Calibri"/>
        </w:rPr>
        <w:t>s compared to UEs and the less strict latency requirements for measurements in Rel-16 which focuses on fixed deployments.</w:t>
      </w:r>
      <w:r>
        <w:rPr>
          <w:rFonts w:ascii="Calibri" w:hAnsi="Calibri"/>
        </w:rPr>
        <w:t xml:space="preserve"> However, it is not acceptable to not define RRM requirements for IAB nodes, since IAB node setup, integration, and topology management are functions which are heavily dependent on backhaul link quality measurements at the Donor CU, which would naturally be based on RRM measurements.</w:t>
      </w:r>
      <w:r w:rsidR="001B46AF">
        <w:rPr>
          <w:rFonts w:ascii="Calibri" w:hAnsi="Calibri"/>
        </w:rPr>
        <w:t xml:space="preserve"> As a result, </w:t>
      </w:r>
      <w:r w:rsidR="00E56751">
        <w:rPr>
          <w:rFonts w:ascii="Calibri" w:hAnsi="Calibri"/>
        </w:rPr>
        <w:t xml:space="preserve">it would be impossible </w:t>
      </w:r>
      <w:r w:rsidR="001B46AF">
        <w:rPr>
          <w:rFonts w:ascii="Calibri" w:hAnsi="Calibri"/>
        </w:rPr>
        <w:t xml:space="preserve">for an operator to </w:t>
      </w:r>
      <w:r w:rsidR="00E56751">
        <w:rPr>
          <w:rFonts w:ascii="Calibri" w:hAnsi="Calibri"/>
        </w:rPr>
        <w:t xml:space="preserve">effectively </w:t>
      </w:r>
      <w:r w:rsidR="001B46AF">
        <w:rPr>
          <w:rFonts w:ascii="Calibri" w:hAnsi="Calibri"/>
        </w:rPr>
        <w:t xml:space="preserve">plan </w:t>
      </w:r>
      <w:proofErr w:type="spellStart"/>
      <w:r w:rsidR="001B46AF">
        <w:rPr>
          <w:rFonts w:ascii="Calibri" w:hAnsi="Calibri"/>
        </w:rPr>
        <w:t>an</w:t>
      </w:r>
      <w:proofErr w:type="spellEnd"/>
      <w:r w:rsidR="001B46AF">
        <w:rPr>
          <w:rFonts w:ascii="Calibri" w:hAnsi="Calibri"/>
        </w:rPr>
        <w:t xml:space="preserve"> I</w:t>
      </w:r>
      <w:r w:rsidR="002D5A03" w:rsidRPr="002D5A03">
        <w:rPr>
          <w:rFonts w:ascii="Calibri" w:hAnsi="Calibri"/>
          <w:lang w:val="en-US"/>
        </w:rPr>
        <w:t xml:space="preserve">AB network </w:t>
      </w:r>
      <w:r w:rsidR="001B46AF">
        <w:rPr>
          <w:rFonts w:ascii="Calibri" w:hAnsi="Calibri"/>
          <w:lang w:val="en-US"/>
        </w:rPr>
        <w:t>deployment</w:t>
      </w:r>
      <w:r w:rsidR="00E56751">
        <w:rPr>
          <w:rFonts w:ascii="Calibri" w:hAnsi="Calibri"/>
          <w:lang w:val="en-US"/>
        </w:rPr>
        <w:t xml:space="preserve">, </w:t>
      </w:r>
      <w:r w:rsidR="001B46AF">
        <w:rPr>
          <w:rFonts w:ascii="Calibri" w:hAnsi="Calibri"/>
          <w:lang w:val="en-US"/>
        </w:rPr>
        <w:t xml:space="preserve">since the performance of a potential topology could not be bounded </w:t>
      </w:r>
      <w:r w:rsidR="001B46AF">
        <w:rPr>
          <w:rFonts w:ascii="Calibri" w:hAnsi="Calibri"/>
          <w:lang w:val="en-US"/>
        </w:rPr>
        <w:t>without</w:t>
      </w:r>
      <w:r w:rsidR="002D5A03" w:rsidRPr="002D5A03">
        <w:rPr>
          <w:rFonts w:ascii="Calibri" w:hAnsi="Calibri"/>
          <w:lang w:val="en-US"/>
        </w:rPr>
        <w:t xml:space="preserve"> minimum RRM</w:t>
      </w:r>
      <w:r w:rsidR="001B46AF">
        <w:rPr>
          <w:rFonts w:ascii="Calibri" w:hAnsi="Calibri"/>
          <w:lang w:val="en-US"/>
        </w:rPr>
        <w:t xml:space="preserve"> performance</w:t>
      </w:r>
      <w:r w:rsidR="002D5A03" w:rsidRPr="002D5A03">
        <w:rPr>
          <w:rFonts w:ascii="Calibri" w:hAnsi="Calibri"/>
          <w:lang w:val="en-US"/>
        </w:rPr>
        <w:t xml:space="preserve"> requirements for the IAB </w:t>
      </w:r>
      <w:proofErr w:type="spellStart"/>
      <w:r w:rsidR="002D5A03" w:rsidRPr="002D5A03">
        <w:rPr>
          <w:rFonts w:ascii="Calibri" w:hAnsi="Calibri"/>
          <w:lang w:val="en-US"/>
        </w:rPr>
        <w:t>MTs.</w:t>
      </w:r>
      <w:proofErr w:type="spellEnd"/>
      <w:r w:rsidR="002D5A03" w:rsidRPr="002D5A03">
        <w:rPr>
          <w:rFonts w:ascii="Calibri" w:hAnsi="Calibri"/>
          <w:lang w:val="en-US"/>
        </w:rPr>
        <w:t xml:space="preserve"> </w:t>
      </w:r>
      <w:r w:rsidR="001B46AF">
        <w:rPr>
          <w:rFonts w:ascii="Calibri" w:hAnsi="Calibri"/>
          <w:lang w:val="en-US"/>
        </w:rPr>
        <w:t xml:space="preserve">In addition, a network deployment may include a mix of IAB node types </w:t>
      </w:r>
      <w:r w:rsidR="00E56751">
        <w:rPr>
          <w:rFonts w:ascii="Calibri" w:hAnsi="Calibri"/>
          <w:lang w:val="en-US"/>
        </w:rPr>
        <w:t>which</w:t>
      </w:r>
      <w:r w:rsidR="001B46AF">
        <w:rPr>
          <w:rFonts w:ascii="Calibri" w:hAnsi="Calibri"/>
          <w:lang w:val="en-US"/>
        </w:rPr>
        <w:t xml:space="preserve"> may even be from different vendors, in this case testing and</w:t>
      </w:r>
      <w:r w:rsidR="001B46AF">
        <w:rPr>
          <w:rFonts w:ascii="Calibri" w:hAnsi="Calibri"/>
        </w:rPr>
        <w:t xml:space="preserve"> </w:t>
      </w:r>
      <w:r w:rsidR="002D5A03" w:rsidRPr="002D5A03">
        <w:rPr>
          <w:rFonts w:ascii="Calibri" w:hAnsi="Calibri"/>
        </w:rPr>
        <w:t xml:space="preserve">inter-operability </w:t>
      </w:r>
      <w:r w:rsidR="001B46AF">
        <w:rPr>
          <w:rFonts w:ascii="Calibri" w:hAnsi="Calibri"/>
        </w:rPr>
        <w:t>is very challenging without</w:t>
      </w:r>
      <w:r w:rsidR="002D5A03" w:rsidRPr="002D5A03">
        <w:rPr>
          <w:rFonts w:ascii="Calibri" w:hAnsi="Calibri"/>
        </w:rPr>
        <w:t xml:space="preserve"> </w:t>
      </w:r>
      <w:r w:rsidR="001B46AF">
        <w:rPr>
          <w:rFonts w:ascii="Calibri" w:hAnsi="Calibri"/>
        </w:rPr>
        <w:t>the definition of</w:t>
      </w:r>
      <w:r w:rsidR="002D5A03" w:rsidRPr="002D5A03">
        <w:rPr>
          <w:rFonts w:ascii="Calibri" w:hAnsi="Calibri"/>
        </w:rPr>
        <w:t xml:space="preserve"> RRM requirements for IAB nodes. </w:t>
      </w:r>
    </w:p>
    <w:p w14:paraId="2B9EEE40" w14:textId="58DB579B" w:rsidR="006961B0" w:rsidRDefault="006961B0" w:rsidP="00DC61A8">
      <w:pPr>
        <w:pStyle w:val="maintext"/>
        <w:ind w:firstLineChars="0" w:firstLine="0"/>
        <w:rPr>
          <w:rFonts w:ascii="Calibri" w:hAnsi="Calibri"/>
          <w:b/>
          <w:lang w:val="en-US"/>
        </w:rPr>
      </w:pPr>
      <w:r>
        <w:rPr>
          <w:rFonts w:ascii="Calibri" w:hAnsi="Calibri"/>
          <w:b/>
          <w:lang w:val="en-US"/>
        </w:rPr>
        <w:t xml:space="preserve">Proposal </w:t>
      </w:r>
      <w:r w:rsidR="001B46AF">
        <w:rPr>
          <w:rFonts w:ascii="Calibri" w:hAnsi="Calibri"/>
          <w:b/>
          <w:lang w:val="en-US"/>
        </w:rPr>
        <w:t>1</w:t>
      </w:r>
      <w:r>
        <w:rPr>
          <w:rFonts w:ascii="Calibri" w:hAnsi="Calibri"/>
          <w:b/>
          <w:lang w:val="en-US"/>
        </w:rPr>
        <w:t xml:space="preserve">: </w:t>
      </w:r>
      <w:r w:rsidR="00492E31">
        <w:rPr>
          <w:rFonts w:ascii="Calibri" w:hAnsi="Calibri"/>
          <w:b/>
          <w:lang w:val="en-US"/>
        </w:rPr>
        <w:t>Core and p</w:t>
      </w:r>
      <w:r w:rsidR="00732146">
        <w:rPr>
          <w:rFonts w:ascii="Calibri" w:hAnsi="Calibri"/>
          <w:b/>
        </w:rPr>
        <w:t>erformance</w:t>
      </w:r>
      <w:r w:rsidR="001B46AF">
        <w:rPr>
          <w:rFonts w:ascii="Calibri" w:hAnsi="Calibri"/>
          <w:b/>
        </w:rPr>
        <w:t xml:space="preserve"> requirements should be defined for both</w:t>
      </w:r>
      <w:r w:rsidR="001B46AF">
        <w:rPr>
          <w:rFonts w:ascii="Calibri" w:hAnsi="Calibri"/>
          <w:b/>
        </w:rPr>
        <w:t xml:space="preserve"> SSB </w:t>
      </w:r>
      <w:r w:rsidR="001B46AF">
        <w:rPr>
          <w:rFonts w:ascii="Calibri" w:hAnsi="Calibri"/>
          <w:b/>
        </w:rPr>
        <w:t xml:space="preserve">and CSI-RS </w:t>
      </w:r>
      <w:r w:rsidR="001B46AF">
        <w:rPr>
          <w:rFonts w:ascii="Calibri" w:hAnsi="Calibri"/>
          <w:b/>
        </w:rPr>
        <w:t>based RRM measurements</w:t>
      </w:r>
      <w:r w:rsidR="001B46AF">
        <w:rPr>
          <w:rFonts w:ascii="Calibri" w:hAnsi="Calibri"/>
          <w:b/>
        </w:rPr>
        <w:t xml:space="preserve"> at the IAB-MT, based on the existing requirements for access UEs</w:t>
      </w:r>
      <w:r w:rsidR="001B46AF">
        <w:rPr>
          <w:rFonts w:ascii="Calibri" w:hAnsi="Calibri"/>
          <w:b/>
        </w:rPr>
        <w:t xml:space="preserve"> </w:t>
      </w:r>
      <w:r w:rsidR="00B20EC5">
        <w:rPr>
          <w:rFonts w:ascii="Calibri" w:hAnsi="Calibri"/>
          <w:b/>
        </w:rPr>
        <w:t>and</w:t>
      </w:r>
      <w:r w:rsidR="001B46AF">
        <w:rPr>
          <w:rFonts w:ascii="Calibri" w:hAnsi="Calibri"/>
          <w:b/>
        </w:rPr>
        <w:t xml:space="preserve"> including</w:t>
      </w:r>
      <w:r w:rsidR="001B46AF">
        <w:rPr>
          <w:rFonts w:ascii="Calibri" w:hAnsi="Calibri"/>
          <w:b/>
        </w:rPr>
        <w:t xml:space="preserve"> the </w:t>
      </w:r>
      <w:r w:rsidR="00B20EC5">
        <w:rPr>
          <w:rFonts w:ascii="Calibri" w:hAnsi="Calibri"/>
          <w:b/>
        </w:rPr>
        <w:t xml:space="preserve">new </w:t>
      </w:r>
      <w:r w:rsidR="001B46AF">
        <w:rPr>
          <w:rFonts w:ascii="Calibri" w:hAnsi="Calibri"/>
          <w:b/>
        </w:rPr>
        <w:t xml:space="preserve">periodicities </w:t>
      </w:r>
      <w:r w:rsidR="00B20EC5">
        <w:rPr>
          <w:rFonts w:ascii="Calibri" w:hAnsi="Calibri"/>
          <w:b/>
        </w:rPr>
        <w:t xml:space="preserve">and additional </w:t>
      </w:r>
      <w:r w:rsidR="001B46AF">
        <w:rPr>
          <w:rFonts w:ascii="Calibri" w:hAnsi="Calibri"/>
          <w:b/>
        </w:rPr>
        <w:t xml:space="preserve">SMTCs </w:t>
      </w:r>
      <w:r w:rsidR="00B20EC5">
        <w:rPr>
          <w:rFonts w:ascii="Calibri" w:hAnsi="Calibri"/>
          <w:b/>
        </w:rPr>
        <w:t>configured for</w:t>
      </w:r>
      <w:r w:rsidR="001B46AF">
        <w:rPr>
          <w:rFonts w:ascii="Calibri" w:hAnsi="Calibri"/>
          <w:b/>
        </w:rPr>
        <w:t xml:space="preserve"> IAB-MT</w:t>
      </w:r>
      <w:r w:rsidR="00B20EC5">
        <w:rPr>
          <w:rFonts w:ascii="Calibri" w:hAnsi="Calibri"/>
          <w:b/>
        </w:rPr>
        <w:t>s.</w:t>
      </w:r>
    </w:p>
    <w:p w14:paraId="29989C21" w14:textId="7C3D642C" w:rsidR="00492E31" w:rsidRPr="00172743" w:rsidRDefault="00492E31" w:rsidP="00492E31">
      <w:pPr>
        <w:pStyle w:val="Heading1"/>
      </w:pPr>
      <w:r>
        <w:lastRenderedPageBreak/>
        <w:t xml:space="preserve">IAB </w:t>
      </w:r>
      <w:proofErr w:type="spellStart"/>
      <w:r>
        <w:t>Demod</w:t>
      </w:r>
      <w:proofErr w:type="spellEnd"/>
      <w:r>
        <w:t xml:space="preserve"> Requirements</w:t>
      </w:r>
    </w:p>
    <w:p w14:paraId="1B98F5D7" w14:textId="18150BF1" w:rsidR="001B46AF" w:rsidRDefault="005C2185" w:rsidP="005C2185">
      <w:pPr>
        <w:pStyle w:val="maintext"/>
        <w:ind w:firstLineChars="0" w:firstLine="0"/>
        <w:rPr>
          <w:rFonts w:ascii="Calibri" w:hAnsi="Calibri"/>
          <w:bCs/>
          <w:lang w:val="en-US"/>
        </w:rPr>
      </w:pPr>
      <w:r>
        <w:rPr>
          <w:rFonts w:ascii="Calibri" w:hAnsi="Calibri"/>
          <w:bCs/>
          <w:lang w:val="en-US"/>
        </w:rPr>
        <w:t>As noted in the introduction, besides RRM requirements, the performance section of the IAB WI also covers the definition of demodulation performance requirements for access and backhaul links. This is a straightforward exercise since the backhaul link is based on the existing Rel-15 signals and channels defined for the access link. As a result, demodulation performance requirements for IAB nodes should at least include the requirements defined in the existing 38.101-4 and 38.104 specifications</w:t>
      </w:r>
      <w:r w:rsidR="00E56751">
        <w:rPr>
          <w:rFonts w:ascii="Calibri" w:hAnsi="Calibri"/>
          <w:bCs/>
          <w:lang w:val="en-US"/>
        </w:rPr>
        <w:t xml:space="preserve"> in the new 38.116 specification for IAB</w:t>
      </w:r>
      <w:r>
        <w:rPr>
          <w:rFonts w:ascii="Calibri" w:hAnsi="Calibri"/>
          <w:bCs/>
          <w:lang w:val="en-US"/>
        </w:rPr>
        <w:t xml:space="preserve"> (e.g.</w:t>
      </w:r>
      <w:r w:rsidRPr="005C2185">
        <w:rPr>
          <w:rFonts w:ascii="Calibri" w:hAnsi="Calibri"/>
          <w:bCs/>
          <w:lang w:val="en-US"/>
        </w:rPr>
        <w:t xml:space="preserve"> PUSCH</w:t>
      </w:r>
      <w:r>
        <w:rPr>
          <w:rFonts w:ascii="Calibri" w:hAnsi="Calibri"/>
          <w:bCs/>
          <w:lang w:val="en-US"/>
        </w:rPr>
        <w:t>/</w:t>
      </w:r>
      <w:r w:rsidRPr="005C2185">
        <w:rPr>
          <w:rFonts w:ascii="Calibri" w:hAnsi="Calibri"/>
          <w:bCs/>
          <w:lang w:val="en-US"/>
        </w:rPr>
        <w:t>PUCCH</w:t>
      </w:r>
      <w:r>
        <w:rPr>
          <w:rFonts w:ascii="Calibri" w:hAnsi="Calibri"/>
          <w:bCs/>
          <w:lang w:val="en-US"/>
        </w:rPr>
        <w:t>/</w:t>
      </w:r>
      <w:r w:rsidRPr="005C2185">
        <w:rPr>
          <w:rFonts w:ascii="Calibri" w:hAnsi="Calibri"/>
          <w:bCs/>
          <w:lang w:val="en-US"/>
        </w:rPr>
        <w:t>PRACH</w:t>
      </w:r>
      <w:r>
        <w:rPr>
          <w:rFonts w:ascii="Calibri" w:hAnsi="Calibri"/>
          <w:bCs/>
          <w:lang w:val="en-US"/>
        </w:rPr>
        <w:t xml:space="preserve"> for the IAB-DU, and </w:t>
      </w:r>
      <w:r w:rsidRPr="005C2185">
        <w:rPr>
          <w:rFonts w:ascii="Calibri" w:hAnsi="Calibri"/>
          <w:bCs/>
          <w:lang w:val="en-US"/>
        </w:rPr>
        <w:t>PDSCH</w:t>
      </w:r>
      <w:r>
        <w:rPr>
          <w:rFonts w:ascii="Calibri" w:hAnsi="Calibri"/>
          <w:bCs/>
          <w:lang w:val="en-US"/>
        </w:rPr>
        <w:t>/</w:t>
      </w:r>
      <w:r w:rsidRPr="005C2185">
        <w:rPr>
          <w:rFonts w:ascii="Calibri" w:hAnsi="Calibri"/>
          <w:bCs/>
          <w:lang w:val="en-US"/>
        </w:rPr>
        <w:t>PDCCH</w:t>
      </w:r>
      <w:r>
        <w:rPr>
          <w:rFonts w:ascii="Calibri" w:hAnsi="Calibri"/>
          <w:bCs/>
          <w:lang w:val="en-US"/>
        </w:rPr>
        <w:t>/</w:t>
      </w:r>
      <w:r w:rsidRPr="005C2185">
        <w:rPr>
          <w:rFonts w:ascii="Calibri" w:hAnsi="Calibri"/>
          <w:bCs/>
          <w:lang w:val="en-US"/>
        </w:rPr>
        <w:t>PBCH</w:t>
      </w:r>
      <w:r>
        <w:rPr>
          <w:rFonts w:ascii="Calibri" w:hAnsi="Calibri"/>
          <w:bCs/>
          <w:lang w:val="en-US"/>
        </w:rPr>
        <w:t xml:space="preserve">/ </w:t>
      </w:r>
      <w:r w:rsidRPr="005C2185">
        <w:rPr>
          <w:rFonts w:ascii="Calibri" w:hAnsi="Calibri"/>
          <w:bCs/>
          <w:lang w:val="en-US"/>
        </w:rPr>
        <w:t xml:space="preserve">CSI </w:t>
      </w:r>
      <w:r>
        <w:rPr>
          <w:rFonts w:ascii="Calibri" w:hAnsi="Calibri"/>
          <w:bCs/>
          <w:lang w:val="en-US"/>
        </w:rPr>
        <w:t>r</w:t>
      </w:r>
      <w:r w:rsidRPr="005C2185">
        <w:rPr>
          <w:rFonts w:ascii="Calibri" w:hAnsi="Calibri"/>
          <w:bCs/>
          <w:lang w:val="en-US"/>
        </w:rPr>
        <w:t xml:space="preserve">eporting </w:t>
      </w:r>
      <w:r>
        <w:rPr>
          <w:rFonts w:ascii="Calibri" w:hAnsi="Calibri"/>
          <w:bCs/>
          <w:lang w:val="en-US"/>
        </w:rPr>
        <w:t>r</w:t>
      </w:r>
      <w:r w:rsidRPr="005C2185">
        <w:rPr>
          <w:rFonts w:ascii="Calibri" w:hAnsi="Calibri"/>
          <w:bCs/>
          <w:lang w:val="en-US"/>
        </w:rPr>
        <w:t>equirements</w:t>
      </w:r>
      <w:r>
        <w:rPr>
          <w:rFonts w:ascii="Calibri" w:hAnsi="Calibri"/>
          <w:bCs/>
          <w:lang w:val="en-US"/>
        </w:rPr>
        <w:t xml:space="preserve"> for the IAB-MT). </w:t>
      </w:r>
    </w:p>
    <w:p w14:paraId="19033F59" w14:textId="0B7E27B7" w:rsidR="005C2185" w:rsidRDefault="005C2185" w:rsidP="005C2185">
      <w:pPr>
        <w:pStyle w:val="maintext"/>
        <w:ind w:firstLineChars="0" w:firstLine="0"/>
        <w:rPr>
          <w:rFonts w:ascii="Calibri" w:hAnsi="Calibri"/>
          <w:bCs/>
          <w:lang w:val="en-US"/>
        </w:rPr>
      </w:pPr>
      <w:r>
        <w:rPr>
          <w:rFonts w:ascii="Calibri" w:hAnsi="Calibri"/>
          <w:bCs/>
          <w:lang w:val="en-US"/>
        </w:rPr>
        <w:t xml:space="preserve">In addition, in RAN1#98, additional TDD configurations </w:t>
      </w:r>
      <w:r w:rsidR="00E56751">
        <w:rPr>
          <w:rFonts w:ascii="Calibri" w:hAnsi="Calibri"/>
          <w:bCs/>
          <w:lang w:val="en-US"/>
        </w:rPr>
        <w:t xml:space="preserve">other </w:t>
      </w:r>
      <w:r>
        <w:rPr>
          <w:rFonts w:ascii="Calibri" w:hAnsi="Calibri"/>
          <w:bCs/>
          <w:lang w:val="en-US"/>
        </w:rPr>
        <w:t xml:space="preserve">than those supported in Rel-15 are introduced for IAB-DUs and IAB-MTs to </w:t>
      </w:r>
      <w:r w:rsidR="00E56751">
        <w:rPr>
          <w:rFonts w:ascii="Calibri" w:hAnsi="Calibri"/>
          <w:bCs/>
          <w:lang w:val="en-US"/>
        </w:rPr>
        <w:t xml:space="preserve">enable </w:t>
      </w:r>
      <w:r>
        <w:rPr>
          <w:rFonts w:ascii="Calibri" w:hAnsi="Calibri"/>
          <w:bCs/>
          <w:lang w:val="en-US"/>
        </w:rPr>
        <w:t>more efficient multiplexing of access and backhaul links:</w:t>
      </w:r>
    </w:p>
    <w:p w14:paraId="0F7D223A" w14:textId="77777777" w:rsidR="005C2185" w:rsidRPr="001D4FD5" w:rsidRDefault="005C2185" w:rsidP="005C2185">
      <w:pPr>
        <w:ind w:left="1440" w:hanging="1440"/>
        <w:rPr>
          <w:lang w:eastAsia="x-none"/>
        </w:rPr>
      </w:pPr>
      <w:r w:rsidRPr="001D4FD5">
        <w:rPr>
          <w:highlight w:val="green"/>
          <w:lang w:eastAsia="x-none"/>
        </w:rPr>
        <w:t>Agreements</w:t>
      </w:r>
      <w:r w:rsidRPr="001D4FD5">
        <w:rPr>
          <w:lang w:eastAsia="x-none"/>
        </w:rPr>
        <w:t>:</w:t>
      </w:r>
    </w:p>
    <w:p w14:paraId="4E96CEA8" w14:textId="77777777" w:rsidR="005C2185" w:rsidRPr="001D4FD5" w:rsidRDefault="005C2185" w:rsidP="005C2185">
      <w:r w:rsidRPr="001D4FD5">
        <w:t>Slot formats with the sequence order UL-Flexible-DL are supported for IAB-node DU resource configurations (F1-AP) and IAB-node MT resource configurations provided in dedicated RRC signaling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14:paraId="0A82D6BB" w14:textId="77777777" w:rsidR="005C2185" w:rsidRPr="001D4FD5" w:rsidRDefault="005C2185" w:rsidP="005C2185">
      <w:pPr>
        <w:pStyle w:val="ListParagraph"/>
        <w:numPr>
          <w:ilvl w:val="0"/>
          <w:numId w:val="15"/>
        </w:numPr>
      </w:pPr>
      <w:r w:rsidRPr="001D4FD5">
        <w:t>FFS: Support of dynamic indication of UL-Flexible-DL</w:t>
      </w:r>
    </w:p>
    <w:p w14:paraId="4453A0D7" w14:textId="574E3FCE" w:rsidR="005C2185" w:rsidRDefault="005C2185" w:rsidP="005C2185">
      <w:pPr>
        <w:pStyle w:val="maintext"/>
        <w:ind w:firstLineChars="0" w:firstLine="0"/>
        <w:rPr>
          <w:rFonts w:ascii="Calibri" w:hAnsi="Calibri"/>
          <w:bCs/>
          <w:lang w:val="en-US"/>
        </w:rPr>
      </w:pPr>
    </w:p>
    <w:p w14:paraId="6FF2AAA8" w14:textId="64FD85DB" w:rsidR="005C2185" w:rsidRDefault="005C2185" w:rsidP="005C2185">
      <w:pPr>
        <w:pStyle w:val="maintext"/>
        <w:ind w:firstLineChars="0" w:firstLine="0"/>
        <w:rPr>
          <w:rFonts w:ascii="Calibri" w:hAnsi="Calibri"/>
          <w:bCs/>
          <w:lang w:val="en-US"/>
        </w:rPr>
      </w:pPr>
      <w:r>
        <w:rPr>
          <w:rFonts w:ascii="Calibri" w:hAnsi="Calibri"/>
          <w:bCs/>
          <w:lang w:val="en-US"/>
        </w:rPr>
        <w:t xml:space="preserve">The same justification for RRM requirements applies to </w:t>
      </w:r>
      <w:proofErr w:type="spellStart"/>
      <w:r>
        <w:rPr>
          <w:rFonts w:ascii="Calibri" w:hAnsi="Calibri"/>
          <w:bCs/>
          <w:lang w:val="en-US"/>
        </w:rPr>
        <w:t>demod</w:t>
      </w:r>
      <w:proofErr w:type="spellEnd"/>
      <w:r>
        <w:rPr>
          <w:rFonts w:ascii="Calibri" w:hAnsi="Calibri"/>
          <w:bCs/>
          <w:lang w:val="en-US"/>
        </w:rPr>
        <w:t xml:space="preserve"> requirements. It is critical for network planning and operation that the backhaul link quality can be tested and ensured </w:t>
      </w:r>
      <w:r w:rsidR="00B74B11">
        <w:rPr>
          <w:rFonts w:ascii="Calibri" w:hAnsi="Calibri"/>
          <w:bCs/>
          <w:lang w:val="en-US"/>
        </w:rPr>
        <w:t xml:space="preserve">using performance requirements in the same manner as done for access links. It should be further discussed in RAN4 whether the requirements should differ from those </w:t>
      </w:r>
      <w:r w:rsidR="00E56751">
        <w:rPr>
          <w:rFonts w:ascii="Calibri" w:hAnsi="Calibri"/>
          <w:bCs/>
          <w:lang w:val="en-US"/>
        </w:rPr>
        <w:t>existing</w:t>
      </w:r>
      <w:bookmarkStart w:id="3" w:name="_GoBack"/>
      <w:bookmarkEnd w:id="3"/>
      <w:r w:rsidR="00B74B11">
        <w:rPr>
          <w:rFonts w:ascii="Calibri" w:hAnsi="Calibri"/>
          <w:bCs/>
          <w:lang w:val="en-US"/>
        </w:rPr>
        <w:t xml:space="preserve"> requirements defined for wired BS nodes and access UEs.</w:t>
      </w:r>
    </w:p>
    <w:p w14:paraId="3B44D87F" w14:textId="1B79217A" w:rsidR="00B74B11" w:rsidRDefault="00B74B11" w:rsidP="00B74B11">
      <w:pPr>
        <w:pStyle w:val="maintext"/>
        <w:ind w:firstLineChars="0" w:firstLine="0"/>
        <w:rPr>
          <w:rFonts w:ascii="Calibri" w:hAnsi="Calibri"/>
          <w:b/>
          <w:lang w:val="en-US"/>
        </w:rPr>
      </w:pPr>
      <w:r>
        <w:rPr>
          <w:rFonts w:ascii="Calibri" w:hAnsi="Calibri"/>
          <w:b/>
          <w:lang w:val="en-US"/>
        </w:rPr>
        <w:t xml:space="preserve">Proposal </w:t>
      </w:r>
      <w:r>
        <w:rPr>
          <w:rFonts w:ascii="Calibri" w:hAnsi="Calibri"/>
          <w:b/>
          <w:lang w:val="en-US"/>
        </w:rPr>
        <w:t>2</w:t>
      </w:r>
      <w:r>
        <w:rPr>
          <w:rFonts w:ascii="Calibri" w:hAnsi="Calibri"/>
          <w:b/>
          <w:lang w:val="en-US"/>
        </w:rPr>
        <w:t xml:space="preserve">: </w:t>
      </w:r>
      <w:r>
        <w:rPr>
          <w:rFonts w:ascii="Calibri" w:hAnsi="Calibri"/>
          <w:b/>
          <w:lang w:val="en-US"/>
        </w:rPr>
        <w:t>P</w:t>
      </w:r>
      <w:r w:rsidRPr="00B74B11">
        <w:rPr>
          <w:rFonts w:ascii="Calibri" w:hAnsi="Calibri"/>
          <w:b/>
          <w:lang w:val="en-US"/>
        </w:rPr>
        <w:t xml:space="preserve">erformance requirements </w:t>
      </w:r>
      <w:r>
        <w:rPr>
          <w:rFonts w:ascii="Calibri" w:hAnsi="Calibri"/>
          <w:b/>
          <w:lang w:val="en-US"/>
        </w:rPr>
        <w:t xml:space="preserve">are defined </w:t>
      </w:r>
      <w:r w:rsidRPr="00B74B11">
        <w:rPr>
          <w:rFonts w:ascii="Calibri" w:hAnsi="Calibri"/>
          <w:b/>
          <w:lang w:val="en-US"/>
        </w:rPr>
        <w:t xml:space="preserve">for </w:t>
      </w:r>
      <w:r>
        <w:rPr>
          <w:rFonts w:ascii="Calibri" w:hAnsi="Calibri"/>
          <w:b/>
          <w:lang w:val="en-US"/>
        </w:rPr>
        <w:t>access and backhaul links of an IAB node, taking existing BS and UE demodulation performance requirements as a starting point</w:t>
      </w:r>
      <w:r w:rsidR="00E56751">
        <w:rPr>
          <w:rFonts w:ascii="Calibri" w:hAnsi="Calibri"/>
          <w:b/>
          <w:lang w:val="en-US"/>
        </w:rPr>
        <w:t xml:space="preserve"> for the IAB-DU and IAB-MT respectively</w:t>
      </w:r>
      <w:r>
        <w:rPr>
          <w:rFonts w:ascii="Calibri" w:hAnsi="Calibri"/>
          <w:b/>
          <w:lang w:val="en-US"/>
        </w:rPr>
        <w:t>, and additionally considering new slot formats defined in Rel-16 for IAB-DUs and IAB-MTs</w:t>
      </w:r>
      <w:r>
        <w:rPr>
          <w:rFonts w:ascii="Calibri" w:hAnsi="Calibri"/>
          <w:b/>
        </w:rPr>
        <w:t>.</w:t>
      </w:r>
    </w:p>
    <w:p w14:paraId="42330B49" w14:textId="77777777" w:rsidR="00B74B11" w:rsidRPr="00492E31" w:rsidRDefault="00B74B11" w:rsidP="005C2185">
      <w:pPr>
        <w:pStyle w:val="maintext"/>
        <w:ind w:firstLineChars="0" w:firstLine="0"/>
        <w:rPr>
          <w:rFonts w:ascii="Calibri" w:hAnsi="Calibri"/>
          <w:bCs/>
          <w:lang w:val="en-US"/>
        </w:rPr>
      </w:pPr>
    </w:p>
    <w:p w14:paraId="6C378926" w14:textId="77777777" w:rsidR="007338D6" w:rsidRPr="00172743" w:rsidRDefault="003A566A" w:rsidP="00326FF6">
      <w:pPr>
        <w:pStyle w:val="Heading1"/>
      </w:pPr>
      <w:r w:rsidRPr="00172743">
        <w:t>Conclusion</w:t>
      </w:r>
    </w:p>
    <w:p w14:paraId="29956B05" w14:textId="29201BDD"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the</w:t>
      </w:r>
      <w:r w:rsidR="000D13BC">
        <w:rPr>
          <w:rFonts w:ascii="Calibri" w:hAnsi="Calibri"/>
        </w:rPr>
        <w:t xml:space="preserve"> RRM</w:t>
      </w:r>
      <w:r>
        <w:rPr>
          <w:rFonts w:ascii="Calibri" w:hAnsi="Calibri"/>
        </w:rPr>
        <w:t xml:space="preserve"> </w:t>
      </w:r>
      <w:r w:rsidR="001B46AF">
        <w:rPr>
          <w:rFonts w:ascii="Calibri" w:hAnsi="Calibri"/>
        </w:rPr>
        <w:t xml:space="preserve">and </w:t>
      </w:r>
      <w:proofErr w:type="spellStart"/>
      <w:r w:rsidR="001B46AF">
        <w:rPr>
          <w:rFonts w:ascii="Calibri" w:hAnsi="Calibri"/>
        </w:rPr>
        <w:t>demod</w:t>
      </w:r>
      <w:proofErr w:type="spellEnd"/>
      <w:r w:rsidR="001B46AF">
        <w:rPr>
          <w:rFonts w:ascii="Calibri" w:hAnsi="Calibri"/>
        </w:rPr>
        <w:t xml:space="preserve"> performance </w:t>
      </w:r>
      <w:r>
        <w:rPr>
          <w:rFonts w:ascii="Calibri" w:hAnsi="Calibri"/>
        </w:rPr>
        <w:t xml:space="preserve">requirements for </w:t>
      </w:r>
      <w:r w:rsidR="000D13BC">
        <w:rPr>
          <w:rFonts w:ascii="Calibri" w:hAnsi="Calibri"/>
        </w:rPr>
        <w:t>IAB</w:t>
      </w:r>
      <w:r w:rsidR="000D1C0F">
        <w:rPr>
          <w:rFonts w:ascii="Calibri" w:hAnsi="Calibri"/>
        </w:rPr>
        <w:t>. The following proposal</w:t>
      </w:r>
      <w:r w:rsidR="008B1418">
        <w:rPr>
          <w:rFonts w:ascii="Calibri" w:hAnsi="Calibri"/>
        </w:rPr>
        <w:t>s</w:t>
      </w:r>
      <w:r w:rsidR="000D1C0F">
        <w:rPr>
          <w:rFonts w:ascii="Calibri" w:hAnsi="Calibri"/>
        </w:rPr>
        <w:t xml:space="preserve"> w</w:t>
      </w:r>
      <w:r w:rsidR="008B1418">
        <w:rPr>
          <w:rFonts w:ascii="Calibri" w:hAnsi="Calibri"/>
        </w:rPr>
        <w:t>ere</w:t>
      </w:r>
      <w:r w:rsidR="000D1C0F">
        <w:rPr>
          <w:rFonts w:ascii="Calibri" w:hAnsi="Calibri"/>
        </w:rPr>
        <w:t xml:space="preserve"> made:</w:t>
      </w:r>
    </w:p>
    <w:p w14:paraId="556BDE37" w14:textId="77777777" w:rsidR="00492E31" w:rsidRDefault="00492E31" w:rsidP="00492E31">
      <w:pPr>
        <w:pStyle w:val="maintext"/>
        <w:ind w:firstLineChars="0" w:firstLine="0"/>
        <w:rPr>
          <w:rFonts w:ascii="Calibri" w:hAnsi="Calibri"/>
          <w:b/>
          <w:lang w:val="en-US"/>
        </w:rPr>
      </w:pPr>
      <w:r>
        <w:rPr>
          <w:rFonts w:ascii="Calibri" w:hAnsi="Calibri"/>
          <w:b/>
          <w:lang w:val="en-US"/>
        </w:rPr>
        <w:t>Proposal 1: Core and p</w:t>
      </w:r>
      <w:r>
        <w:rPr>
          <w:rFonts w:ascii="Calibri" w:hAnsi="Calibri"/>
          <w:b/>
        </w:rPr>
        <w:t>erformance requirements should be defined for both SSB and CSI-RS based RRM measurements at the IAB-MT, based on the existing requirements for access UEs and including the new periodicities and additional SMTCs configured for IAB-MTs.</w:t>
      </w:r>
    </w:p>
    <w:p w14:paraId="2D31FB44" w14:textId="77777777" w:rsidR="00E56751" w:rsidRDefault="00E56751" w:rsidP="00E56751">
      <w:pPr>
        <w:pStyle w:val="maintext"/>
        <w:ind w:firstLineChars="0" w:firstLine="0"/>
        <w:rPr>
          <w:rFonts w:ascii="Calibri" w:hAnsi="Calibri"/>
          <w:b/>
          <w:lang w:val="en-US"/>
        </w:rPr>
      </w:pPr>
      <w:r>
        <w:rPr>
          <w:rFonts w:ascii="Calibri" w:hAnsi="Calibri"/>
          <w:b/>
          <w:lang w:val="en-US"/>
        </w:rPr>
        <w:t>Proposal 2: P</w:t>
      </w:r>
      <w:r w:rsidRPr="00B74B11">
        <w:rPr>
          <w:rFonts w:ascii="Calibri" w:hAnsi="Calibri"/>
          <w:b/>
          <w:lang w:val="en-US"/>
        </w:rPr>
        <w:t xml:space="preserve">erformance requirements </w:t>
      </w:r>
      <w:r>
        <w:rPr>
          <w:rFonts w:ascii="Calibri" w:hAnsi="Calibri"/>
          <w:b/>
          <w:lang w:val="en-US"/>
        </w:rPr>
        <w:t xml:space="preserve">are defined </w:t>
      </w:r>
      <w:r w:rsidRPr="00B74B11">
        <w:rPr>
          <w:rFonts w:ascii="Calibri" w:hAnsi="Calibri"/>
          <w:b/>
          <w:lang w:val="en-US"/>
        </w:rPr>
        <w:t xml:space="preserve">for </w:t>
      </w:r>
      <w:r>
        <w:rPr>
          <w:rFonts w:ascii="Calibri" w:hAnsi="Calibri"/>
          <w:b/>
          <w:lang w:val="en-US"/>
        </w:rPr>
        <w:t>access and backhaul links of an IAB node, taking existing BS and UE demodulation performance requirements as a starting point for the IAB-DU and IAB-MT respectively, and additionally considering new slot formats defined in Rel-16 for IAB-DUs and IAB-MTs</w:t>
      </w:r>
      <w:r>
        <w:rPr>
          <w:rFonts w:ascii="Calibri" w:hAnsi="Calibri"/>
          <w:b/>
        </w:rPr>
        <w:t>.</w:t>
      </w:r>
    </w:p>
    <w:p w14:paraId="2641FA7F" w14:textId="77777777" w:rsidR="00F35911" w:rsidRDefault="00F35911" w:rsidP="00172743">
      <w:pPr>
        <w:spacing w:before="0" w:after="0"/>
        <w:rPr>
          <w:rFonts w:ascii="Calibri" w:hAnsi="Calibri"/>
        </w:rPr>
      </w:pPr>
    </w:p>
    <w:p w14:paraId="4C33A032" w14:textId="77777777" w:rsidR="00FE6C15" w:rsidRPr="0076067D" w:rsidRDefault="00FE6C15" w:rsidP="0076067D">
      <w:pPr>
        <w:pStyle w:val="Heading1"/>
      </w:pPr>
      <w:r>
        <w:t>Reference</w:t>
      </w:r>
    </w:p>
    <w:p w14:paraId="739571A2" w14:textId="461BCFC0" w:rsidR="008D2EE5" w:rsidRPr="003B2E8D" w:rsidRDefault="003B2E8D" w:rsidP="003B2E8D">
      <w:pPr>
        <w:pStyle w:val="2222"/>
        <w:spacing w:after="120" w:line="288" w:lineRule="auto"/>
        <w:ind w:firstLineChars="0" w:firstLine="0"/>
        <w:jc w:val="left"/>
        <w:rPr>
          <w:rFonts w:cs="Times New Roman"/>
          <w:lang w:eastAsia="ko-KR"/>
        </w:rPr>
      </w:pPr>
      <w:r>
        <w:rPr>
          <w:rFonts w:cs="Times New Roman"/>
          <w:lang w:eastAsia="ko-KR"/>
        </w:rPr>
        <w:t>[1] RP-</w:t>
      </w:r>
      <w:r w:rsidR="008C5D32">
        <w:rPr>
          <w:rFonts w:cs="Times New Roman"/>
          <w:lang w:eastAsia="ko-KR"/>
        </w:rPr>
        <w:t>190712,</w:t>
      </w:r>
      <w:r>
        <w:rPr>
          <w:rFonts w:cs="Times New Roman"/>
          <w:lang w:eastAsia="ko-KR"/>
        </w:rPr>
        <w:t xml:space="preserve"> </w:t>
      </w:r>
      <w:r w:rsidR="008C5D32" w:rsidRPr="008C5D32">
        <w:rPr>
          <w:rFonts w:cs="Times New Roman"/>
          <w:lang w:eastAsia="ko-KR"/>
        </w:rPr>
        <w:t>Revised WID: Integrated Access and Backhaul for NR</w:t>
      </w:r>
      <w:r>
        <w:rPr>
          <w:rFonts w:cs="Times New Roman"/>
          <w:lang w:eastAsia="ko-KR"/>
        </w:rPr>
        <w:t>, Qualcomm</w:t>
      </w:r>
    </w:p>
    <w:sectPr w:rsidR="008D2EE5" w:rsidRPr="003B2E8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94E7E" w14:textId="77777777" w:rsidR="00CF228C" w:rsidRDefault="00CF228C" w:rsidP="00424124">
      <w:pPr>
        <w:spacing w:before="0" w:after="0"/>
      </w:pPr>
      <w:r>
        <w:separator/>
      </w:r>
    </w:p>
  </w:endnote>
  <w:endnote w:type="continuationSeparator" w:id="0">
    <w:p w14:paraId="0F0F38EC" w14:textId="77777777" w:rsidR="00CF228C" w:rsidRDefault="00CF228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A52E6" w14:textId="77777777" w:rsidR="00CF228C" w:rsidRDefault="00CF228C" w:rsidP="00424124">
      <w:pPr>
        <w:spacing w:before="0" w:after="0"/>
      </w:pPr>
      <w:r>
        <w:separator/>
      </w:r>
    </w:p>
  </w:footnote>
  <w:footnote w:type="continuationSeparator" w:id="0">
    <w:p w14:paraId="24F0FF5F" w14:textId="77777777" w:rsidR="00CF228C" w:rsidRDefault="00CF228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311ACA"/>
    <w:multiLevelType w:val="hybridMultilevel"/>
    <w:tmpl w:val="D1309562"/>
    <w:lvl w:ilvl="0" w:tplc="635AD17E">
      <w:start w:val="1"/>
      <w:numFmt w:val="bullet"/>
      <w:lvlText w:val="•"/>
      <w:lvlJc w:val="left"/>
      <w:pPr>
        <w:tabs>
          <w:tab w:val="num" w:pos="720"/>
        </w:tabs>
        <w:ind w:left="720" w:hanging="360"/>
      </w:pPr>
      <w:rPr>
        <w:rFonts w:ascii="Arial" w:hAnsi="Arial" w:hint="default"/>
      </w:rPr>
    </w:lvl>
    <w:lvl w:ilvl="1" w:tplc="79342CC0">
      <w:start w:val="32"/>
      <w:numFmt w:val="bullet"/>
      <w:lvlText w:val="•"/>
      <w:lvlJc w:val="left"/>
      <w:pPr>
        <w:tabs>
          <w:tab w:val="num" w:pos="1440"/>
        </w:tabs>
        <w:ind w:left="1440" w:hanging="360"/>
      </w:pPr>
      <w:rPr>
        <w:rFonts w:ascii="Arial" w:hAnsi="Arial" w:hint="default"/>
      </w:rPr>
    </w:lvl>
    <w:lvl w:ilvl="2" w:tplc="19484406" w:tentative="1">
      <w:start w:val="1"/>
      <w:numFmt w:val="bullet"/>
      <w:lvlText w:val="•"/>
      <w:lvlJc w:val="left"/>
      <w:pPr>
        <w:tabs>
          <w:tab w:val="num" w:pos="2160"/>
        </w:tabs>
        <w:ind w:left="2160" w:hanging="360"/>
      </w:pPr>
      <w:rPr>
        <w:rFonts w:ascii="Arial" w:hAnsi="Arial" w:hint="default"/>
      </w:rPr>
    </w:lvl>
    <w:lvl w:ilvl="3" w:tplc="1578E5C0" w:tentative="1">
      <w:start w:val="1"/>
      <w:numFmt w:val="bullet"/>
      <w:lvlText w:val="•"/>
      <w:lvlJc w:val="left"/>
      <w:pPr>
        <w:tabs>
          <w:tab w:val="num" w:pos="2880"/>
        </w:tabs>
        <w:ind w:left="2880" w:hanging="360"/>
      </w:pPr>
      <w:rPr>
        <w:rFonts w:ascii="Arial" w:hAnsi="Arial" w:hint="default"/>
      </w:rPr>
    </w:lvl>
    <w:lvl w:ilvl="4" w:tplc="97D68302" w:tentative="1">
      <w:start w:val="1"/>
      <w:numFmt w:val="bullet"/>
      <w:lvlText w:val="•"/>
      <w:lvlJc w:val="left"/>
      <w:pPr>
        <w:tabs>
          <w:tab w:val="num" w:pos="3600"/>
        </w:tabs>
        <w:ind w:left="3600" w:hanging="360"/>
      </w:pPr>
      <w:rPr>
        <w:rFonts w:ascii="Arial" w:hAnsi="Arial" w:hint="default"/>
      </w:rPr>
    </w:lvl>
    <w:lvl w:ilvl="5" w:tplc="69F8D47C" w:tentative="1">
      <w:start w:val="1"/>
      <w:numFmt w:val="bullet"/>
      <w:lvlText w:val="•"/>
      <w:lvlJc w:val="left"/>
      <w:pPr>
        <w:tabs>
          <w:tab w:val="num" w:pos="4320"/>
        </w:tabs>
        <w:ind w:left="4320" w:hanging="360"/>
      </w:pPr>
      <w:rPr>
        <w:rFonts w:ascii="Arial" w:hAnsi="Arial" w:hint="default"/>
      </w:rPr>
    </w:lvl>
    <w:lvl w:ilvl="6" w:tplc="511E6058" w:tentative="1">
      <w:start w:val="1"/>
      <w:numFmt w:val="bullet"/>
      <w:lvlText w:val="•"/>
      <w:lvlJc w:val="left"/>
      <w:pPr>
        <w:tabs>
          <w:tab w:val="num" w:pos="5040"/>
        </w:tabs>
        <w:ind w:left="5040" w:hanging="360"/>
      </w:pPr>
      <w:rPr>
        <w:rFonts w:ascii="Arial" w:hAnsi="Arial" w:hint="default"/>
      </w:rPr>
    </w:lvl>
    <w:lvl w:ilvl="7" w:tplc="66DA1080" w:tentative="1">
      <w:start w:val="1"/>
      <w:numFmt w:val="bullet"/>
      <w:lvlText w:val="•"/>
      <w:lvlJc w:val="left"/>
      <w:pPr>
        <w:tabs>
          <w:tab w:val="num" w:pos="5760"/>
        </w:tabs>
        <w:ind w:left="5760" w:hanging="360"/>
      </w:pPr>
      <w:rPr>
        <w:rFonts w:ascii="Arial" w:hAnsi="Arial" w:hint="default"/>
      </w:rPr>
    </w:lvl>
    <w:lvl w:ilvl="8" w:tplc="4510D4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53982"/>
    <w:multiLevelType w:val="hybridMultilevel"/>
    <w:tmpl w:val="DC32F844"/>
    <w:lvl w:ilvl="0" w:tplc="FA621F0E">
      <w:start w:val="1"/>
      <w:numFmt w:val="bullet"/>
      <w:lvlText w:val="•"/>
      <w:lvlJc w:val="left"/>
      <w:pPr>
        <w:tabs>
          <w:tab w:val="num" w:pos="720"/>
        </w:tabs>
        <w:ind w:left="720" w:hanging="360"/>
      </w:pPr>
      <w:rPr>
        <w:rFonts w:ascii="Arial" w:hAnsi="Arial" w:hint="default"/>
      </w:rPr>
    </w:lvl>
    <w:lvl w:ilvl="1" w:tplc="B81A457E" w:tentative="1">
      <w:start w:val="1"/>
      <w:numFmt w:val="bullet"/>
      <w:lvlText w:val="•"/>
      <w:lvlJc w:val="left"/>
      <w:pPr>
        <w:tabs>
          <w:tab w:val="num" w:pos="1440"/>
        </w:tabs>
        <w:ind w:left="1440" w:hanging="360"/>
      </w:pPr>
      <w:rPr>
        <w:rFonts w:ascii="Arial" w:hAnsi="Arial" w:hint="default"/>
      </w:rPr>
    </w:lvl>
    <w:lvl w:ilvl="2" w:tplc="5052AD78" w:tentative="1">
      <w:start w:val="1"/>
      <w:numFmt w:val="bullet"/>
      <w:lvlText w:val="•"/>
      <w:lvlJc w:val="left"/>
      <w:pPr>
        <w:tabs>
          <w:tab w:val="num" w:pos="2160"/>
        </w:tabs>
        <w:ind w:left="2160" w:hanging="360"/>
      </w:pPr>
      <w:rPr>
        <w:rFonts w:ascii="Arial" w:hAnsi="Arial" w:hint="default"/>
      </w:rPr>
    </w:lvl>
    <w:lvl w:ilvl="3" w:tplc="62B29AAE" w:tentative="1">
      <w:start w:val="1"/>
      <w:numFmt w:val="bullet"/>
      <w:lvlText w:val="•"/>
      <w:lvlJc w:val="left"/>
      <w:pPr>
        <w:tabs>
          <w:tab w:val="num" w:pos="2880"/>
        </w:tabs>
        <w:ind w:left="2880" w:hanging="360"/>
      </w:pPr>
      <w:rPr>
        <w:rFonts w:ascii="Arial" w:hAnsi="Arial" w:hint="default"/>
      </w:rPr>
    </w:lvl>
    <w:lvl w:ilvl="4" w:tplc="7AE08A64" w:tentative="1">
      <w:start w:val="1"/>
      <w:numFmt w:val="bullet"/>
      <w:lvlText w:val="•"/>
      <w:lvlJc w:val="left"/>
      <w:pPr>
        <w:tabs>
          <w:tab w:val="num" w:pos="3600"/>
        </w:tabs>
        <w:ind w:left="3600" w:hanging="360"/>
      </w:pPr>
      <w:rPr>
        <w:rFonts w:ascii="Arial" w:hAnsi="Arial" w:hint="default"/>
      </w:rPr>
    </w:lvl>
    <w:lvl w:ilvl="5" w:tplc="845E6E36" w:tentative="1">
      <w:start w:val="1"/>
      <w:numFmt w:val="bullet"/>
      <w:lvlText w:val="•"/>
      <w:lvlJc w:val="left"/>
      <w:pPr>
        <w:tabs>
          <w:tab w:val="num" w:pos="4320"/>
        </w:tabs>
        <w:ind w:left="4320" w:hanging="360"/>
      </w:pPr>
      <w:rPr>
        <w:rFonts w:ascii="Arial" w:hAnsi="Arial" w:hint="default"/>
      </w:rPr>
    </w:lvl>
    <w:lvl w:ilvl="6" w:tplc="86969488" w:tentative="1">
      <w:start w:val="1"/>
      <w:numFmt w:val="bullet"/>
      <w:lvlText w:val="•"/>
      <w:lvlJc w:val="left"/>
      <w:pPr>
        <w:tabs>
          <w:tab w:val="num" w:pos="5040"/>
        </w:tabs>
        <w:ind w:left="5040" w:hanging="360"/>
      </w:pPr>
      <w:rPr>
        <w:rFonts w:ascii="Arial" w:hAnsi="Arial" w:hint="default"/>
      </w:rPr>
    </w:lvl>
    <w:lvl w:ilvl="7" w:tplc="C37E5882" w:tentative="1">
      <w:start w:val="1"/>
      <w:numFmt w:val="bullet"/>
      <w:lvlText w:val="•"/>
      <w:lvlJc w:val="left"/>
      <w:pPr>
        <w:tabs>
          <w:tab w:val="num" w:pos="5760"/>
        </w:tabs>
        <w:ind w:left="5760" w:hanging="360"/>
      </w:pPr>
      <w:rPr>
        <w:rFonts w:ascii="Arial" w:hAnsi="Arial" w:hint="default"/>
      </w:rPr>
    </w:lvl>
    <w:lvl w:ilvl="8" w:tplc="E202FF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num w:numId="1">
    <w:abstractNumId w:val="8"/>
  </w:num>
  <w:num w:numId="2">
    <w:abstractNumId w:val="6"/>
  </w:num>
  <w:num w:numId="3">
    <w:abstractNumId w:val="13"/>
  </w:num>
  <w:num w:numId="4">
    <w:abstractNumId w:val="2"/>
  </w:num>
  <w:num w:numId="5">
    <w:abstractNumId w:val="5"/>
  </w:num>
  <w:num w:numId="6">
    <w:abstractNumId w:val="12"/>
  </w:num>
  <w:num w:numId="7">
    <w:abstractNumId w:val="7"/>
  </w:num>
  <w:num w:numId="8">
    <w:abstractNumId w:val="9"/>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3"/>
  </w:num>
  <w:num w:numId="14">
    <w:abstractNumId w:val="11"/>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BBA"/>
    <w:rsid w:val="000052FF"/>
    <w:rsid w:val="0001485D"/>
    <w:rsid w:val="000149EC"/>
    <w:rsid w:val="00017866"/>
    <w:rsid w:val="00020F1A"/>
    <w:rsid w:val="00031603"/>
    <w:rsid w:val="00032C70"/>
    <w:rsid w:val="00032D47"/>
    <w:rsid w:val="000337FD"/>
    <w:rsid w:val="00044F7E"/>
    <w:rsid w:val="000463E4"/>
    <w:rsid w:val="00051B4B"/>
    <w:rsid w:val="000550BC"/>
    <w:rsid w:val="0005518A"/>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7B9"/>
    <w:rsid w:val="000C75A4"/>
    <w:rsid w:val="000D13BC"/>
    <w:rsid w:val="000D1C0F"/>
    <w:rsid w:val="000D38DC"/>
    <w:rsid w:val="000E0384"/>
    <w:rsid w:val="000E29D8"/>
    <w:rsid w:val="000E357F"/>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46AF"/>
    <w:rsid w:val="001B731B"/>
    <w:rsid w:val="001C0E9F"/>
    <w:rsid w:val="001C2009"/>
    <w:rsid w:val="001C5198"/>
    <w:rsid w:val="001C699C"/>
    <w:rsid w:val="001E0CE1"/>
    <w:rsid w:val="001E58CC"/>
    <w:rsid w:val="001F59ED"/>
    <w:rsid w:val="001F768F"/>
    <w:rsid w:val="0021167B"/>
    <w:rsid w:val="00211D37"/>
    <w:rsid w:val="00212204"/>
    <w:rsid w:val="002122D0"/>
    <w:rsid w:val="00216763"/>
    <w:rsid w:val="00222269"/>
    <w:rsid w:val="00233D70"/>
    <w:rsid w:val="00235373"/>
    <w:rsid w:val="00241795"/>
    <w:rsid w:val="00242080"/>
    <w:rsid w:val="00246D61"/>
    <w:rsid w:val="0024786A"/>
    <w:rsid w:val="0025058B"/>
    <w:rsid w:val="00262116"/>
    <w:rsid w:val="002641FE"/>
    <w:rsid w:val="00265254"/>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C0488"/>
    <w:rsid w:val="002C4097"/>
    <w:rsid w:val="002D2C3E"/>
    <w:rsid w:val="002D3D42"/>
    <w:rsid w:val="002D479B"/>
    <w:rsid w:val="002D5A03"/>
    <w:rsid w:val="002D6EC9"/>
    <w:rsid w:val="002D787B"/>
    <w:rsid w:val="00310659"/>
    <w:rsid w:val="00315DC4"/>
    <w:rsid w:val="00317020"/>
    <w:rsid w:val="00320B4D"/>
    <w:rsid w:val="00324FAE"/>
    <w:rsid w:val="00326FF6"/>
    <w:rsid w:val="00327A22"/>
    <w:rsid w:val="0033513A"/>
    <w:rsid w:val="00342130"/>
    <w:rsid w:val="0034374B"/>
    <w:rsid w:val="00346605"/>
    <w:rsid w:val="00351D22"/>
    <w:rsid w:val="0035318F"/>
    <w:rsid w:val="00354C01"/>
    <w:rsid w:val="00361551"/>
    <w:rsid w:val="0036306A"/>
    <w:rsid w:val="003727DB"/>
    <w:rsid w:val="00386642"/>
    <w:rsid w:val="00392176"/>
    <w:rsid w:val="003921D6"/>
    <w:rsid w:val="003A298A"/>
    <w:rsid w:val="003A553B"/>
    <w:rsid w:val="003A566A"/>
    <w:rsid w:val="003B1EC9"/>
    <w:rsid w:val="003B2414"/>
    <w:rsid w:val="003B2E8D"/>
    <w:rsid w:val="003C2392"/>
    <w:rsid w:val="003C2E75"/>
    <w:rsid w:val="003D39F5"/>
    <w:rsid w:val="003D4B45"/>
    <w:rsid w:val="003E1304"/>
    <w:rsid w:val="003E35D4"/>
    <w:rsid w:val="003E7121"/>
    <w:rsid w:val="003F0731"/>
    <w:rsid w:val="003F33B4"/>
    <w:rsid w:val="004050F6"/>
    <w:rsid w:val="00405CEA"/>
    <w:rsid w:val="00405F6D"/>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92E31"/>
    <w:rsid w:val="004A5297"/>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C2185"/>
    <w:rsid w:val="005C380B"/>
    <w:rsid w:val="005D2C51"/>
    <w:rsid w:val="005D4EE3"/>
    <w:rsid w:val="005F269F"/>
    <w:rsid w:val="005F613D"/>
    <w:rsid w:val="00603015"/>
    <w:rsid w:val="0060603E"/>
    <w:rsid w:val="00627DF4"/>
    <w:rsid w:val="00634707"/>
    <w:rsid w:val="00644034"/>
    <w:rsid w:val="00652AC8"/>
    <w:rsid w:val="0066157D"/>
    <w:rsid w:val="006756FB"/>
    <w:rsid w:val="00677BD0"/>
    <w:rsid w:val="00680F28"/>
    <w:rsid w:val="00685B82"/>
    <w:rsid w:val="00685E11"/>
    <w:rsid w:val="00687C0D"/>
    <w:rsid w:val="006961B0"/>
    <w:rsid w:val="0069705B"/>
    <w:rsid w:val="006A0EDC"/>
    <w:rsid w:val="006A18DB"/>
    <w:rsid w:val="006A2D2E"/>
    <w:rsid w:val="006B545C"/>
    <w:rsid w:val="006C452E"/>
    <w:rsid w:val="006C6365"/>
    <w:rsid w:val="006C77B1"/>
    <w:rsid w:val="006E790B"/>
    <w:rsid w:val="006F055C"/>
    <w:rsid w:val="006F253E"/>
    <w:rsid w:val="0070610B"/>
    <w:rsid w:val="00707D20"/>
    <w:rsid w:val="00721AD7"/>
    <w:rsid w:val="007225EF"/>
    <w:rsid w:val="00722BA6"/>
    <w:rsid w:val="00723DC5"/>
    <w:rsid w:val="00727952"/>
    <w:rsid w:val="00732146"/>
    <w:rsid w:val="007338D6"/>
    <w:rsid w:val="00736DA9"/>
    <w:rsid w:val="00740B36"/>
    <w:rsid w:val="007422B7"/>
    <w:rsid w:val="00747A6F"/>
    <w:rsid w:val="0075622F"/>
    <w:rsid w:val="00756B44"/>
    <w:rsid w:val="0076067D"/>
    <w:rsid w:val="00782CDC"/>
    <w:rsid w:val="007839F9"/>
    <w:rsid w:val="0079276D"/>
    <w:rsid w:val="007A2765"/>
    <w:rsid w:val="007B13E5"/>
    <w:rsid w:val="007B2F6B"/>
    <w:rsid w:val="007B473A"/>
    <w:rsid w:val="007C0EE8"/>
    <w:rsid w:val="007D2678"/>
    <w:rsid w:val="007D2C48"/>
    <w:rsid w:val="007E20F9"/>
    <w:rsid w:val="007E546F"/>
    <w:rsid w:val="007F0AF3"/>
    <w:rsid w:val="007F1928"/>
    <w:rsid w:val="007F392E"/>
    <w:rsid w:val="007F7A08"/>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5D32"/>
    <w:rsid w:val="008C7E74"/>
    <w:rsid w:val="008D1AEF"/>
    <w:rsid w:val="008D2EE5"/>
    <w:rsid w:val="009041B7"/>
    <w:rsid w:val="00905E86"/>
    <w:rsid w:val="009124E4"/>
    <w:rsid w:val="009174BD"/>
    <w:rsid w:val="00920B09"/>
    <w:rsid w:val="00924EA9"/>
    <w:rsid w:val="00925FA2"/>
    <w:rsid w:val="00926A9C"/>
    <w:rsid w:val="00927803"/>
    <w:rsid w:val="0093602F"/>
    <w:rsid w:val="00957CD1"/>
    <w:rsid w:val="00961DB2"/>
    <w:rsid w:val="0096209E"/>
    <w:rsid w:val="00962A9C"/>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F23"/>
    <w:rsid w:val="00A00C85"/>
    <w:rsid w:val="00A11704"/>
    <w:rsid w:val="00A11840"/>
    <w:rsid w:val="00A22C61"/>
    <w:rsid w:val="00A262E4"/>
    <w:rsid w:val="00A26EC3"/>
    <w:rsid w:val="00A27226"/>
    <w:rsid w:val="00A320D5"/>
    <w:rsid w:val="00A359C7"/>
    <w:rsid w:val="00A41CF3"/>
    <w:rsid w:val="00A445AF"/>
    <w:rsid w:val="00A45DA7"/>
    <w:rsid w:val="00A4674D"/>
    <w:rsid w:val="00A55FF3"/>
    <w:rsid w:val="00A603CE"/>
    <w:rsid w:val="00A64CF7"/>
    <w:rsid w:val="00A7024B"/>
    <w:rsid w:val="00A71807"/>
    <w:rsid w:val="00A821EA"/>
    <w:rsid w:val="00A8721E"/>
    <w:rsid w:val="00A91680"/>
    <w:rsid w:val="00A92495"/>
    <w:rsid w:val="00A9377F"/>
    <w:rsid w:val="00AA5899"/>
    <w:rsid w:val="00AB75A3"/>
    <w:rsid w:val="00AB7FC6"/>
    <w:rsid w:val="00AD115D"/>
    <w:rsid w:val="00AD16AE"/>
    <w:rsid w:val="00AD6C53"/>
    <w:rsid w:val="00AE53AA"/>
    <w:rsid w:val="00AE72F4"/>
    <w:rsid w:val="00AF0A4B"/>
    <w:rsid w:val="00AF65DE"/>
    <w:rsid w:val="00AF750F"/>
    <w:rsid w:val="00B04278"/>
    <w:rsid w:val="00B12672"/>
    <w:rsid w:val="00B20EC5"/>
    <w:rsid w:val="00B2434D"/>
    <w:rsid w:val="00B24D29"/>
    <w:rsid w:val="00B30D88"/>
    <w:rsid w:val="00B34610"/>
    <w:rsid w:val="00B34716"/>
    <w:rsid w:val="00B61A13"/>
    <w:rsid w:val="00B648CA"/>
    <w:rsid w:val="00B73A69"/>
    <w:rsid w:val="00B74894"/>
    <w:rsid w:val="00B749FB"/>
    <w:rsid w:val="00B74B11"/>
    <w:rsid w:val="00B82B83"/>
    <w:rsid w:val="00B909F7"/>
    <w:rsid w:val="00B96A24"/>
    <w:rsid w:val="00BA677D"/>
    <w:rsid w:val="00BA6FDB"/>
    <w:rsid w:val="00BB02ED"/>
    <w:rsid w:val="00BC31F9"/>
    <w:rsid w:val="00BC5D46"/>
    <w:rsid w:val="00BC69E5"/>
    <w:rsid w:val="00BC6F83"/>
    <w:rsid w:val="00BD34B4"/>
    <w:rsid w:val="00BE240D"/>
    <w:rsid w:val="00BE515E"/>
    <w:rsid w:val="00BE7B88"/>
    <w:rsid w:val="00BF2C5D"/>
    <w:rsid w:val="00BF31E3"/>
    <w:rsid w:val="00BF5F1C"/>
    <w:rsid w:val="00C0195E"/>
    <w:rsid w:val="00C06607"/>
    <w:rsid w:val="00C07731"/>
    <w:rsid w:val="00C07AC0"/>
    <w:rsid w:val="00C218A9"/>
    <w:rsid w:val="00C47EE0"/>
    <w:rsid w:val="00C63006"/>
    <w:rsid w:val="00C67568"/>
    <w:rsid w:val="00C705E0"/>
    <w:rsid w:val="00C71871"/>
    <w:rsid w:val="00C85E87"/>
    <w:rsid w:val="00C8702A"/>
    <w:rsid w:val="00C913B6"/>
    <w:rsid w:val="00CA6EA3"/>
    <w:rsid w:val="00CB15A7"/>
    <w:rsid w:val="00CB6D97"/>
    <w:rsid w:val="00CE0C9D"/>
    <w:rsid w:val="00CE6572"/>
    <w:rsid w:val="00CE6E72"/>
    <w:rsid w:val="00CF228C"/>
    <w:rsid w:val="00D117C4"/>
    <w:rsid w:val="00D23CDC"/>
    <w:rsid w:val="00D26593"/>
    <w:rsid w:val="00D268EB"/>
    <w:rsid w:val="00D26CFF"/>
    <w:rsid w:val="00D274C6"/>
    <w:rsid w:val="00D33C2E"/>
    <w:rsid w:val="00D3454B"/>
    <w:rsid w:val="00D456D8"/>
    <w:rsid w:val="00D45A0E"/>
    <w:rsid w:val="00D4758C"/>
    <w:rsid w:val="00D55FAB"/>
    <w:rsid w:val="00D56240"/>
    <w:rsid w:val="00D56786"/>
    <w:rsid w:val="00D61EAB"/>
    <w:rsid w:val="00D701D3"/>
    <w:rsid w:val="00D7445F"/>
    <w:rsid w:val="00D92B1D"/>
    <w:rsid w:val="00DC0E31"/>
    <w:rsid w:val="00DC61A8"/>
    <w:rsid w:val="00DC70D0"/>
    <w:rsid w:val="00DC7DD6"/>
    <w:rsid w:val="00DD3971"/>
    <w:rsid w:val="00DD571D"/>
    <w:rsid w:val="00E13146"/>
    <w:rsid w:val="00E174FC"/>
    <w:rsid w:val="00E20070"/>
    <w:rsid w:val="00E20994"/>
    <w:rsid w:val="00E22124"/>
    <w:rsid w:val="00E261AD"/>
    <w:rsid w:val="00E324C0"/>
    <w:rsid w:val="00E40344"/>
    <w:rsid w:val="00E500AB"/>
    <w:rsid w:val="00E56751"/>
    <w:rsid w:val="00E576BD"/>
    <w:rsid w:val="00E57885"/>
    <w:rsid w:val="00E57BE9"/>
    <w:rsid w:val="00E604D6"/>
    <w:rsid w:val="00E67086"/>
    <w:rsid w:val="00E67F4E"/>
    <w:rsid w:val="00E83593"/>
    <w:rsid w:val="00E857E4"/>
    <w:rsid w:val="00E85B05"/>
    <w:rsid w:val="00E86F47"/>
    <w:rsid w:val="00E9139D"/>
    <w:rsid w:val="00E92487"/>
    <w:rsid w:val="00EA0940"/>
    <w:rsid w:val="00EA3B02"/>
    <w:rsid w:val="00EA5A59"/>
    <w:rsid w:val="00EB3301"/>
    <w:rsid w:val="00ED6E24"/>
    <w:rsid w:val="00EE23F0"/>
    <w:rsid w:val="00EE48A6"/>
    <w:rsid w:val="00EE4A18"/>
    <w:rsid w:val="00EF06BE"/>
    <w:rsid w:val="00EF61D1"/>
    <w:rsid w:val="00F1070A"/>
    <w:rsid w:val="00F154D0"/>
    <w:rsid w:val="00F261D6"/>
    <w:rsid w:val="00F35911"/>
    <w:rsid w:val="00F37791"/>
    <w:rsid w:val="00F42D43"/>
    <w:rsid w:val="00F51A17"/>
    <w:rsid w:val="00F57965"/>
    <w:rsid w:val="00F72ABE"/>
    <w:rsid w:val="00F72B1B"/>
    <w:rsid w:val="00F77E12"/>
    <w:rsid w:val="00F814DE"/>
    <w:rsid w:val="00F90045"/>
    <w:rsid w:val="00F925FE"/>
    <w:rsid w:val="00F97B39"/>
    <w:rsid w:val="00FA28D1"/>
    <w:rsid w:val="00FA6558"/>
    <w:rsid w:val="00FB1359"/>
    <w:rsid w:val="00FC2653"/>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93CDB"/>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6C77B1"/>
    <w:rPr>
      <w:rFonts w:ascii="Arial" w:eastAsia="Times New Roman" w:hAnsi="Arial"/>
    </w:rPr>
  </w:style>
  <w:style w:type="character" w:customStyle="1" w:styleId="PLChar">
    <w:name w:val="PL Char"/>
    <w:link w:val="PL"/>
    <w:qFormat/>
    <w:locked/>
    <w:rsid w:val="006961B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96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102">
      <w:bodyDiv w:val="1"/>
      <w:marLeft w:val="0"/>
      <w:marRight w:val="0"/>
      <w:marTop w:val="0"/>
      <w:marBottom w:val="0"/>
      <w:divBdr>
        <w:top w:val="none" w:sz="0" w:space="0" w:color="auto"/>
        <w:left w:val="none" w:sz="0" w:space="0" w:color="auto"/>
        <w:bottom w:val="none" w:sz="0" w:space="0" w:color="auto"/>
        <w:right w:val="none" w:sz="0" w:space="0" w:color="auto"/>
      </w:divBdr>
    </w:div>
    <w:div w:id="63651105">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275217070">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8174721">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9041925">
      <w:bodyDiv w:val="1"/>
      <w:marLeft w:val="0"/>
      <w:marRight w:val="0"/>
      <w:marTop w:val="0"/>
      <w:marBottom w:val="0"/>
      <w:divBdr>
        <w:top w:val="none" w:sz="0" w:space="0" w:color="auto"/>
        <w:left w:val="none" w:sz="0" w:space="0" w:color="auto"/>
        <w:bottom w:val="none" w:sz="0" w:space="0" w:color="auto"/>
        <w:right w:val="none" w:sz="0" w:space="0" w:color="auto"/>
      </w:divBdr>
    </w:div>
    <w:div w:id="1304118734">
      <w:bodyDiv w:val="1"/>
      <w:marLeft w:val="0"/>
      <w:marRight w:val="0"/>
      <w:marTop w:val="0"/>
      <w:marBottom w:val="0"/>
      <w:divBdr>
        <w:top w:val="none" w:sz="0" w:space="0" w:color="auto"/>
        <w:left w:val="none" w:sz="0" w:space="0" w:color="auto"/>
        <w:bottom w:val="none" w:sz="0" w:space="0" w:color="auto"/>
        <w:right w:val="none" w:sz="0" w:space="0" w:color="auto"/>
      </w:divBdr>
      <w:divsChild>
        <w:div w:id="1483308236">
          <w:marLeft w:val="360"/>
          <w:marRight w:val="0"/>
          <w:marTop w:val="200"/>
          <w:marBottom w:val="0"/>
          <w:divBdr>
            <w:top w:val="none" w:sz="0" w:space="0" w:color="auto"/>
            <w:left w:val="none" w:sz="0" w:space="0" w:color="auto"/>
            <w:bottom w:val="none" w:sz="0" w:space="0" w:color="auto"/>
            <w:right w:val="none" w:sz="0" w:space="0" w:color="auto"/>
          </w:divBdr>
        </w:div>
        <w:div w:id="341781372">
          <w:marLeft w:val="1080"/>
          <w:marRight w:val="0"/>
          <w:marTop w:val="100"/>
          <w:marBottom w:val="0"/>
          <w:divBdr>
            <w:top w:val="none" w:sz="0" w:space="0" w:color="auto"/>
            <w:left w:val="none" w:sz="0" w:space="0" w:color="auto"/>
            <w:bottom w:val="none" w:sz="0" w:space="0" w:color="auto"/>
            <w:right w:val="none" w:sz="0" w:space="0" w:color="auto"/>
          </w:divBdr>
        </w:div>
      </w:divsChild>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369380281">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02627082">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0715987">
      <w:bodyDiv w:val="1"/>
      <w:marLeft w:val="0"/>
      <w:marRight w:val="0"/>
      <w:marTop w:val="0"/>
      <w:marBottom w:val="0"/>
      <w:divBdr>
        <w:top w:val="none" w:sz="0" w:space="0" w:color="auto"/>
        <w:left w:val="none" w:sz="0" w:space="0" w:color="auto"/>
        <w:bottom w:val="none" w:sz="0" w:space="0" w:color="auto"/>
        <w:right w:val="none" w:sz="0" w:space="0" w:color="auto"/>
      </w:divBdr>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10150308">
      <w:bodyDiv w:val="1"/>
      <w:marLeft w:val="0"/>
      <w:marRight w:val="0"/>
      <w:marTop w:val="0"/>
      <w:marBottom w:val="0"/>
      <w:divBdr>
        <w:top w:val="none" w:sz="0" w:space="0" w:color="auto"/>
        <w:left w:val="none" w:sz="0" w:space="0" w:color="auto"/>
        <w:bottom w:val="none" w:sz="0" w:space="0" w:color="auto"/>
        <w:right w:val="none" w:sz="0" w:space="0" w:color="auto"/>
      </w:divBdr>
      <w:divsChild>
        <w:div w:id="200439660">
          <w:marLeft w:val="360"/>
          <w:marRight w:val="0"/>
          <w:marTop w:val="200"/>
          <w:marBottom w:val="0"/>
          <w:divBdr>
            <w:top w:val="none" w:sz="0" w:space="0" w:color="auto"/>
            <w:left w:val="none" w:sz="0" w:space="0" w:color="auto"/>
            <w:bottom w:val="none" w:sz="0" w:space="0" w:color="auto"/>
            <w:right w:val="none" w:sz="0" w:space="0" w:color="auto"/>
          </w:divBdr>
        </w:div>
        <w:div w:id="566457251">
          <w:marLeft w:val="360"/>
          <w:marRight w:val="0"/>
          <w:marTop w:val="200"/>
          <w:marBottom w:val="0"/>
          <w:divBdr>
            <w:top w:val="none" w:sz="0" w:space="0" w:color="auto"/>
            <w:left w:val="none" w:sz="0" w:space="0" w:color="auto"/>
            <w:bottom w:val="none" w:sz="0" w:space="0" w:color="auto"/>
            <w:right w:val="none" w:sz="0" w:space="0" w:color="auto"/>
          </w:divBdr>
        </w:div>
        <w:div w:id="10303026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1C48D-2A32-904E-BA44-236BF4EB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Microsoft Office User</cp:lastModifiedBy>
  <cp:revision>2</cp:revision>
  <cp:lastPrinted>2016-02-23T18:51:00Z</cp:lastPrinted>
  <dcterms:created xsi:type="dcterms:W3CDTF">2019-09-09T20:41:00Z</dcterms:created>
  <dcterms:modified xsi:type="dcterms:W3CDTF">2019-09-09T20:41:00Z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