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2B07E" w14:textId="0994A3AE" w:rsidR="003A0509" w:rsidRDefault="002C50A5">
      <w:pPr>
        <w:tabs>
          <w:tab w:val="center" w:pos="4536"/>
          <w:tab w:val="right" w:pos="9420"/>
        </w:tabs>
        <w:spacing w:after="0"/>
        <w:ind w:right="2"/>
        <w:rPr>
          <w:rFonts w:ascii="Arial" w:hAnsi="Arial" w:cs="Arial"/>
          <w:b/>
          <w:bCs/>
          <w:sz w:val="22"/>
        </w:rPr>
      </w:pPr>
      <w:r>
        <w:rPr>
          <w:rFonts w:ascii="Arial" w:hAnsi="Arial" w:cs="Arial"/>
          <w:b/>
          <w:bCs/>
          <w:sz w:val="22"/>
        </w:rPr>
        <w:t>3GPP TSG RAN Meeting #85</w:t>
      </w:r>
      <w:r>
        <w:rPr>
          <w:rFonts w:ascii="Arial" w:hAnsi="Arial" w:cs="Arial"/>
          <w:b/>
          <w:bCs/>
          <w:sz w:val="22"/>
        </w:rPr>
        <w:tab/>
      </w:r>
      <w:r>
        <w:rPr>
          <w:rFonts w:ascii="Arial" w:hAnsi="Arial" w:cs="Arial"/>
          <w:b/>
          <w:bCs/>
          <w:sz w:val="22"/>
        </w:rPr>
        <w:tab/>
        <w:t xml:space="preserve"> RP-</w:t>
      </w:r>
      <w:r w:rsidRPr="003E475E">
        <w:rPr>
          <w:rFonts w:ascii="Arial" w:hAnsi="Arial" w:cs="Arial"/>
          <w:b/>
          <w:bCs/>
          <w:sz w:val="22"/>
        </w:rPr>
        <w:t xml:space="preserve"> 192059</w:t>
      </w:r>
    </w:p>
    <w:p w14:paraId="3ED2B07F" w14:textId="5ADFC20C" w:rsidR="003A0509" w:rsidRDefault="002C50A5">
      <w:pPr>
        <w:tabs>
          <w:tab w:val="left" w:pos="1985"/>
          <w:tab w:val="right" w:pos="9422"/>
        </w:tabs>
        <w:spacing w:after="0"/>
        <w:jc w:val="both"/>
        <w:rPr>
          <w:rFonts w:ascii="Arial" w:hAnsi="Arial" w:cs="Arial"/>
          <w:b/>
          <w:bCs/>
          <w:sz w:val="22"/>
        </w:rPr>
      </w:pPr>
      <w:r>
        <w:rPr>
          <w:rFonts w:ascii="Arial" w:hAnsi="Arial" w:cs="Arial"/>
          <w:b/>
          <w:bCs/>
          <w:sz w:val="22"/>
        </w:rPr>
        <w:t>Newport Beach, USA, September 16-20, 2019</w:t>
      </w:r>
      <w:bookmarkStart w:id="0" w:name="_GoBack"/>
      <w:bookmarkEnd w:id="0"/>
      <w:r>
        <w:rPr>
          <w:rFonts w:ascii="Arial" w:hAnsi="Arial" w:cs="Arial"/>
          <w:b/>
          <w:bCs/>
          <w:sz w:val="22"/>
        </w:rPr>
        <w:tab/>
      </w:r>
    </w:p>
    <w:p w14:paraId="3ED2B080" w14:textId="77777777" w:rsidR="003A0509" w:rsidRDefault="003A0509">
      <w:pPr>
        <w:tabs>
          <w:tab w:val="left" w:pos="1985"/>
        </w:tabs>
        <w:jc w:val="both"/>
        <w:rPr>
          <w:rFonts w:ascii="Arial" w:hAnsi="Arial"/>
          <w:b/>
          <w:sz w:val="24"/>
        </w:rPr>
      </w:pPr>
    </w:p>
    <w:p w14:paraId="3ED2B081" w14:textId="4548C1D8" w:rsidR="003A0509" w:rsidRDefault="002C50A5">
      <w:pPr>
        <w:tabs>
          <w:tab w:val="left" w:pos="1985"/>
        </w:tabs>
        <w:spacing w:after="120"/>
        <w:jc w:val="both"/>
        <w:rPr>
          <w:rFonts w:ascii="Arial" w:hAnsi="Arial"/>
          <w:sz w:val="22"/>
        </w:rPr>
      </w:pPr>
      <w:r>
        <w:rPr>
          <w:rFonts w:ascii="Arial" w:hAnsi="Arial"/>
          <w:b/>
          <w:sz w:val="22"/>
        </w:rPr>
        <w:t>Agenda item:</w:t>
      </w:r>
      <w:r>
        <w:rPr>
          <w:rFonts w:ascii="Arial" w:hAnsi="Arial"/>
          <w:sz w:val="22"/>
        </w:rPr>
        <w:tab/>
      </w:r>
      <w:bookmarkStart w:id="1" w:name="Source"/>
      <w:bookmarkEnd w:id="1"/>
      <w:r>
        <w:rPr>
          <w:rFonts w:ascii="Arial" w:hAnsi="Arial"/>
          <w:sz w:val="22"/>
        </w:rPr>
        <w:t>9.4</w:t>
      </w:r>
      <w:r w:rsidR="000518B2">
        <w:rPr>
          <w:rFonts w:ascii="Arial" w:hAnsi="Arial"/>
          <w:sz w:val="22"/>
        </w:rPr>
        <w:t>.</w:t>
      </w:r>
      <w:r>
        <w:rPr>
          <w:rFonts w:ascii="Arial" w:hAnsi="Arial"/>
          <w:sz w:val="22"/>
        </w:rPr>
        <w:t>1</w:t>
      </w:r>
    </w:p>
    <w:p w14:paraId="3ED2B082" w14:textId="77777777" w:rsidR="003A0509" w:rsidRDefault="002C50A5">
      <w:pPr>
        <w:tabs>
          <w:tab w:val="left" w:pos="1985"/>
        </w:tabs>
        <w:spacing w:after="120"/>
        <w:jc w:val="both"/>
        <w:rPr>
          <w:rFonts w:ascii="Arial" w:hAnsi="Arial"/>
          <w:sz w:val="22"/>
        </w:rPr>
      </w:pPr>
      <w:r>
        <w:rPr>
          <w:rFonts w:ascii="Arial" w:hAnsi="Arial"/>
          <w:b/>
          <w:sz w:val="22"/>
        </w:rPr>
        <w:t xml:space="preserve">Source: </w:t>
      </w:r>
      <w:r>
        <w:rPr>
          <w:rFonts w:ascii="Arial" w:hAnsi="Arial"/>
          <w:b/>
          <w:sz w:val="22"/>
        </w:rPr>
        <w:tab/>
      </w:r>
      <w:r>
        <w:rPr>
          <w:rFonts w:ascii="Arial" w:hAnsi="Arial"/>
          <w:sz w:val="22"/>
        </w:rPr>
        <w:t>Nokia, Nokia Shanghai Bell</w:t>
      </w:r>
    </w:p>
    <w:p w14:paraId="3ED2B083" w14:textId="77777777" w:rsidR="003A0509" w:rsidRDefault="002C50A5">
      <w:pPr>
        <w:spacing w:after="120"/>
        <w:ind w:left="1988" w:hanging="1988"/>
        <w:rPr>
          <w:rFonts w:ascii="Arial" w:hAnsi="Arial"/>
          <w:sz w:val="22"/>
        </w:rPr>
      </w:pPr>
      <w:r>
        <w:rPr>
          <w:rFonts w:ascii="Arial" w:hAnsi="Arial"/>
          <w:b/>
          <w:sz w:val="22"/>
        </w:rPr>
        <w:t>Title:</w:t>
      </w:r>
      <w:r>
        <w:rPr>
          <w:rFonts w:ascii="Arial" w:hAnsi="Arial"/>
          <w:sz w:val="22"/>
        </w:rPr>
        <w:t xml:space="preserve"> </w:t>
      </w:r>
      <w:r>
        <w:rPr>
          <w:rFonts w:ascii="Arial" w:hAnsi="Arial"/>
        </w:rPr>
        <w:tab/>
      </w:r>
      <w:r>
        <w:rPr>
          <w:rFonts w:ascii="Arial" w:hAnsi="Arial"/>
          <w:sz w:val="22"/>
        </w:rPr>
        <w:t>Considerations on the scope of WID on Enhancements on MIMO for NR</w:t>
      </w:r>
    </w:p>
    <w:p w14:paraId="3ED2B084" w14:textId="77777777" w:rsidR="003A0509" w:rsidRDefault="002C50A5">
      <w:pPr>
        <w:spacing w:after="120"/>
        <w:ind w:left="1988" w:hanging="1988"/>
        <w:jc w:val="both"/>
        <w:rPr>
          <w:rFonts w:ascii="Arial" w:hAnsi="Arial"/>
          <w:sz w:val="22"/>
        </w:rPr>
      </w:pPr>
      <w:r>
        <w:rPr>
          <w:rFonts w:ascii="Arial" w:hAnsi="Arial"/>
          <w:b/>
          <w:sz w:val="22"/>
        </w:rPr>
        <w:t>Document for:</w:t>
      </w:r>
      <w:r>
        <w:rPr>
          <w:rFonts w:ascii="Arial" w:hAnsi="Arial"/>
          <w:sz w:val="22"/>
        </w:rPr>
        <w:tab/>
      </w:r>
      <w:bookmarkStart w:id="2" w:name="DocumentFor"/>
      <w:bookmarkEnd w:id="2"/>
      <w:r>
        <w:rPr>
          <w:rFonts w:ascii="Arial" w:hAnsi="Arial"/>
          <w:sz w:val="22"/>
        </w:rPr>
        <w:t>Discussion/Decision</w:t>
      </w:r>
    </w:p>
    <w:p w14:paraId="3ED2B085" w14:textId="77777777" w:rsidR="003A0509" w:rsidRDefault="002C50A5">
      <w:pPr>
        <w:pStyle w:val="Heading1"/>
        <w:rPr>
          <w:lang w:eastAsia="zh-CN"/>
        </w:rPr>
      </w:pPr>
      <w:r>
        <w:t>Introduction</w:t>
      </w:r>
      <w:r>
        <w:rPr>
          <w:rFonts w:eastAsia="MS Mincho"/>
          <w:lang w:val="en-US"/>
        </w:rPr>
        <w:t xml:space="preserve">  </w:t>
      </w:r>
    </w:p>
    <w:p w14:paraId="3ED2B086" w14:textId="77777777" w:rsidR="003A0509" w:rsidRDefault="002C50A5">
      <w:pPr>
        <w:spacing w:after="0"/>
        <w:jc w:val="both"/>
        <w:rPr>
          <w:b/>
          <w:lang w:val="en-US"/>
        </w:rPr>
      </w:pPr>
      <w:r>
        <w:rPr>
          <w:bCs/>
        </w:rPr>
        <w:t>In RAN1#98 some decisions have been made with significant impact on the scope of the work on MIMO in Rel-16, namely regarding support of UL transmit beam selection for Multi-Panel UEs and on addressing MPE limitations. In this contribution we analyse the impact of this RAN1 decision and the implications to scope of the WID on Enhancements on MIMO for NR. In addition, we make proposals on how to adjust the scope of the WID moving forward.</w:t>
      </w:r>
    </w:p>
    <w:p w14:paraId="3ED2B087" w14:textId="77777777" w:rsidR="003A0509" w:rsidRDefault="003A0509">
      <w:pPr>
        <w:spacing w:after="0"/>
        <w:jc w:val="both"/>
        <w:rPr>
          <w:lang w:val="en-US" w:eastAsia="zh-CN"/>
        </w:rPr>
      </w:pPr>
    </w:p>
    <w:p w14:paraId="3ED2B088" w14:textId="77777777" w:rsidR="003A0509" w:rsidRDefault="002C50A5">
      <w:pPr>
        <w:pStyle w:val="Heading1"/>
        <w:rPr>
          <w:rFonts w:cs="Arial"/>
        </w:rPr>
      </w:pPr>
      <w:r>
        <w:t>Support of Multi-Panel UEs in eMIMO WID</w:t>
      </w:r>
    </w:p>
    <w:p w14:paraId="3ED2B089" w14:textId="77777777" w:rsidR="003A0509" w:rsidRDefault="002C50A5">
      <w:r>
        <w:t>Multi-Panel UEs (MP-UE) has been explicitly considered for the following objective in eMIMO WID [1]:</w:t>
      </w:r>
    </w:p>
    <w:p w14:paraId="3ED2B08A" w14:textId="77777777" w:rsidR="003A0509" w:rsidRDefault="002C50A5">
      <w:pPr>
        <w:numPr>
          <w:ilvl w:val="1"/>
          <w:numId w:val="22"/>
        </w:numPr>
        <w:snapToGrid w:val="0"/>
        <w:spacing w:after="120"/>
        <w:ind w:right="-99"/>
        <w:textAlignment w:val="auto"/>
        <w:rPr>
          <w:lang w:eastAsia="ko-KR"/>
        </w:rPr>
      </w:pPr>
      <w:r>
        <w:rPr>
          <w:lang w:eastAsia="ko-KR"/>
        </w:rPr>
        <w:t xml:space="preserve">Enhancements on multi-beam operation, primarily targeting </w:t>
      </w:r>
      <w:r>
        <w:rPr>
          <w:rFonts w:eastAsia="Malgun Gothic" w:hint="eastAsia"/>
          <w:lang w:eastAsia="ko-KR"/>
        </w:rPr>
        <w:t>FR2</w:t>
      </w:r>
      <w:r>
        <w:rPr>
          <w:lang w:eastAsia="ko-KR"/>
        </w:rPr>
        <w:t xml:space="preserve"> operation:</w:t>
      </w:r>
    </w:p>
    <w:p w14:paraId="3ED2B08B" w14:textId="77777777" w:rsidR="003A0509" w:rsidRDefault="002C50A5">
      <w:pPr>
        <w:numPr>
          <w:ilvl w:val="2"/>
          <w:numId w:val="22"/>
        </w:numPr>
        <w:snapToGrid w:val="0"/>
        <w:spacing w:after="120"/>
        <w:ind w:right="-99"/>
        <w:textAlignment w:val="auto"/>
        <w:rPr>
          <w:lang w:eastAsia="ko-KR"/>
        </w:rPr>
      </w:pPr>
      <w:r>
        <w:rPr>
          <w:rFonts w:eastAsia="Malgun Gothic" w:hint="eastAsia"/>
          <w:lang w:eastAsia="ko-KR"/>
        </w:rPr>
        <w:t>P</w:t>
      </w:r>
      <w:r>
        <w:rPr>
          <w:rFonts w:hint="eastAsia"/>
        </w:rPr>
        <w:t xml:space="preserve">erform study </w:t>
      </w:r>
      <w:r>
        <w:t xml:space="preserve">and, if needed, </w:t>
      </w:r>
      <w:r>
        <w:rPr>
          <w:lang w:eastAsia="ko-KR"/>
        </w:rPr>
        <w:t>specify enhance</w:t>
      </w:r>
      <w:r>
        <w:rPr>
          <w:rFonts w:eastAsia="Malgun Gothic" w:hint="eastAsia"/>
          <w:lang w:eastAsia="ko-KR"/>
        </w:rPr>
        <w:t>ment(s)</w:t>
      </w:r>
      <w:r>
        <w:rPr>
          <w:lang w:eastAsia="ko-KR"/>
        </w:rPr>
        <w:t xml:space="preserve"> </w:t>
      </w:r>
      <w:r>
        <w:rPr>
          <w:rFonts w:eastAsia="Malgun Gothic" w:hint="eastAsia"/>
          <w:lang w:eastAsia="ko-KR"/>
        </w:rPr>
        <w:t xml:space="preserve">on UL and/or DL transmit </w:t>
      </w:r>
      <w:r>
        <w:rPr>
          <w:lang w:eastAsia="ko-KR"/>
        </w:rPr>
        <w:t xml:space="preserve">beam </w:t>
      </w:r>
      <w:r>
        <w:rPr>
          <w:rFonts w:eastAsia="Malgun Gothic" w:hint="eastAsia"/>
          <w:lang w:eastAsia="ko-KR"/>
        </w:rPr>
        <w:t xml:space="preserve">selection specified in Rel-15 to </w:t>
      </w:r>
      <w:r>
        <w:rPr>
          <w:rFonts w:eastAsia="Malgun Gothic"/>
          <w:lang w:eastAsia="ko-KR"/>
        </w:rPr>
        <w:t>reduce</w:t>
      </w:r>
      <w:r>
        <w:rPr>
          <w:rFonts w:eastAsia="Malgun Gothic" w:hint="eastAsia"/>
          <w:lang w:eastAsia="ko-KR"/>
        </w:rPr>
        <w:t xml:space="preserve"> latency and overhead </w:t>
      </w:r>
    </w:p>
    <w:p w14:paraId="3ED2B08C" w14:textId="77777777" w:rsidR="003A0509" w:rsidRDefault="002C50A5">
      <w:pPr>
        <w:numPr>
          <w:ilvl w:val="2"/>
          <w:numId w:val="22"/>
        </w:numPr>
        <w:snapToGrid w:val="0"/>
        <w:spacing w:after="120"/>
        <w:ind w:right="-99"/>
        <w:textAlignment w:val="auto"/>
        <w:rPr>
          <w:highlight w:val="green"/>
          <w:lang w:eastAsia="ko-KR"/>
        </w:rPr>
      </w:pPr>
      <w:r>
        <w:rPr>
          <w:rFonts w:eastAsia="Malgun Gothic" w:hint="eastAsia"/>
          <w:highlight w:val="green"/>
          <w:lang w:eastAsia="ko-KR"/>
        </w:rPr>
        <w:t>S</w:t>
      </w:r>
      <w:r>
        <w:rPr>
          <w:highlight w:val="green"/>
          <w:lang w:eastAsia="ko-KR"/>
        </w:rPr>
        <w:t xml:space="preserve">pecify </w:t>
      </w:r>
      <w:r>
        <w:rPr>
          <w:rFonts w:eastAsia="Malgun Gothic" w:hint="eastAsia"/>
          <w:highlight w:val="green"/>
          <w:lang w:eastAsia="ko-KR"/>
        </w:rPr>
        <w:t xml:space="preserve">UL transmit </w:t>
      </w:r>
      <w:r>
        <w:rPr>
          <w:highlight w:val="green"/>
          <w:lang w:eastAsia="ko-KR"/>
        </w:rPr>
        <w:t xml:space="preserve">beam </w:t>
      </w:r>
      <w:r>
        <w:rPr>
          <w:rFonts w:eastAsia="Malgun Gothic" w:hint="eastAsia"/>
          <w:highlight w:val="green"/>
          <w:lang w:eastAsia="ko-KR"/>
        </w:rPr>
        <w:t xml:space="preserve">selection for multi-panel operation </w:t>
      </w:r>
      <w:r>
        <w:rPr>
          <w:rFonts w:eastAsia="Malgun Gothic"/>
          <w:highlight w:val="green"/>
          <w:lang w:eastAsia="ko-KR"/>
        </w:rPr>
        <w:t>that</w:t>
      </w:r>
      <w:r>
        <w:rPr>
          <w:rFonts w:eastAsia="Malgun Gothic" w:hint="eastAsia"/>
          <w:highlight w:val="green"/>
          <w:lang w:eastAsia="ko-KR"/>
        </w:rPr>
        <w:t xml:space="preserve"> facilitates panel-specific beam selection</w:t>
      </w:r>
    </w:p>
    <w:p w14:paraId="3ED2B08D" w14:textId="77777777" w:rsidR="003A0509" w:rsidRDefault="002C50A5">
      <w:pPr>
        <w:numPr>
          <w:ilvl w:val="2"/>
          <w:numId w:val="22"/>
        </w:numPr>
        <w:snapToGrid w:val="0"/>
        <w:spacing w:after="120"/>
        <w:ind w:right="-99"/>
        <w:textAlignment w:val="auto"/>
        <w:rPr>
          <w:lang w:eastAsia="ko-KR"/>
        </w:rPr>
      </w:pPr>
      <w:r>
        <w:rPr>
          <w:rFonts w:hint="eastAsia"/>
          <w:lang w:eastAsia="ko-KR"/>
        </w:rPr>
        <w:t xml:space="preserve">Specify beam failure recovery for SCell </w:t>
      </w:r>
      <w:r>
        <w:rPr>
          <w:lang w:eastAsia="ko-KR"/>
        </w:rPr>
        <w:t xml:space="preserve">with DL/UL as well as DL-only, where PCell can be operating in FR1 as well as FR2 </w:t>
      </w:r>
    </w:p>
    <w:p w14:paraId="3ED2B08E" w14:textId="77777777" w:rsidR="003A0509" w:rsidRDefault="002C50A5">
      <w:pPr>
        <w:numPr>
          <w:ilvl w:val="2"/>
          <w:numId w:val="22"/>
        </w:numPr>
        <w:snapToGrid w:val="0"/>
        <w:spacing w:after="120"/>
        <w:ind w:right="-99"/>
        <w:textAlignment w:val="auto"/>
        <w:rPr>
          <w:lang w:eastAsia="ko-KR"/>
        </w:rPr>
      </w:pPr>
      <w:r>
        <w:rPr>
          <w:rFonts w:eastAsia="Malgun Gothic" w:hint="eastAsia"/>
          <w:lang w:eastAsia="ko-KR"/>
        </w:rPr>
        <w:t>Specify measurement and reporting of either L1-RSRQ or L1-SINR</w:t>
      </w:r>
    </w:p>
    <w:p w14:paraId="3ED2B08F" w14:textId="77777777" w:rsidR="003A0509" w:rsidRDefault="003A0509"/>
    <w:p w14:paraId="3ED2B090" w14:textId="77777777" w:rsidR="003A0509" w:rsidRDefault="002C50A5">
      <w:r>
        <w:t>At RAN#84, it was concluded to encourage RAN1 to further progress on the support for UL transmit beam selection for multi-panel operation in the August meeting. or otherwise RAN would downscope the topic in RAN#85.  Despite the significant discussions that have taken place to define the multi-panel UEs, including some agreements reached in RAN1 to that effect, eventually in RAN1#98 the following conclusion has been reached on MP-UEs [2]:</w:t>
      </w:r>
    </w:p>
    <w:p w14:paraId="3ED2B091" w14:textId="77777777" w:rsidR="003A0509" w:rsidRDefault="002C50A5">
      <w:pPr>
        <w:ind w:left="1298"/>
        <w:rPr>
          <w:b/>
          <w:bCs/>
          <w:i/>
          <w:lang w:val="en-US" w:eastAsia="x-none"/>
        </w:rPr>
      </w:pPr>
      <w:r>
        <w:rPr>
          <w:b/>
          <w:bCs/>
          <w:i/>
          <w:lang w:val="en-US" w:eastAsia="x-none"/>
        </w:rPr>
        <w:t>Conclusion</w:t>
      </w:r>
    </w:p>
    <w:p w14:paraId="3ED2B092" w14:textId="77777777" w:rsidR="003A0509" w:rsidRDefault="002C50A5">
      <w:pPr>
        <w:ind w:left="1298"/>
        <w:rPr>
          <w:i/>
          <w:lang w:val="en-US" w:eastAsia="x-none"/>
        </w:rPr>
      </w:pPr>
      <w:r>
        <w:rPr>
          <w:i/>
          <w:lang w:val="en-US" w:eastAsia="x-none"/>
        </w:rPr>
        <w:t xml:space="preserve">On the issue of uplink transmit beam selection that facilitates UE panel specific uplink beam selection, there is no consensus in RAN1 to introduce additional specification support in RAN1. No further discussion for Rel-16 from RAN1 perspective. </w:t>
      </w:r>
    </w:p>
    <w:p w14:paraId="3ED2B093" w14:textId="77777777" w:rsidR="003A0509" w:rsidRDefault="003A0509"/>
    <w:p w14:paraId="3ED2B094" w14:textId="16606DCB" w:rsidR="003A0509" w:rsidRDefault="002C50A5">
      <w:r>
        <w:t xml:space="preserve">Given the fact RAN1 is unable to reach consensus on this objective and considering that it is unlikely the situation would change in time for conclusion of the related work, at this point of time there is little option to RAN Plenary other than endorsing the RAN1 conclusion and postpone MP-UE discussions to further release. </w:t>
      </w:r>
    </w:p>
    <w:p w14:paraId="3ED2B095" w14:textId="77777777" w:rsidR="003A0509" w:rsidRDefault="002C50A5">
      <w:pPr>
        <w:rPr>
          <w:b/>
        </w:rPr>
      </w:pPr>
      <w:r>
        <w:rPr>
          <w:b/>
        </w:rPr>
        <w:t>Proposal: RAN Plenary to confirm conclusion in RAN1#98 on UE panel specific uplink beam selection and remove corresponding objective from Rel-16.</w:t>
      </w:r>
    </w:p>
    <w:p w14:paraId="3ED2B096" w14:textId="77777777" w:rsidR="003A0509" w:rsidRDefault="002C50A5">
      <w:pPr>
        <w:pStyle w:val="Heading1"/>
      </w:pPr>
      <w:r>
        <w:lastRenderedPageBreak/>
        <w:t>Implication of RAN1’s conclusion on Multi-Panel UE to other objectives</w:t>
      </w:r>
    </w:p>
    <w:p w14:paraId="3ED2B097" w14:textId="29DA1767" w:rsidR="003A0509" w:rsidRDefault="002C50A5">
      <w:pPr>
        <w:rPr>
          <w:lang w:val="en-US"/>
        </w:rPr>
      </w:pPr>
      <w:r>
        <w:rPr>
          <w:lang w:val="en-US"/>
        </w:rPr>
        <w:t>Given that there is only one quarter left for conclusion of the eMIMO WI in RAN1, it is important to understand how the RAN1 conclusion will impact support of MP-UEs in general. In other words, it needs to be understood if the conclusion is strictly limited to uplink beam selection or whether it also impacts other aspects of specification support related to MP-UEs in Rel-16.</w:t>
      </w:r>
    </w:p>
    <w:p w14:paraId="3ED2B099" w14:textId="55AC3C6D" w:rsidR="003A0509" w:rsidRDefault="002C50A5">
      <w:r>
        <w:rPr>
          <w:lang w:val="en-US"/>
        </w:rPr>
        <w:t xml:space="preserve">For example, the support of non-coherent joint transmission (NCJT) Multi-TRP operation in FR2 may be impacted, as shown in Figure 1 below. This is due to the fact that in FR2 there are not many occasions where a UE would be able to receive simultaneously from two TRPs unless the UE has multiple panels, and the benefit for the network of scheduling transmission on both beams is questionable unless it knows in advance that the UE will be able to receive them. </w:t>
      </w:r>
      <w:r>
        <w:t xml:space="preserve">Without any UE indication/reporting of the best beams per panel, it would be hard for the network to guess which beams are suitable for the joint transmission; some pairs of beams may not be able to be received simultaneously at the UE.  </w:t>
      </w:r>
    </w:p>
    <w:p w14:paraId="3ED2B09A" w14:textId="77777777" w:rsidR="003A0509" w:rsidRDefault="002C50A5">
      <w:pPr>
        <w:pStyle w:val="CommentText"/>
        <w:rPr>
          <w:lang w:val="en-US"/>
        </w:rPr>
      </w:pPr>
      <w:r>
        <w:t xml:space="preserve">It may be claimed that Multi-TRP operation for FR2 can be solved by UE implementation, e.g. by indicating only the beams which are good for multiple panels or one beam per panel. However, these restrictions may not provide any benefit to use Multi-TRP in FR2 and may even lead to performance loss, as this would limit the scheduling flexibility of the network, and it does not solve </w:t>
      </w:r>
      <w:r>
        <w:rPr>
          <w:lang w:val="en-US"/>
        </w:rPr>
        <w:t xml:space="preserve">the absence of knowledge at the gNB about a UE’s capability to receive more than one beam simultaneously, and which beams can be received simultaneously. </w:t>
      </w:r>
    </w:p>
    <w:p w14:paraId="3ED2B09B" w14:textId="4B9710F1" w:rsidR="003A0509" w:rsidRDefault="002C50A5">
      <w:pPr>
        <w:pStyle w:val="CommentText"/>
        <w:rPr>
          <w:lang w:val="en-US"/>
        </w:rPr>
      </w:pPr>
      <w:r>
        <w:t xml:space="preserve">Overall, panel specific beam management and reporting are needed for NCJT Multi-TRP to operate in FR2.  </w:t>
      </w:r>
    </w:p>
    <w:p w14:paraId="3ED2B09D" w14:textId="2CD3A63F" w:rsidR="003A0509" w:rsidRDefault="002C50A5">
      <w:pPr>
        <w:jc w:val="center"/>
        <w:rPr>
          <w:lang w:val="en-US"/>
        </w:rPr>
      </w:pPr>
      <w:r>
        <w:rPr>
          <w:noProof/>
          <w:lang w:val="en-US"/>
        </w:rPr>
        <w:drawing>
          <wp:inline distT="0" distB="0" distL="0" distR="0" wp14:anchorId="5CCC5CB3" wp14:editId="752EF717">
            <wp:extent cx="1772865" cy="19697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87107" cy="1985593"/>
                    </a:xfrm>
                    <a:prstGeom prst="rect">
                      <a:avLst/>
                    </a:prstGeom>
                    <a:noFill/>
                  </pic:spPr>
                </pic:pic>
              </a:graphicData>
            </a:graphic>
          </wp:inline>
        </w:drawing>
      </w:r>
    </w:p>
    <w:p w14:paraId="3ED2B09E" w14:textId="77777777" w:rsidR="003A0509" w:rsidRDefault="002C50A5">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Multi-TRP operation in FR2. The UE cannot receive beam 1 and beam 5 at the same time with a single panel. If the UE has more active panels, it could potentially receive beams 5 and 3 at the same time, for example. </w:t>
      </w:r>
    </w:p>
    <w:p w14:paraId="3ED2B09F" w14:textId="77777777" w:rsidR="003A0509" w:rsidRDefault="003A0509">
      <w:pPr>
        <w:rPr>
          <w:lang w:val="en-US"/>
        </w:rPr>
      </w:pPr>
    </w:p>
    <w:p w14:paraId="3ED2B0A0" w14:textId="7AD97615" w:rsidR="003A0509" w:rsidRDefault="002C50A5">
      <w:pPr>
        <w:rPr>
          <w:lang w:val="en-US"/>
        </w:rPr>
      </w:pPr>
      <w:r>
        <w:rPr>
          <w:lang w:val="en-US"/>
        </w:rPr>
        <w:t xml:space="preserve">RAN1 is also discussing TDM-based solutions (scheme 3 and scheme 4) in the context of URLLC, where the impact of MP-UE implementations is less clear. In principle it can be handled by UE implementation whether to utilize a single panel or different panels for reception of different beams in separate time slots, as long as the switching times are enough to accommodate the beam/panel changes. Hence, the conclusions from RAN1#98 do not prevent further work on TDM-based MTRP support for FR2. </w:t>
      </w:r>
    </w:p>
    <w:p w14:paraId="3ED2B0A1" w14:textId="03940928" w:rsidR="003A0509" w:rsidRDefault="002C50A5">
      <w:pPr>
        <w:rPr>
          <w:b/>
        </w:rPr>
      </w:pPr>
      <w:r>
        <w:rPr>
          <w:b/>
        </w:rPr>
        <w:t>Observation: The impacts of RAN1#98’s conclusions on MP-UEs to other objectives need to be understood in order to ensure conclusion of those objectives within Rel-16 timeframe.</w:t>
      </w:r>
    </w:p>
    <w:p w14:paraId="3ED2B0A2" w14:textId="77777777" w:rsidR="003A0509" w:rsidRDefault="002C50A5">
      <w:pPr>
        <w:rPr>
          <w:b/>
        </w:rPr>
      </w:pPr>
      <w:r>
        <w:rPr>
          <w:b/>
        </w:rPr>
        <w:t>Observation: RAN1#98’s conclusions might make NCJT-based Multi-TRP impractical in FR2.</w:t>
      </w:r>
    </w:p>
    <w:p w14:paraId="3ED2B0A3" w14:textId="0657EE18" w:rsidR="003A0509" w:rsidRDefault="002C50A5">
      <w:pPr>
        <w:rPr>
          <w:b/>
        </w:rPr>
      </w:pPr>
      <w:r>
        <w:rPr>
          <w:b/>
        </w:rPr>
        <w:t>Observation: RAN1#98’s conclusions should not prevent the continuation of work on TDM-based Multi-TRP for URLLC, including in FR2.</w:t>
      </w:r>
    </w:p>
    <w:p w14:paraId="3ED2B0A4" w14:textId="58A3D678" w:rsidR="003A0509" w:rsidRDefault="002C50A5">
      <w:pPr>
        <w:rPr>
          <w:b/>
        </w:rPr>
      </w:pPr>
      <w:r>
        <w:rPr>
          <w:b/>
        </w:rPr>
        <w:t>Proposal: RAN Plenary should take note of how RAN1#98’s conclusions on multi-panel UEs adversely affect the ability to support NCJT Multi-TRP operation in FR2. Explicit support for multi-panel UEs in order to enable</w:t>
      </w:r>
      <w:r w:rsidR="000518B2">
        <w:rPr>
          <w:b/>
        </w:rPr>
        <w:t xml:space="preserve"> effective</w:t>
      </w:r>
      <w:r>
        <w:rPr>
          <w:b/>
        </w:rPr>
        <w:t xml:space="preserve"> NCJT Multi-TRP operation in FR2 should be prioritised in the scoping of MIMO enhancements in Rel-17.</w:t>
      </w:r>
    </w:p>
    <w:p w14:paraId="3ED2B0A5" w14:textId="77777777" w:rsidR="003A0509" w:rsidRDefault="003A0509">
      <w:pPr>
        <w:rPr>
          <w:b/>
        </w:rPr>
      </w:pPr>
    </w:p>
    <w:p w14:paraId="3ED2B0A6" w14:textId="77777777" w:rsidR="003A0509" w:rsidRDefault="002C50A5">
      <w:pPr>
        <w:pStyle w:val="Heading1"/>
      </w:pPr>
      <w:r>
        <w:t>Other Multi-TRP aspects in eMIMO WID</w:t>
      </w:r>
    </w:p>
    <w:p w14:paraId="3ED2B0A7" w14:textId="77777777" w:rsidR="003A0509" w:rsidRDefault="002C50A5">
      <w:pPr>
        <w:rPr>
          <w:lang w:val="en-US"/>
        </w:rPr>
      </w:pPr>
      <w:r>
        <w:rPr>
          <w:lang w:val="en-US"/>
        </w:rPr>
        <w:t xml:space="preserve">eMMO in Rel-16 has an objective for Multi-TRP techniques for URLLC requirements.  </w:t>
      </w:r>
    </w:p>
    <w:p w14:paraId="3ED2B0A8" w14:textId="77777777" w:rsidR="003A0509" w:rsidRDefault="002C50A5">
      <w:pPr>
        <w:numPr>
          <w:ilvl w:val="1"/>
          <w:numId w:val="22"/>
        </w:numPr>
        <w:snapToGrid w:val="0"/>
        <w:spacing w:after="120"/>
        <w:ind w:right="-99"/>
        <w:textAlignment w:val="auto"/>
        <w:rPr>
          <w:lang w:eastAsia="ko-KR"/>
        </w:rPr>
      </w:pPr>
      <w:r>
        <w:rPr>
          <w:lang w:eastAsia="ko-KR"/>
        </w:rPr>
        <w:t>Enhancements on multi-TRP/panel transmission</w:t>
      </w:r>
      <w:r>
        <w:rPr>
          <w:rFonts w:eastAsia="Malgun Gothic" w:hint="eastAsia"/>
          <w:lang w:eastAsia="ko-KR"/>
        </w:rPr>
        <w:t xml:space="preserve"> </w:t>
      </w:r>
      <w:r>
        <w:rPr>
          <w:rFonts w:eastAsia="Malgun Gothic"/>
          <w:lang w:eastAsia="ko-KR"/>
        </w:rPr>
        <w:t xml:space="preserve">including </w:t>
      </w:r>
      <w:r>
        <w:rPr>
          <w:rFonts w:eastAsia="Malgun Gothic" w:hint="eastAsia"/>
          <w:lang w:eastAsia="ko-KR"/>
        </w:rPr>
        <w:t xml:space="preserve">improved </w:t>
      </w:r>
      <w:r>
        <w:rPr>
          <w:rFonts w:eastAsia="Malgun Gothic"/>
          <w:lang w:eastAsia="ko-KR"/>
        </w:rPr>
        <w:t xml:space="preserve">reliability and </w:t>
      </w:r>
      <w:r>
        <w:rPr>
          <w:rFonts w:eastAsia="Malgun Gothic" w:hint="eastAsia"/>
          <w:lang w:eastAsia="ko-KR"/>
        </w:rPr>
        <w:t xml:space="preserve">robustness </w:t>
      </w:r>
      <w:r>
        <w:rPr>
          <w:lang w:eastAsia="ko-KR"/>
        </w:rPr>
        <w:t>with both ideal and non-ideal backhaul:</w:t>
      </w:r>
    </w:p>
    <w:p w14:paraId="3ED2B0A9" w14:textId="77777777" w:rsidR="003A0509" w:rsidRDefault="002C50A5">
      <w:pPr>
        <w:numPr>
          <w:ilvl w:val="2"/>
          <w:numId w:val="22"/>
        </w:numPr>
        <w:snapToGrid w:val="0"/>
        <w:spacing w:after="120"/>
        <w:ind w:right="-99"/>
        <w:textAlignment w:val="auto"/>
        <w:rPr>
          <w:lang w:eastAsia="ko-KR"/>
        </w:rPr>
      </w:pPr>
      <w:r>
        <w:rPr>
          <w:lang w:eastAsia="ko-KR"/>
        </w:rPr>
        <w:t>Specify downlink control signalling enhancement</w:t>
      </w:r>
      <w:r>
        <w:rPr>
          <w:rFonts w:eastAsia="Malgun Gothic" w:hint="eastAsia"/>
          <w:lang w:eastAsia="ko-KR"/>
        </w:rPr>
        <w:t>(s)</w:t>
      </w:r>
      <w:r>
        <w:rPr>
          <w:lang w:eastAsia="ko-KR"/>
        </w:rPr>
        <w:t xml:space="preserve"> for efficient support of non-coherent joint transmission</w:t>
      </w:r>
    </w:p>
    <w:p w14:paraId="3ED2B0AA" w14:textId="77777777" w:rsidR="003A0509" w:rsidRDefault="002C50A5">
      <w:pPr>
        <w:numPr>
          <w:ilvl w:val="2"/>
          <w:numId w:val="22"/>
        </w:numPr>
        <w:snapToGrid w:val="0"/>
        <w:spacing w:after="120"/>
        <w:ind w:right="-99"/>
        <w:textAlignment w:val="auto"/>
        <w:rPr>
          <w:lang w:eastAsia="ko-KR"/>
        </w:rPr>
      </w:pPr>
      <w:r>
        <w:rPr>
          <w:rFonts w:eastAsia="Malgun Gothic" w:hint="eastAsia"/>
          <w:lang w:eastAsia="ko-KR"/>
        </w:rPr>
        <w:t>P</w:t>
      </w:r>
      <w:r>
        <w:rPr>
          <w:rFonts w:hint="eastAsia"/>
        </w:rPr>
        <w:t xml:space="preserve">erform study </w:t>
      </w:r>
      <w:r>
        <w:t xml:space="preserve">and, if needed, </w:t>
      </w:r>
      <w:r>
        <w:rPr>
          <w:lang w:eastAsia="ko-KR"/>
        </w:rPr>
        <w:t xml:space="preserve">specify </w:t>
      </w:r>
      <w:r>
        <w:rPr>
          <w:rFonts w:eastAsia="Malgun Gothic" w:hint="eastAsia"/>
          <w:lang w:eastAsia="ko-KR"/>
        </w:rPr>
        <w:t xml:space="preserve">enhancements on uplink control signalling </w:t>
      </w:r>
      <w:r>
        <w:rPr>
          <w:lang w:eastAsia="ko-KR"/>
        </w:rPr>
        <w:t>and/or reference signal(s)</w:t>
      </w:r>
      <w:r>
        <w:rPr>
          <w:rFonts w:eastAsia="Malgun Gothic" w:hint="eastAsia"/>
          <w:lang w:eastAsia="ko-KR"/>
        </w:rPr>
        <w:t xml:space="preserve"> </w:t>
      </w:r>
      <w:r>
        <w:rPr>
          <w:lang w:eastAsia="ko-KR"/>
        </w:rPr>
        <w:t>for non-coherent joint transmission</w:t>
      </w:r>
    </w:p>
    <w:p w14:paraId="3ED2B0AB" w14:textId="77777777" w:rsidR="003A0509" w:rsidRDefault="002C50A5">
      <w:pPr>
        <w:numPr>
          <w:ilvl w:val="2"/>
          <w:numId w:val="22"/>
        </w:numPr>
        <w:snapToGrid w:val="0"/>
        <w:spacing w:after="120"/>
        <w:ind w:right="-99"/>
        <w:textAlignment w:val="auto"/>
        <w:rPr>
          <w:highlight w:val="green"/>
          <w:lang w:eastAsia="ko-KR"/>
        </w:rPr>
      </w:pPr>
      <w:r>
        <w:rPr>
          <w:rFonts w:eastAsia="Malgun Gothic"/>
          <w:highlight w:val="green"/>
          <w:lang w:eastAsia="ko-KR"/>
        </w:rPr>
        <w:t>Multi-TRP techniques for URLLC requirements are included in this WI</w:t>
      </w:r>
    </w:p>
    <w:p w14:paraId="3ED2B0AC" w14:textId="77777777" w:rsidR="003A0509" w:rsidRDefault="003A0509"/>
    <w:p w14:paraId="3ED2B0AD" w14:textId="7655C8EF" w:rsidR="003A0509" w:rsidRDefault="002C50A5">
      <w:r>
        <w:t xml:space="preserve">Under on this objective, RAN1 started studies on Multi-TRP techniques for PDSCH, PUSCH, PDCCH, and PUCCH. The following agreement was made in RAN1 #95,  </w:t>
      </w:r>
    </w:p>
    <w:p w14:paraId="3ED2B0AE" w14:textId="77777777" w:rsidR="003A0509" w:rsidRDefault="002C50A5">
      <w:pPr>
        <w:rPr>
          <w:b/>
          <w:highlight w:val="green"/>
          <w:lang w:eastAsia="x-none"/>
        </w:rPr>
      </w:pPr>
      <w:r>
        <w:rPr>
          <w:b/>
          <w:highlight w:val="green"/>
          <w:lang w:eastAsia="x-none"/>
        </w:rPr>
        <w:t>Agreement</w:t>
      </w:r>
    </w:p>
    <w:p w14:paraId="3ED2B0AF" w14:textId="77777777" w:rsidR="003A0509" w:rsidRDefault="002C50A5">
      <w:pPr>
        <w:jc w:val="both"/>
        <w:rPr>
          <w:bCs/>
        </w:rPr>
      </w:pPr>
      <w:r>
        <w:rPr>
          <w:bCs/>
        </w:rPr>
        <w:t>Study for URLLC reliability/robustness enhancement with multi-TRP/panel/beam, including the case of ideal backhaul</w:t>
      </w:r>
    </w:p>
    <w:p w14:paraId="3ED2B0B0" w14:textId="77777777" w:rsidR="003A0509" w:rsidRDefault="002C50A5">
      <w:pPr>
        <w:pStyle w:val="ListParagraph"/>
        <w:numPr>
          <w:ilvl w:val="0"/>
          <w:numId w:val="27"/>
        </w:numPr>
        <w:overflowPunct/>
        <w:autoSpaceDE/>
        <w:autoSpaceDN/>
        <w:adjustRightInd/>
        <w:spacing w:after="160" w:line="259" w:lineRule="auto"/>
        <w:textAlignment w:val="auto"/>
      </w:pPr>
      <w:bookmarkStart w:id="3" w:name="_Hlk530133533"/>
      <w:r>
        <w:t>For PDSCH/PUSCH where the same TB is transmitted including</w:t>
      </w:r>
    </w:p>
    <w:bookmarkEnd w:id="3"/>
    <w:p w14:paraId="3ED2B0B1" w14:textId="77777777" w:rsidR="003A0509" w:rsidRDefault="002C50A5">
      <w:pPr>
        <w:pStyle w:val="ListParagraph"/>
        <w:numPr>
          <w:ilvl w:val="1"/>
          <w:numId w:val="27"/>
        </w:numPr>
        <w:overflowPunct/>
        <w:autoSpaceDE/>
        <w:autoSpaceDN/>
        <w:adjustRightInd/>
        <w:spacing w:after="160" w:line="259" w:lineRule="auto"/>
        <w:textAlignment w:val="auto"/>
      </w:pPr>
      <w:r>
        <w:t xml:space="preserve">#1: the number of </w:t>
      </w:r>
      <w:r>
        <w:rPr>
          <w:rFonts w:eastAsia="SimSun"/>
          <w:bCs/>
        </w:rPr>
        <w:t>TRP/panel/beam</w:t>
      </w:r>
      <w:r>
        <w:t>s</w:t>
      </w:r>
    </w:p>
    <w:p w14:paraId="3ED2B0B2" w14:textId="77777777" w:rsidR="003A0509" w:rsidRDefault="002C50A5">
      <w:pPr>
        <w:pStyle w:val="ListParagraph"/>
        <w:numPr>
          <w:ilvl w:val="1"/>
          <w:numId w:val="27"/>
        </w:numPr>
        <w:overflowPunct/>
        <w:autoSpaceDE/>
        <w:autoSpaceDN/>
        <w:adjustRightInd/>
        <w:spacing w:after="160" w:line="259" w:lineRule="auto"/>
        <w:textAlignment w:val="auto"/>
      </w:pPr>
      <w:r>
        <w:t>#2: Configuration/indication mechanism of TB repetition</w:t>
      </w:r>
    </w:p>
    <w:p w14:paraId="3ED2B0B3" w14:textId="77777777" w:rsidR="003A0509" w:rsidRDefault="002C50A5">
      <w:pPr>
        <w:pStyle w:val="ListParagraph"/>
        <w:numPr>
          <w:ilvl w:val="1"/>
          <w:numId w:val="27"/>
        </w:numPr>
        <w:overflowPunct/>
        <w:autoSpaceDE/>
        <w:autoSpaceDN/>
        <w:adjustRightInd/>
        <w:spacing w:after="160" w:line="259" w:lineRule="auto"/>
        <w:textAlignment w:val="auto"/>
      </w:pPr>
      <w:r>
        <w:t>Other enhancements are not excluded.</w:t>
      </w:r>
    </w:p>
    <w:p w14:paraId="3ED2B0B4" w14:textId="77777777" w:rsidR="003A0509" w:rsidRDefault="002C50A5">
      <w:pPr>
        <w:pStyle w:val="ListParagraph"/>
        <w:numPr>
          <w:ilvl w:val="0"/>
          <w:numId w:val="27"/>
        </w:numPr>
        <w:overflowPunct/>
        <w:autoSpaceDE/>
        <w:autoSpaceDN/>
        <w:adjustRightInd/>
        <w:spacing w:after="160" w:line="259" w:lineRule="auto"/>
        <w:textAlignment w:val="auto"/>
      </w:pPr>
      <w:r>
        <w:t>For PDCCH/PUCCH</w:t>
      </w:r>
    </w:p>
    <w:p w14:paraId="3ED2B0B5" w14:textId="77777777" w:rsidR="003A0509" w:rsidRDefault="002C50A5">
      <w:pPr>
        <w:pStyle w:val="ListParagraph"/>
        <w:numPr>
          <w:ilvl w:val="1"/>
          <w:numId w:val="27"/>
        </w:numPr>
        <w:overflowPunct/>
        <w:autoSpaceDE/>
        <w:autoSpaceDN/>
        <w:adjustRightInd/>
        <w:spacing w:after="160" w:line="259" w:lineRule="auto"/>
        <w:textAlignment w:val="auto"/>
      </w:pPr>
      <w:r>
        <w:t xml:space="preserve">#1: the number of </w:t>
      </w:r>
      <w:r>
        <w:rPr>
          <w:rFonts w:eastAsia="SimSun"/>
          <w:bCs/>
        </w:rPr>
        <w:t>TRP/panel/beam</w:t>
      </w:r>
      <w:r>
        <w:t>s</w:t>
      </w:r>
    </w:p>
    <w:p w14:paraId="3ED2B0B6" w14:textId="77777777" w:rsidR="003A0509" w:rsidRDefault="002C50A5">
      <w:pPr>
        <w:pStyle w:val="ListParagraph"/>
        <w:numPr>
          <w:ilvl w:val="1"/>
          <w:numId w:val="27"/>
        </w:numPr>
        <w:overflowPunct/>
        <w:autoSpaceDE/>
        <w:autoSpaceDN/>
        <w:adjustRightInd/>
        <w:spacing w:after="160" w:line="259" w:lineRule="auto"/>
        <w:textAlignment w:val="auto"/>
        <w:rPr>
          <w:rFonts w:eastAsia="SimSun"/>
          <w:bCs/>
          <w:szCs w:val="28"/>
        </w:rPr>
      </w:pPr>
      <w:r>
        <w:t>#2: Repetition/Diversity of DCI/UCI</w:t>
      </w:r>
    </w:p>
    <w:p w14:paraId="3ED2B0B7" w14:textId="77777777" w:rsidR="003A0509" w:rsidRDefault="002C50A5">
      <w:pPr>
        <w:pStyle w:val="ListParagraph"/>
        <w:numPr>
          <w:ilvl w:val="1"/>
          <w:numId w:val="27"/>
        </w:numPr>
        <w:overflowPunct/>
        <w:autoSpaceDE/>
        <w:autoSpaceDN/>
        <w:adjustRightInd/>
        <w:spacing w:after="160" w:line="259" w:lineRule="auto"/>
        <w:textAlignment w:val="auto"/>
        <w:rPr>
          <w:rFonts w:eastAsia="SimSun"/>
          <w:bCs/>
          <w:szCs w:val="28"/>
        </w:rPr>
      </w:pPr>
      <w:r>
        <w:t>Other enhancements are not excluded.</w:t>
      </w:r>
    </w:p>
    <w:p w14:paraId="3ED2B0B8" w14:textId="77777777" w:rsidR="003A0509" w:rsidRDefault="002C50A5">
      <w:pPr>
        <w:pStyle w:val="ListParagraph"/>
        <w:spacing w:after="160" w:line="259" w:lineRule="auto"/>
        <w:ind w:left="0"/>
      </w:pPr>
      <w:r>
        <w:t>FFS: Non-ideal backhaul case</w:t>
      </w:r>
    </w:p>
    <w:p w14:paraId="3ED2B0B9" w14:textId="31982A4B" w:rsidR="003A0509" w:rsidRDefault="002C50A5">
      <w:r>
        <w:t xml:space="preserve">After RAN1 #95, RAN1 only focused on Multi-TRP techniques for PDSCH, and no other agreement was made for other channels. Given the limited time left in Rel-16 eMIMO discussions, it is reasonable to conclude that other channels shall not be discussed further in Rel-16, and only focus on finishing the agreed Multi-TRP schemes for PDSCH. </w:t>
      </w:r>
    </w:p>
    <w:p w14:paraId="3ED2B0BA" w14:textId="77777777" w:rsidR="003A0509" w:rsidRDefault="002C50A5">
      <w:pPr>
        <w:rPr>
          <w:b/>
        </w:rPr>
      </w:pPr>
      <w:r>
        <w:rPr>
          <w:b/>
        </w:rPr>
        <w:t xml:space="preserve">Proposal: Multi-TRP techniques to handle URLLC requirements in </w:t>
      </w:r>
      <w:r>
        <w:rPr>
          <w:b/>
          <w:bCs/>
        </w:rPr>
        <w:t>PUSCH, PDCCH and PUCCH shall be excluded from Rel-16</w:t>
      </w:r>
      <w:r>
        <w:rPr>
          <w:b/>
        </w:rPr>
        <w:t>.</w:t>
      </w:r>
    </w:p>
    <w:p w14:paraId="3ED2B0BB" w14:textId="77777777" w:rsidR="003A0509" w:rsidRDefault="003A0509">
      <w:pPr>
        <w:rPr>
          <w:b/>
          <w:highlight w:val="yellow"/>
        </w:rPr>
      </w:pPr>
    </w:p>
    <w:p w14:paraId="3ED2B0BD" w14:textId="1C37B9E1" w:rsidR="003A0509" w:rsidRDefault="009E67D0">
      <w:pPr>
        <w:pStyle w:val="Heading1"/>
      </w:pPr>
      <w:r>
        <w:rPr>
          <w:lang w:val="en-US"/>
        </w:rPr>
        <w:t xml:space="preserve">FR2 </w:t>
      </w:r>
      <w:r w:rsidR="002C50A5">
        <w:rPr>
          <w:lang w:val="en-US"/>
        </w:rPr>
        <w:t xml:space="preserve">MPE </w:t>
      </w:r>
      <w:r>
        <w:rPr>
          <w:lang w:val="en-US"/>
        </w:rPr>
        <w:t>not adressed in</w:t>
      </w:r>
      <w:r w:rsidR="002C50A5">
        <w:rPr>
          <w:lang w:val="en-US"/>
        </w:rPr>
        <w:t xml:space="preserve"> eMIMO WI</w:t>
      </w:r>
    </w:p>
    <w:p w14:paraId="3ED2B0BE" w14:textId="4D89E169" w:rsidR="003A0509" w:rsidRDefault="002C50A5">
      <w:r>
        <w:t xml:space="preserve">Another aspect impacted by RAN1#98’s conclusions is on the potential techniques to handle </w:t>
      </w:r>
      <w:r w:rsidR="009E67D0">
        <w:t xml:space="preserve">FR2 </w:t>
      </w:r>
      <w:r>
        <w:t>Maximum Permissible Exposure (MPE), which RAN#84 decided would be revisited in RAN#85 [3]. In this case RAN1 has however arrived at the following conclusion in RAN1#98:</w:t>
      </w:r>
    </w:p>
    <w:p w14:paraId="3ED2B0BF" w14:textId="77777777" w:rsidR="003A0509" w:rsidRDefault="002C50A5">
      <w:pPr>
        <w:ind w:left="1298"/>
        <w:rPr>
          <w:b/>
          <w:bCs/>
          <w:i/>
          <w:lang w:val="en-US" w:eastAsia="x-none"/>
        </w:rPr>
      </w:pPr>
      <w:r>
        <w:rPr>
          <w:b/>
          <w:bCs/>
          <w:i/>
          <w:lang w:val="en-US" w:eastAsia="x-none"/>
        </w:rPr>
        <w:t>Conclusion</w:t>
      </w:r>
    </w:p>
    <w:p w14:paraId="3ED2B0C0" w14:textId="77777777" w:rsidR="003A0509" w:rsidRDefault="002C50A5">
      <w:pPr>
        <w:ind w:left="1298"/>
        <w:rPr>
          <w:i/>
          <w:lang w:val="en-US" w:eastAsia="x-none"/>
        </w:rPr>
      </w:pPr>
      <w:r>
        <w:rPr>
          <w:i/>
          <w:lang w:val="en-US" w:eastAsia="x-none"/>
        </w:rPr>
        <w:t>On the issue of beam management enhancements to address MPE, there is no consensus in RAN1 to introduce additional specification support in RAN1. No further discussion for Rel-16 from RAN1 perspective.</w:t>
      </w:r>
    </w:p>
    <w:p w14:paraId="3ED2B0C1" w14:textId="3CFF9141" w:rsidR="003A0509" w:rsidRDefault="002C50A5">
      <w:r>
        <w:t xml:space="preserve">While it is certainly disappointing that RAN1 was unable to follow the request from RAN4 to provide </w:t>
      </w:r>
      <w:r w:rsidR="00131FA8">
        <w:t xml:space="preserve">beam management </w:t>
      </w:r>
      <w:r>
        <w:t xml:space="preserve">support on mitigating the impacts of MPE on FR2 performance, it is expected that part of the work will continue in RAN4 given its relevance for NR deployments. </w:t>
      </w:r>
    </w:p>
    <w:p w14:paraId="3ED2B0C2" w14:textId="77777777" w:rsidR="003A0509" w:rsidRDefault="002C50A5">
      <w:r>
        <w:lastRenderedPageBreak/>
        <w:t xml:space="preserve">Beam management with multi-panel UEs is one promising way to address limitations due to MPE, and it is an important topic for future MIMO work in NR. </w:t>
      </w:r>
    </w:p>
    <w:p w14:paraId="3ED2B0C5" w14:textId="77777777" w:rsidR="003A0509" w:rsidRDefault="003A0509">
      <w:pPr>
        <w:rPr>
          <w:lang w:val="en-US"/>
        </w:rPr>
      </w:pPr>
    </w:p>
    <w:p w14:paraId="3ED2B0C6" w14:textId="77777777" w:rsidR="003A0509" w:rsidRDefault="002C50A5">
      <w:pPr>
        <w:pStyle w:val="Heading1"/>
      </w:pPr>
      <w:r>
        <w:t>Summary</w:t>
      </w:r>
    </w:p>
    <w:p w14:paraId="3ED2B0C7" w14:textId="53EE4457" w:rsidR="003A0509" w:rsidRDefault="003E475E">
      <w:pPr>
        <w:rPr>
          <w:b/>
        </w:rPr>
      </w:pPr>
      <w:r>
        <w:rPr>
          <w:b/>
        </w:rPr>
        <w:t>Proposal: RAN Plenary to confirm conclusion in RAN1#98 on UE panel specific uplink beam selection and remove corresponding objective from Rel-16.</w:t>
      </w:r>
    </w:p>
    <w:p w14:paraId="3C11F2B0" w14:textId="77777777" w:rsidR="003E475E" w:rsidRDefault="003E475E" w:rsidP="003E475E">
      <w:pPr>
        <w:rPr>
          <w:b/>
        </w:rPr>
      </w:pPr>
      <w:r>
        <w:rPr>
          <w:b/>
        </w:rPr>
        <w:t>Observation: The impacts of RAN1#98’s conclusions on MP-UEs to other objectives need to be understood in order to ensure conclusion of those objectives within Rel-16 timeframe.</w:t>
      </w:r>
    </w:p>
    <w:p w14:paraId="1798219B" w14:textId="77777777" w:rsidR="003E475E" w:rsidRDefault="003E475E" w:rsidP="003E475E">
      <w:pPr>
        <w:rPr>
          <w:b/>
        </w:rPr>
      </w:pPr>
      <w:r>
        <w:rPr>
          <w:b/>
        </w:rPr>
        <w:t>Observation: RAN1#98’s conclusions might make NCJT-based Multi-TRP impractical in FR2.</w:t>
      </w:r>
    </w:p>
    <w:p w14:paraId="424DFEB7" w14:textId="77777777" w:rsidR="003E475E" w:rsidRDefault="003E475E" w:rsidP="003E475E">
      <w:pPr>
        <w:rPr>
          <w:b/>
        </w:rPr>
      </w:pPr>
      <w:r>
        <w:rPr>
          <w:b/>
        </w:rPr>
        <w:t>Observation: RAN1#98’s conclusions should not prevent the continuation of work on TDM-based Multi-TRP for URLLC, including in FR2.</w:t>
      </w:r>
    </w:p>
    <w:p w14:paraId="4531904A" w14:textId="77777777" w:rsidR="003E475E" w:rsidRDefault="003E475E" w:rsidP="003E475E">
      <w:pPr>
        <w:rPr>
          <w:b/>
        </w:rPr>
      </w:pPr>
      <w:r>
        <w:rPr>
          <w:b/>
        </w:rPr>
        <w:t>Proposal: RAN Plenary should take note of how RAN1#98’s conclusions on multi-panel UEs adversely affect the ability to support NCJT Multi-TRP operation in FR2. Explicit support for multi-panel UEs in order to enable effective NCJT Multi-TRP operation in FR2 should be prioritised in the scoping of MIMO enhancements in Rel-17.</w:t>
      </w:r>
    </w:p>
    <w:p w14:paraId="5E162F76" w14:textId="77777777" w:rsidR="003E475E" w:rsidRDefault="003E475E" w:rsidP="003E475E">
      <w:pPr>
        <w:rPr>
          <w:b/>
        </w:rPr>
      </w:pPr>
      <w:r>
        <w:rPr>
          <w:b/>
        </w:rPr>
        <w:t xml:space="preserve">Proposal: Multi-TRP techniques to handle URLLC requirements in </w:t>
      </w:r>
      <w:r>
        <w:rPr>
          <w:b/>
          <w:bCs/>
        </w:rPr>
        <w:t>PUSCH, PDCCH and PUCCH shall be excluded from Rel-16</w:t>
      </w:r>
      <w:r>
        <w:rPr>
          <w:b/>
        </w:rPr>
        <w:t>.</w:t>
      </w:r>
    </w:p>
    <w:p w14:paraId="3ED2B0C8" w14:textId="77777777" w:rsidR="003A0509" w:rsidRDefault="002C50A5">
      <w:pPr>
        <w:pStyle w:val="Heading1"/>
        <w:numPr>
          <w:ilvl w:val="0"/>
          <w:numId w:val="0"/>
        </w:numPr>
        <w:ind w:left="432" w:hanging="432"/>
      </w:pPr>
      <w:r>
        <w:t>References</w:t>
      </w:r>
    </w:p>
    <w:p w14:paraId="3ED2B0C9" w14:textId="77777777" w:rsidR="003A0509" w:rsidRDefault="002C50A5">
      <w:pPr>
        <w:ind w:left="432" w:hanging="432"/>
        <w:textAlignment w:val="auto"/>
        <w:rPr>
          <w:i/>
        </w:rPr>
      </w:pPr>
      <w:r>
        <w:t>[1]</w:t>
      </w:r>
      <w:r>
        <w:tab/>
        <w:t xml:space="preserve">RP-182863, </w:t>
      </w:r>
      <w:r>
        <w:rPr>
          <w:i/>
        </w:rPr>
        <w:t>Revised WID: Enhancements on MIMO for NR; rapporteur: Samsung</w:t>
      </w:r>
    </w:p>
    <w:p w14:paraId="3ED2B0CA" w14:textId="77777777" w:rsidR="003A0509" w:rsidRDefault="002C50A5">
      <w:pPr>
        <w:ind w:left="432" w:hanging="432"/>
        <w:textAlignment w:val="auto"/>
      </w:pPr>
      <w:r>
        <w:t xml:space="preserve">[2]  </w:t>
      </w:r>
      <w:r>
        <w:rPr>
          <w:i/>
        </w:rPr>
        <w:t>Chairman’s notes RAN1#98</w:t>
      </w:r>
      <w:r>
        <w:t>, Prague, Aug. 2019</w:t>
      </w:r>
    </w:p>
    <w:p w14:paraId="4C20AE76" w14:textId="1C092965" w:rsidR="003E475E" w:rsidRDefault="002C50A5">
      <w:pPr>
        <w:ind w:left="432" w:hanging="432"/>
        <w:textAlignment w:val="auto"/>
      </w:pPr>
      <w:r>
        <w:t>[3]</w:t>
      </w:r>
      <w:r>
        <w:tab/>
      </w:r>
      <w:r w:rsidR="003E475E" w:rsidRPr="003E475E">
        <w:rPr>
          <w:i/>
        </w:rPr>
        <w:t>Draft report of RAN #84 held in Newport Beach, USA, 03.06.-06.06.2019</w:t>
      </w:r>
    </w:p>
    <w:p w14:paraId="3ED2B0CD" w14:textId="77777777" w:rsidR="003A0509" w:rsidRDefault="003A0509">
      <w:pPr>
        <w:ind w:left="426" w:hanging="426"/>
        <w:textAlignment w:val="auto"/>
      </w:pPr>
    </w:p>
    <w:sectPr w:rsidR="003A0509">
      <w:headerReference w:type="even" r:id="rId15"/>
      <w:headerReference w:type="default" r:id="rId16"/>
      <w:footerReference w:type="default" r:id="rId17"/>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2B0FF" w14:textId="77777777" w:rsidR="002C50A5" w:rsidRDefault="002C50A5">
      <w:r>
        <w:separator/>
      </w:r>
    </w:p>
    <w:p w14:paraId="3ED2B100" w14:textId="77777777" w:rsidR="002C50A5" w:rsidRDefault="002C50A5"/>
  </w:endnote>
  <w:endnote w:type="continuationSeparator" w:id="0">
    <w:p w14:paraId="3ED2B101" w14:textId="77777777" w:rsidR="002C50A5" w:rsidRDefault="002C50A5">
      <w:r>
        <w:continuationSeparator/>
      </w:r>
    </w:p>
    <w:p w14:paraId="3ED2B102" w14:textId="77777777" w:rsidR="002C50A5" w:rsidRDefault="002C50A5"/>
  </w:endnote>
  <w:endnote w:type="continuationNotice" w:id="1">
    <w:p w14:paraId="6C15AB58" w14:textId="77777777" w:rsidR="00673F86" w:rsidRDefault="00673F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2B105" w14:textId="77777777" w:rsidR="002C50A5" w:rsidRDefault="002C50A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ED2B106" w14:textId="77777777" w:rsidR="002C50A5" w:rsidRDefault="002C50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2B0FB" w14:textId="77777777" w:rsidR="002C50A5" w:rsidRDefault="002C50A5">
      <w:r>
        <w:separator/>
      </w:r>
    </w:p>
    <w:p w14:paraId="3ED2B0FC" w14:textId="77777777" w:rsidR="002C50A5" w:rsidRDefault="002C50A5"/>
  </w:footnote>
  <w:footnote w:type="continuationSeparator" w:id="0">
    <w:p w14:paraId="3ED2B0FD" w14:textId="77777777" w:rsidR="002C50A5" w:rsidRDefault="002C50A5">
      <w:r>
        <w:continuationSeparator/>
      </w:r>
    </w:p>
    <w:p w14:paraId="3ED2B0FE" w14:textId="77777777" w:rsidR="002C50A5" w:rsidRDefault="002C50A5"/>
  </w:footnote>
  <w:footnote w:type="continuationNotice" w:id="1">
    <w:p w14:paraId="6C72021C" w14:textId="77777777" w:rsidR="00673F86" w:rsidRDefault="00673F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2B103" w14:textId="77777777" w:rsidR="002C50A5" w:rsidRDefault="002C50A5"/>
  <w:p w14:paraId="3ED2B104" w14:textId="77777777" w:rsidR="002C50A5" w:rsidRDefault="002C50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89077" w14:textId="77777777" w:rsidR="00673F86" w:rsidRDefault="00673F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E25"/>
    <w:multiLevelType w:val="hybridMultilevel"/>
    <w:tmpl w:val="C8ACEFB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AA2074"/>
    <w:multiLevelType w:val="hybridMultilevel"/>
    <w:tmpl w:val="6A281E48"/>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6C2106"/>
    <w:multiLevelType w:val="hybridMultilevel"/>
    <w:tmpl w:val="E86A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0E248C5"/>
    <w:multiLevelType w:val="hybridMultilevel"/>
    <w:tmpl w:val="76D2DCC6"/>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5E538B"/>
    <w:multiLevelType w:val="hybridMultilevel"/>
    <w:tmpl w:val="8E04BDE4"/>
    <w:lvl w:ilvl="0" w:tplc="DAC0975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12" w15:restartNumberingAfterBreak="0">
    <w:nsid w:val="30846C20"/>
    <w:multiLevelType w:val="hybridMultilevel"/>
    <w:tmpl w:val="D0FA9100"/>
    <w:lvl w:ilvl="0" w:tplc="C2B6354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C7C59"/>
    <w:multiLevelType w:val="hybridMultilevel"/>
    <w:tmpl w:val="5FD6077A"/>
    <w:lvl w:ilvl="0" w:tplc="08090003">
      <w:start w:val="1"/>
      <w:numFmt w:val="bullet"/>
      <w:lvlText w:val="o"/>
      <w:lvlJc w:val="left"/>
      <w:pPr>
        <w:ind w:left="1080" w:hanging="360"/>
      </w:pPr>
      <w:rPr>
        <w:rFonts w:ascii="Courier New" w:hAnsi="Courier New" w:cs="Courier New"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4" w15:restartNumberingAfterBreak="0">
    <w:nsid w:val="3377169C"/>
    <w:multiLevelType w:val="hybridMultilevel"/>
    <w:tmpl w:val="8C1A6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4A437B"/>
    <w:multiLevelType w:val="hybridMultilevel"/>
    <w:tmpl w:val="08AADD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7"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C83212"/>
    <w:multiLevelType w:val="hybridMultilevel"/>
    <w:tmpl w:val="31224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1F42D8"/>
    <w:multiLevelType w:val="hybridMultilevel"/>
    <w:tmpl w:val="99B09272"/>
    <w:lvl w:ilvl="0" w:tplc="A0CAF89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8379C2"/>
    <w:multiLevelType w:val="hybridMultilevel"/>
    <w:tmpl w:val="34C6E32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B501FDD"/>
    <w:multiLevelType w:val="hybridMultilevel"/>
    <w:tmpl w:val="4E1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0F055D"/>
    <w:multiLevelType w:val="hybridMultilevel"/>
    <w:tmpl w:val="D91E0D12"/>
    <w:lvl w:ilvl="0" w:tplc="AF527ED8">
      <w:start w:val="1"/>
      <w:numFmt w:val="bullet"/>
      <w:lvlText w:val=""/>
      <w:lvlJc w:val="left"/>
      <w:pPr>
        <w:ind w:left="720" w:hanging="360"/>
      </w:pPr>
      <w:rPr>
        <w:rFonts w:ascii="Symbol" w:hAnsi="Symbol" w:hint="default"/>
      </w:rPr>
    </w:lvl>
    <w:lvl w:ilvl="1" w:tplc="A4B897C0">
      <w:start w:val="1"/>
      <w:numFmt w:val="bullet"/>
      <w:lvlText w:val="o"/>
      <w:lvlJc w:val="left"/>
      <w:pPr>
        <w:ind w:left="1440" w:hanging="360"/>
      </w:pPr>
      <w:rPr>
        <w:rFonts w:ascii="Courier New" w:hAnsi="Courier New" w:hint="default"/>
      </w:rPr>
    </w:lvl>
    <w:lvl w:ilvl="2" w:tplc="064CE2D8">
      <w:start w:val="1"/>
      <w:numFmt w:val="bullet"/>
      <w:lvlText w:val=""/>
      <w:lvlJc w:val="left"/>
      <w:pPr>
        <w:ind w:left="2160" w:hanging="360"/>
      </w:pPr>
      <w:rPr>
        <w:rFonts w:ascii="Wingdings" w:hAnsi="Wingdings" w:hint="default"/>
      </w:rPr>
    </w:lvl>
    <w:lvl w:ilvl="3" w:tplc="242ACBE2">
      <w:start w:val="1"/>
      <w:numFmt w:val="bullet"/>
      <w:lvlText w:val=""/>
      <w:lvlJc w:val="left"/>
      <w:pPr>
        <w:ind w:left="2880" w:hanging="360"/>
      </w:pPr>
      <w:rPr>
        <w:rFonts w:ascii="Symbol" w:hAnsi="Symbol" w:hint="default"/>
      </w:rPr>
    </w:lvl>
    <w:lvl w:ilvl="4" w:tplc="23584A3C">
      <w:start w:val="1"/>
      <w:numFmt w:val="bullet"/>
      <w:lvlText w:val="o"/>
      <w:lvlJc w:val="left"/>
      <w:pPr>
        <w:ind w:left="3600" w:hanging="360"/>
      </w:pPr>
      <w:rPr>
        <w:rFonts w:ascii="Courier New" w:hAnsi="Courier New" w:hint="default"/>
      </w:rPr>
    </w:lvl>
    <w:lvl w:ilvl="5" w:tplc="3954D4FE">
      <w:start w:val="1"/>
      <w:numFmt w:val="bullet"/>
      <w:lvlText w:val=""/>
      <w:lvlJc w:val="left"/>
      <w:pPr>
        <w:ind w:left="4320" w:hanging="360"/>
      </w:pPr>
      <w:rPr>
        <w:rFonts w:ascii="Wingdings" w:hAnsi="Wingdings" w:hint="default"/>
      </w:rPr>
    </w:lvl>
    <w:lvl w:ilvl="6" w:tplc="A83C7004">
      <w:start w:val="1"/>
      <w:numFmt w:val="bullet"/>
      <w:lvlText w:val=""/>
      <w:lvlJc w:val="left"/>
      <w:pPr>
        <w:ind w:left="5040" w:hanging="360"/>
      </w:pPr>
      <w:rPr>
        <w:rFonts w:ascii="Symbol" w:hAnsi="Symbol" w:hint="default"/>
      </w:rPr>
    </w:lvl>
    <w:lvl w:ilvl="7" w:tplc="C9044EF4">
      <w:start w:val="1"/>
      <w:numFmt w:val="bullet"/>
      <w:lvlText w:val="o"/>
      <w:lvlJc w:val="left"/>
      <w:pPr>
        <w:ind w:left="5760" w:hanging="360"/>
      </w:pPr>
      <w:rPr>
        <w:rFonts w:ascii="Courier New" w:hAnsi="Courier New" w:hint="default"/>
      </w:rPr>
    </w:lvl>
    <w:lvl w:ilvl="8" w:tplc="527A80D6">
      <w:start w:val="1"/>
      <w:numFmt w:val="bullet"/>
      <w:lvlText w:val=""/>
      <w:lvlJc w:val="left"/>
      <w:pPr>
        <w:ind w:left="6480" w:hanging="360"/>
      </w:pPr>
      <w:rPr>
        <w:rFonts w:ascii="Wingdings" w:hAnsi="Wingdings" w:hint="default"/>
      </w:rPr>
    </w:lvl>
  </w:abstractNum>
  <w:abstractNum w:abstractNumId="24" w15:restartNumberingAfterBreak="0">
    <w:nsid w:val="7241086A"/>
    <w:multiLevelType w:val="hybridMultilevel"/>
    <w:tmpl w:val="157CB47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2E4781A"/>
    <w:multiLevelType w:val="hybridMultilevel"/>
    <w:tmpl w:val="A4583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D8509F"/>
    <w:multiLevelType w:val="hybridMultilevel"/>
    <w:tmpl w:val="E43A3CFA"/>
    <w:lvl w:ilvl="0" w:tplc="B6FEB9F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28"/>
  </w:num>
  <w:num w:numId="4">
    <w:abstractNumId w:val="27"/>
  </w:num>
  <w:num w:numId="5">
    <w:abstractNumId w:val="18"/>
  </w:num>
  <w:num w:numId="6">
    <w:abstractNumId w:val="0"/>
  </w:num>
  <w:num w:numId="7">
    <w:abstractNumId w:val="7"/>
  </w:num>
  <w:num w:numId="8">
    <w:abstractNumId w:val="2"/>
  </w:num>
  <w:num w:numId="9">
    <w:abstractNumId w:val="13"/>
  </w:num>
  <w:num w:numId="10">
    <w:abstractNumId w:val="22"/>
  </w:num>
  <w:num w:numId="11">
    <w:abstractNumId w:val="16"/>
  </w:num>
  <w:num w:numId="12">
    <w:abstractNumId w:val="6"/>
  </w:num>
  <w:num w:numId="13">
    <w:abstractNumId w:val="1"/>
  </w:num>
  <w:num w:numId="14">
    <w:abstractNumId w:val="17"/>
  </w:num>
  <w:num w:numId="15">
    <w:abstractNumId w:val="15"/>
  </w:num>
  <w:num w:numId="16">
    <w:abstractNumId w:val="4"/>
  </w:num>
  <w:num w:numId="17">
    <w:abstractNumId w:val="10"/>
  </w:num>
  <w:num w:numId="18">
    <w:abstractNumId w:val="3"/>
  </w:num>
  <w:num w:numId="19">
    <w:abstractNumId w:val="19"/>
  </w:num>
  <w:num w:numId="20">
    <w:abstractNumId w:val="20"/>
  </w:num>
  <w:num w:numId="21">
    <w:abstractNumId w:val="12"/>
  </w:num>
  <w:num w:numId="22">
    <w:abstractNumId w:val="8"/>
  </w:num>
  <w:num w:numId="23">
    <w:abstractNumId w:val="26"/>
  </w:num>
  <w:num w:numId="24">
    <w:abstractNumId w:val="21"/>
  </w:num>
  <w:num w:numId="25">
    <w:abstractNumId w:val="25"/>
  </w:num>
  <w:num w:numId="26">
    <w:abstractNumId w:val="24"/>
  </w:num>
  <w:num w:numId="27">
    <w:abstractNumId w:val="5"/>
  </w:num>
  <w:num w:numId="28">
    <w:abstractNumId w:val="9"/>
  </w:num>
  <w:num w:numId="2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509"/>
    <w:rsid w:val="000518B2"/>
    <w:rsid w:val="00131FA8"/>
    <w:rsid w:val="002C50A5"/>
    <w:rsid w:val="003A0509"/>
    <w:rsid w:val="003E475E"/>
    <w:rsid w:val="00673F86"/>
    <w:rsid w:val="008B38DC"/>
    <w:rsid w:val="009E1C6C"/>
    <w:rsid w:val="009E67D0"/>
    <w:rsid w:val="00B72DFD"/>
    <w:rsid w:val="00E265AE"/>
    <w:rsid w:val="00E54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ED2B07E"/>
  <w15:chartTrackingRefBased/>
  <w15:docId w15:val="{06157BC5-1A52-4A38-8B0D-5813277EC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paragraph" w:styleId="Title">
    <w:name w:val="Title"/>
    <w:basedOn w:val="Normal"/>
    <w:link w:val="TitleChar"/>
    <w:qFormat/>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rPr>
  </w:style>
  <w:style w:type="paragraph" w:customStyle="1" w:styleId="ColorfulList-Accent11">
    <w:name w:val="Colorful List - Accent 11"/>
    <w:basedOn w:val="Normal"/>
    <w:uiPriority w:val="34"/>
    <w:qFormat/>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Pr>
      <w:rFonts w:ascii="Arial" w:hAnsi="Arial"/>
      <w:b/>
      <w:color w:val="000000"/>
      <w:sz w:val="18"/>
      <w:lang w:val="en-GB" w:eastAsia="ja-JP"/>
    </w:rPr>
  </w:style>
  <w:style w:type="character" w:customStyle="1" w:styleId="THChar">
    <w:name w:val="TH Char"/>
    <w:link w:val="TH"/>
    <w:rPr>
      <w:rFonts w:ascii="Arial" w:hAnsi="Arial"/>
      <w:b/>
      <w:color w:val="000000"/>
      <w:lang w:val="en-GB" w:eastAsia="ja-JP"/>
    </w:rPr>
  </w:style>
  <w:style w:type="character" w:customStyle="1" w:styleId="CommentTextChar">
    <w:name w:val="Comment Text Char"/>
    <w:link w:val="CommentText"/>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Pr>
      <w:b/>
      <w:bCs/>
    </w:rPr>
  </w:style>
  <w:style w:type="character" w:customStyle="1" w:styleId="FooterChar">
    <w:name w:val="Footer Char"/>
    <w:link w:val="Footer"/>
    <w:uiPriority w:val="99"/>
    <w:rPr>
      <w:color w:val="000000"/>
      <w:lang w:val="en-GB" w:eastAsia="ja-JP"/>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rPr>
      <w:rFonts w:eastAsia="MS Mincho"/>
      <w:color w:val="auto"/>
      <w:lang w:eastAsia="en-US"/>
    </w:rPr>
  </w:style>
  <w:style w:type="character" w:customStyle="1" w:styleId="ng-binding">
    <w:name w:val="ng-binding"/>
  </w:style>
  <w:style w:type="paragraph" w:customStyle="1" w:styleId="a">
    <w:name w:val="插图题注"/>
    <w:basedOn w:val="Normal"/>
    <w:pPr>
      <w:overflowPunct/>
      <w:autoSpaceDE/>
      <w:autoSpaceDN/>
      <w:adjustRightInd/>
      <w:textAlignment w:val="auto"/>
    </w:pPr>
    <w:rPr>
      <w:color w:val="auto"/>
      <w:lang w:eastAsia="en-US"/>
    </w:rPr>
  </w:style>
  <w:style w:type="paragraph" w:customStyle="1" w:styleId="a0">
    <w:name w:val="表格题注"/>
    <w:basedOn w:val="Normal"/>
    <w:pPr>
      <w:overflowPunct/>
      <w:autoSpaceDE/>
      <w:autoSpaceDN/>
      <w:adjustRightInd/>
      <w:textAlignment w:val="auto"/>
    </w:pPr>
    <w:rPr>
      <w:color w:val="auto"/>
      <w:lang w:eastAsia="en-US"/>
    </w:rPr>
  </w:style>
  <w:style w:type="character" w:styleId="Hyperlink">
    <w:name w:val="Hyperlink"/>
    <w:uiPriority w:val="99"/>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Pr>
      <w:b/>
      <w:bCs/>
      <w:color w:val="000000"/>
      <w:lang w:val="en-GB"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Pr>
      <w:rFonts w:eastAsia="MS Mincho"/>
      <w:lang w:val="en-GB"/>
    </w:rPr>
  </w:style>
  <w:style w:type="paragraph" w:customStyle="1" w:styleId="NotDone">
    <w:name w:val="Not Done"/>
    <w:basedOn w:val="Normal"/>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1125"/>
        <w:tab w:val="left" w:pos="1843"/>
      </w:tabs>
      <w:overflowPunct/>
      <w:autoSpaceDE/>
      <w:autoSpaceDN/>
      <w:adjustRightInd/>
      <w:spacing w:before="60" w:after="60"/>
      <w:jc w:val="both"/>
      <w:textAlignment w:val="auto"/>
    </w:pPr>
    <w:rPr>
      <w:rFonts w:ascii="Arial" w:hAnsi="Arial"/>
      <w:b/>
      <w:color w:val="FF0000"/>
      <w:lang w:eastAsia="en-US"/>
    </w:rPr>
  </w:style>
  <w:style w:type="character" w:customStyle="1" w:styleId="HeaderChar">
    <w:name w:val="Header Char"/>
    <w:basedOn w:val="DefaultParagraphFont"/>
    <w:link w:val="Header"/>
    <w:uiPriority w:val="99"/>
    <w:semiHidden/>
    <w:rPr>
      <w:color w:val="000000"/>
      <w:lang w:val="en-GB" w:eastAsia="ja-JP"/>
    </w:rPr>
  </w:style>
  <w:style w:type="character" w:customStyle="1" w:styleId="B1Char1">
    <w:name w:val="B1 Char1"/>
    <w:link w:val="B1"/>
    <w:locke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7644">
      <w:bodyDiv w:val="1"/>
      <w:marLeft w:val="0"/>
      <w:marRight w:val="0"/>
      <w:marTop w:val="0"/>
      <w:marBottom w:val="0"/>
      <w:divBdr>
        <w:top w:val="none" w:sz="0" w:space="0" w:color="auto"/>
        <w:left w:val="none" w:sz="0" w:space="0" w:color="auto"/>
        <w:bottom w:val="none" w:sz="0" w:space="0" w:color="auto"/>
        <w:right w:val="none" w:sz="0" w:space="0" w:color="auto"/>
      </w:divBdr>
    </w:div>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14981306">
      <w:bodyDiv w:val="1"/>
      <w:marLeft w:val="0"/>
      <w:marRight w:val="0"/>
      <w:marTop w:val="0"/>
      <w:marBottom w:val="0"/>
      <w:divBdr>
        <w:top w:val="none" w:sz="0" w:space="0" w:color="auto"/>
        <w:left w:val="none" w:sz="0" w:space="0" w:color="auto"/>
        <w:bottom w:val="none" w:sz="0" w:space="0" w:color="auto"/>
        <w:right w:val="none" w:sz="0" w:space="0" w:color="auto"/>
      </w:divBdr>
      <w:divsChild>
        <w:div w:id="57556697">
          <w:marLeft w:val="806"/>
          <w:marRight w:val="0"/>
          <w:marTop w:val="0"/>
          <w:marBottom w:val="120"/>
          <w:divBdr>
            <w:top w:val="none" w:sz="0" w:space="0" w:color="auto"/>
            <w:left w:val="none" w:sz="0" w:space="0" w:color="auto"/>
            <w:bottom w:val="none" w:sz="0" w:space="0" w:color="auto"/>
            <w:right w:val="none" w:sz="0" w:space="0" w:color="auto"/>
          </w:divBdr>
        </w:div>
        <w:div w:id="180512177">
          <w:marLeft w:val="806"/>
          <w:marRight w:val="0"/>
          <w:marTop w:val="0"/>
          <w:marBottom w:val="120"/>
          <w:divBdr>
            <w:top w:val="none" w:sz="0" w:space="0" w:color="auto"/>
            <w:left w:val="none" w:sz="0" w:space="0" w:color="auto"/>
            <w:bottom w:val="none" w:sz="0" w:space="0" w:color="auto"/>
            <w:right w:val="none" w:sz="0" w:space="0" w:color="auto"/>
          </w:divBdr>
        </w:div>
        <w:div w:id="805507183">
          <w:marLeft w:val="806"/>
          <w:marRight w:val="0"/>
          <w:marTop w:val="0"/>
          <w:marBottom w:val="120"/>
          <w:divBdr>
            <w:top w:val="none" w:sz="0" w:space="0" w:color="auto"/>
            <w:left w:val="none" w:sz="0" w:space="0" w:color="auto"/>
            <w:bottom w:val="none" w:sz="0" w:space="0" w:color="auto"/>
            <w:right w:val="none" w:sz="0" w:space="0" w:color="auto"/>
          </w:divBdr>
        </w:div>
        <w:div w:id="1466585043">
          <w:marLeft w:val="806"/>
          <w:marRight w:val="0"/>
          <w:marTop w:val="0"/>
          <w:marBottom w:val="120"/>
          <w:divBdr>
            <w:top w:val="none" w:sz="0" w:space="0" w:color="auto"/>
            <w:left w:val="none" w:sz="0" w:space="0" w:color="auto"/>
            <w:bottom w:val="none" w:sz="0" w:space="0" w:color="auto"/>
            <w:right w:val="none" w:sz="0" w:space="0" w:color="auto"/>
          </w:divBdr>
        </w:div>
        <w:div w:id="1517185570">
          <w:marLeft w:val="446"/>
          <w:marRight w:val="0"/>
          <w:marTop w:val="0"/>
          <w:marBottom w:val="120"/>
          <w:divBdr>
            <w:top w:val="none" w:sz="0" w:space="0" w:color="auto"/>
            <w:left w:val="none" w:sz="0" w:space="0" w:color="auto"/>
            <w:bottom w:val="none" w:sz="0" w:space="0" w:color="auto"/>
            <w:right w:val="none" w:sz="0" w:space="0" w:color="auto"/>
          </w:divBdr>
        </w:div>
        <w:div w:id="1538274442">
          <w:marLeft w:val="446"/>
          <w:marRight w:val="0"/>
          <w:marTop w:val="0"/>
          <w:marBottom w:val="120"/>
          <w:divBdr>
            <w:top w:val="none" w:sz="0" w:space="0" w:color="auto"/>
            <w:left w:val="none" w:sz="0" w:space="0" w:color="auto"/>
            <w:bottom w:val="none" w:sz="0" w:space="0" w:color="auto"/>
            <w:right w:val="none" w:sz="0" w:space="0" w:color="auto"/>
          </w:divBdr>
        </w:div>
        <w:div w:id="1871841865">
          <w:marLeft w:val="806"/>
          <w:marRight w:val="0"/>
          <w:marTop w:val="0"/>
          <w:marBottom w:val="120"/>
          <w:divBdr>
            <w:top w:val="none" w:sz="0" w:space="0" w:color="auto"/>
            <w:left w:val="none" w:sz="0" w:space="0" w:color="auto"/>
            <w:bottom w:val="none" w:sz="0" w:space="0" w:color="auto"/>
            <w:right w:val="none" w:sz="0" w:space="0" w:color="auto"/>
          </w:divBdr>
        </w:div>
        <w:div w:id="1928150637">
          <w:marLeft w:val="806"/>
          <w:marRight w:val="0"/>
          <w:marTop w:val="0"/>
          <w:marBottom w:val="12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719354959">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81890659">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5846177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17451736">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 w:id="206274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9" ma:contentTypeDescription="Create a new document." ma:contentTypeScope="" ma:versionID="0bfb7bd77783a325bafca1fdfd2e4ed7">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820502be2a45297648279af664e57b6d"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5AIRPNAIUNRU-1916262822-666</_dlc_DocId>
    <_dlc_DocIdUrl xmlns="71c5aaf6-e6ce-465b-b873-5148d2a4c105">
      <Url>https://nokia.sharepoint.com/sites/c5g/_layouts/15/DocIdRedir.aspx?ID=5AIRPNAIUNRU-1916262822-666</Url>
      <Description>5AIRPNAIUNRU-1916262822-666</Description>
    </_dlc_DocIdUrl>
    <HideFromDelve xmlns="71c5aaf6-e6ce-465b-b873-5148d2a4c105">false</HideFromDelve>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6754A-3A72-4484-A5C7-2D3694CF2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68E27-5B66-4889-8A0A-B9960AFF77F4}">
  <ds:schemaRefs>
    <ds:schemaRef ds:uri="Microsoft.SharePoint.Taxonomy.ContentTypeSync"/>
  </ds:schemaRefs>
</ds:datastoreItem>
</file>

<file path=customXml/itemProps3.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4.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5.xml><?xml version="1.0" encoding="utf-8"?>
<ds:datastoreItem xmlns:ds="http://schemas.openxmlformats.org/officeDocument/2006/customXml" ds:itemID="{07BFEF19-D18E-4506-AEE2-404A3B0D2449}">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71c5aaf6-e6ce-465b-b873-5148d2a4c105"/>
    <ds:schemaRef ds:uri="9b35e4af-6f1e-436f-9533-0c519f21b230"/>
    <ds:schemaRef ds:uri="109d699c-9c6d-4eef-ab81-bfe25224c215"/>
    <ds:schemaRef ds:uri="http://www.w3.org/XML/1998/namespace"/>
  </ds:schemaRefs>
</ds:datastoreItem>
</file>

<file path=customXml/itemProps6.xml><?xml version="1.0" encoding="utf-8"?>
<ds:datastoreItem xmlns:ds="http://schemas.openxmlformats.org/officeDocument/2006/customXml" ds:itemID="{22B450BF-C4D8-4BBC-A531-1158EDF0D549}">
  <ds:schemaRefs>
    <ds:schemaRef ds:uri="http://schemas.microsoft.com/sharepoint/events"/>
  </ds:schemaRefs>
</ds:datastoreItem>
</file>

<file path=customXml/itemProps7.xml><?xml version="1.0" encoding="utf-8"?>
<ds:datastoreItem xmlns:ds="http://schemas.openxmlformats.org/officeDocument/2006/customXml" ds:itemID="{FBDECF1C-215A-4443-B576-FFCFC32C0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1505</Words>
  <Characters>8076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dc:description/>
  <cp:lastModifiedBy>Nokia</cp:lastModifiedBy>
  <cp:revision>3</cp:revision>
  <cp:lastPrinted>2003-09-26T18:29:00Z</cp:lastPrinted>
  <dcterms:created xsi:type="dcterms:W3CDTF">2019-09-09T17:00:00Z</dcterms:created>
  <dcterms:modified xsi:type="dcterms:W3CDTF">2019-09-09T17:20:00Z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ac9ab4cf-d056-4604-b699-33180feccac4</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0x010100FAB03A38315ACD43A77092EB7608F100</vt:lpwstr>
  </property>
</Properties>
</file>