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89BD9" w14:textId="77777777" w:rsidR="00BB7A37" w:rsidRDefault="00417ADA">
      <w:pPr>
        <w:pStyle w:val="Header"/>
        <w:tabs>
          <w:tab w:val="right" w:pos="9639"/>
        </w:tabs>
        <w:rPr>
          <w:bCs/>
          <w:noProof w:val="0"/>
          <w:sz w:val="24"/>
          <w:szCs w:val="24"/>
        </w:rPr>
      </w:pPr>
      <w:bookmarkStart w:id="0" w:name="_GoBack"/>
      <w:bookmarkEnd w:id="0"/>
      <w:r>
        <w:rPr>
          <w:bCs/>
          <w:noProof w:val="0"/>
          <w:sz w:val="24"/>
          <w:szCs w:val="24"/>
        </w:rPr>
        <w:t>3GPP TSG RAN Meeting #84</w:t>
      </w:r>
      <w:r>
        <w:rPr>
          <w:bCs/>
          <w:noProof w:val="0"/>
          <w:sz w:val="24"/>
          <w:szCs w:val="24"/>
        </w:rPr>
        <w:tab/>
        <w:t>RP-191353</w:t>
      </w:r>
    </w:p>
    <w:p w14:paraId="32889BDA" w14:textId="77777777" w:rsidR="00BB7A37" w:rsidRDefault="00417ADA">
      <w:pPr>
        <w:pStyle w:val="Header"/>
        <w:rPr>
          <w:bCs/>
          <w:noProof w:val="0"/>
          <w:sz w:val="24"/>
          <w:szCs w:val="24"/>
        </w:rPr>
      </w:pPr>
      <w:r>
        <w:rPr>
          <w:bCs/>
          <w:noProof w:val="0"/>
          <w:sz w:val="24"/>
          <w:szCs w:val="24"/>
        </w:rPr>
        <w:t>Newport Beach, California, US, June 3-6, 2019</w:t>
      </w:r>
    </w:p>
    <w:p w14:paraId="32889BDB" w14:textId="77777777" w:rsidR="00BB7A37" w:rsidRDefault="00417ADA">
      <w:pPr>
        <w:pStyle w:val="Header"/>
        <w:tabs>
          <w:tab w:val="right" w:pos="9639"/>
        </w:tabs>
        <w:rPr>
          <w:bCs/>
          <w:noProof w:val="0"/>
          <w:sz w:val="24"/>
          <w:szCs w:val="24"/>
        </w:rPr>
      </w:pPr>
      <w:r>
        <w:rPr>
          <w:bCs/>
          <w:noProof w:val="0"/>
          <w:sz w:val="24"/>
          <w:szCs w:val="24"/>
        </w:rPr>
        <w:tab/>
      </w:r>
    </w:p>
    <w:p w14:paraId="32889BDC" w14:textId="77777777" w:rsidR="00BB7A37" w:rsidRDefault="00BB7A37">
      <w:pPr>
        <w:pStyle w:val="Header"/>
        <w:rPr>
          <w:bCs/>
          <w:noProof w:val="0"/>
          <w:sz w:val="24"/>
          <w:lang w:val="en-GB" w:eastAsia="ja-JP"/>
        </w:rPr>
      </w:pPr>
    </w:p>
    <w:p w14:paraId="32889BDD" w14:textId="77777777" w:rsidR="00BB7A37" w:rsidRDefault="00417ADA">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9.8</w:t>
      </w:r>
    </w:p>
    <w:p w14:paraId="32889BDE" w14:textId="77777777" w:rsidR="00BB7A37" w:rsidRDefault="00417ADA">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Pr>
          <w:rFonts w:ascii="Arial" w:hAnsi="Arial" w:cs="Arial"/>
          <w:b/>
          <w:bCs/>
          <w:sz w:val="24"/>
          <w:szCs w:val="24"/>
        </w:rPr>
        <w:t>Nokia, Nokia Shanghai Bell</w:t>
      </w:r>
    </w:p>
    <w:p w14:paraId="32889BDF" w14:textId="77777777" w:rsidR="00BB7A37" w:rsidRDefault="00417ADA">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 xml:space="preserve">Handling of NR UE capabilities </w:t>
      </w:r>
    </w:p>
    <w:p w14:paraId="32889BE0" w14:textId="77777777" w:rsidR="00BB7A37" w:rsidRDefault="00417ADA">
      <w:pPr>
        <w:rPr>
          <w:rFonts w:ascii="Arial" w:hAnsi="Arial" w:cs="Arial"/>
          <w:b/>
          <w:bCs/>
          <w:sz w:val="24"/>
          <w:szCs w:val="24"/>
        </w:rPr>
      </w:pPr>
      <w:r>
        <w:rPr>
          <w:rFonts w:ascii="Arial" w:hAnsi="Arial" w:cs="Arial"/>
          <w:b/>
          <w:bCs/>
          <w:sz w:val="24"/>
          <w:szCs w:val="24"/>
        </w:rPr>
        <w:t xml:space="preserve">Document </w:t>
      </w:r>
      <w:r>
        <w:rPr>
          <w:rFonts w:ascii="Arial" w:hAnsi="Arial" w:cs="Arial"/>
          <w:b/>
          <w:bCs/>
          <w:sz w:val="24"/>
          <w:szCs w:val="24"/>
        </w:rPr>
        <w:t>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32889BE1" w14:textId="77777777" w:rsidR="00BB7A37" w:rsidRDefault="00417ADA">
      <w:pPr>
        <w:pStyle w:val="Heading1"/>
      </w:pPr>
      <w:r>
        <w:t>Introduction</w:t>
      </w:r>
    </w:p>
    <w:p w14:paraId="32889BE2" w14:textId="77777777" w:rsidR="00BB7A37" w:rsidRDefault="00417ADA">
      <w:r>
        <w:t>In RAN#82 it has been agreed to further discuss how to handle NR UE features that have been categorized as “mandatory with capability”. This topic was briefly discussed in RAN#83, without a firm conclusion due to diverse views</w:t>
      </w:r>
      <w:r>
        <w:t xml:space="preserve"> from different companies. In this contribution we continue the discussion on handling of such features in 3GPP, </w:t>
      </w:r>
      <w:proofErr w:type="gramStart"/>
      <w:r>
        <w:t>in particular considering</w:t>
      </w:r>
      <w:proofErr w:type="gramEnd"/>
      <w:r>
        <w:t xml:space="preserve"> how to address UE futures to be defined for Rel-16 and beyond. </w:t>
      </w:r>
    </w:p>
    <w:p w14:paraId="32889BE3" w14:textId="77777777" w:rsidR="00BB7A37" w:rsidRDefault="00BB7A37"/>
    <w:p w14:paraId="32889BE4" w14:textId="77777777" w:rsidR="00BB7A37" w:rsidRDefault="00417ADA">
      <w:pPr>
        <w:pStyle w:val="Heading1"/>
      </w:pPr>
      <w:bookmarkStart w:id="1" w:name="_Hlk528931115"/>
      <w:r>
        <w:t>Background and discussion</w:t>
      </w:r>
    </w:p>
    <w:p w14:paraId="32889BE5" w14:textId="77777777" w:rsidR="00BB7A37" w:rsidRDefault="00417ADA">
      <w:r>
        <w:t>In TS 38.306 [1], the spec</w:t>
      </w:r>
      <w:r>
        <w:t xml:space="preserve">ification defines support for features that are </w:t>
      </w:r>
      <w:proofErr w:type="gramStart"/>
      <w:r>
        <w:t>mandatory</w:t>
      </w:r>
      <w:proofErr w:type="gramEnd"/>
      <w:r>
        <w:t xml:space="preserve"> but which have an associated capability indication, e.g. those which are “mandatory with capability” in the RAN1 feature list [2]. </w:t>
      </w:r>
      <w:proofErr w:type="gramStart"/>
      <w:r>
        <w:t>In particular, the</w:t>
      </w:r>
      <w:proofErr w:type="gramEnd"/>
      <w:r>
        <w:t xml:space="preserve"> following is defined in section 4.2.1 of [1]:</w:t>
      </w:r>
    </w:p>
    <w:p w14:paraId="32889BE6" w14:textId="77777777" w:rsidR="00BB7A37" w:rsidRDefault="00417ADA">
      <w:pPr>
        <w:ind w:left="284"/>
        <w:rPr>
          <w:i/>
          <w:lang w:eastAsia="ja-JP"/>
        </w:rPr>
      </w:pPr>
      <w:r>
        <w:rPr>
          <w:rFonts w:eastAsia="Malgun Gothic"/>
          <w:i/>
          <w:lang w:val="x-none" w:eastAsia="ko-KR"/>
        </w:rPr>
        <w:t>Fo</w:t>
      </w:r>
      <w:r>
        <w:rPr>
          <w:rFonts w:eastAsia="Malgun Gothic"/>
          <w:i/>
          <w:lang w:val="x-none" w:eastAsia="ko-KR"/>
        </w:rPr>
        <w:t xml:space="preserve">r </w:t>
      </w:r>
      <w:proofErr w:type="spellStart"/>
      <w:r>
        <w:rPr>
          <w:rFonts w:eastAsia="Malgun Gothic"/>
          <w:i/>
          <w:lang w:val="x-none" w:eastAsia="ko-KR"/>
        </w:rPr>
        <w:t>optional</w:t>
      </w:r>
      <w:proofErr w:type="spellEnd"/>
      <w:r>
        <w:rPr>
          <w:rFonts w:eastAsia="Malgun Gothic"/>
          <w:i/>
          <w:lang w:val="x-none" w:eastAsia="ko-KR"/>
        </w:rPr>
        <w:t xml:space="preserve"> </w:t>
      </w:r>
      <w:proofErr w:type="spellStart"/>
      <w:r>
        <w:rPr>
          <w:rFonts w:eastAsia="Malgun Gothic"/>
          <w:i/>
          <w:lang w:val="x-none" w:eastAsia="ko-KR"/>
        </w:rPr>
        <w:t>features</w:t>
      </w:r>
      <w:proofErr w:type="spellEnd"/>
      <w:r>
        <w:rPr>
          <w:rFonts w:eastAsia="Malgun Gothic"/>
          <w:i/>
          <w:lang w:val="x-none" w:eastAsia="ko-KR"/>
        </w:rPr>
        <w:t xml:space="preserve">, </w:t>
      </w:r>
      <w:proofErr w:type="spellStart"/>
      <w:r>
        <w:rPr>
          <w:rFonts w:eastAsia="Malgun Gothic"/>
          <w:i/>
          <w:lang w:val="x-none" w:eastAsia="ko-KR"/>
        </w:rPr>
        <w:t>the</w:t>
      </w:r>
      <w:proofErr w:type="spellEnd"/>
      <w:r>
        <w:rPr>
          <w:rFonts w:eastAsia="Malgun Gothic"/>
          <w:i/>
          <w:lang w:val="x-none" w:eastAsia="ko-KR"/>
        </w:rPr>
        <w:t xml:space="preserve"> UE radio </w:t>
      </w:r>
      <w:proofErr w:type="spellStart"/>
      <w:r>
        <w:rPr>
          <w:rFonts w:eastAsia="Malgun Gothic"/>
          <w:i/>
          <w:lang w:val="x-none" w:eastAsia="ko-KR"/>
        </w:rPr>
        <w:t>access</w:t>
      </w:r>
      <w:proofErr w:type="spellEnd"/>
      <w:r>
        <w:rPr>
          <w:rFonts w:eastAsia="Malgun Gothic"/>
          <w:i/>
          <w:lang w:val="x-none" w:eastAsia="ko-KR"/>
        </w:rPr>
        <w:t xml:space="preserve"> </w:t>
      </w:r>
      <w:proofErr w:type="spellStart"/>
      <w:r>
        <w:rPr>
          <w:rFonts w:eastAsia="Malgun Gothic"/>
          <w:i/>
          <w:lang w:val="x-none" w:eastAsia="ko-KR"/>
        </w:rPr>
        <w:t>capability</w:t>
      </w:r>
      <w:proofErr w:type="spellEnd"/>
      <w:r>
        <w:rPr>
          <w:rFonts w:eastAsia="Malgun Gothic"/>
          <w:i/>
          <w:lang w:val="x-none" w:eastAsia="ko-KR"/>
        </w:rPr>
        <w:t xml:space="preserve"> </w:t>
      </w:r>
      <w:proofErr w:type="spellStart"/>
      <w:r>
        <w:rPr>
          <w:rFonts w:eastAsia="Malgun Gothic"/>
          <w:i/>
          <w:lang w:val="x-none" w:eastAsia="ko-KR"/>
        </w:rPr>
        <w:t>parameter</w:t>
      </w:r>
      <w:proofErr w:type="spellEnd"/>
      <w:r>
        <w:rPr>
          <w:rFonts w:eastAsia="Malgun Gothic"/>
          <w:i/>
          <w:lang w:val="x-none" w:eastAsia="ko-KR"/>
        </w:rPr>
        <w:t xml:space="preserve"> </w:t>
      </w:r>
      <w:proofErr w:type="spellStart"/>
      <w:r>
        <w:rPr>
          <w:rFonts w:eastAsia="Malgun Gothic"/>
          <w:i/>
          <w:lang w:val="x-none" w:eastAsia="ko-KR"/>
        </w:rPr>
        <w:t>indicates</w:t>
      </w:r>
      <w:proofErr w:type="spellEnd"/>
      <w:r>
        <w:rPr>
          <w:rFonts w:eastAsia="Malgun Gothic"/>
          <w:i/>
          <w:lang w:val="x-none" w:eastAsia="ko-KR"/>
        </w:rPr>
        <w:t xml:space="preserve"> </w:t>
      </w:r>
      <w:proofErr w:type="spellStart"/>
      <w:r>
        <w:rPr>
          <w:rFonts w:eastAsia="Malgun Gothic"/>
          <w:i/>
          <w:lang w:val="x-none" w:eastAsia="ko-KR"/>
        </w:rPr>
        <w:t>whether</w:t>
      </w:r>
      <w:proofErr w:type="spellEnd"/>
      <w:r>
        <w:rPr>
          <w:rFonts w:eastAsia="Malgun Gothic"/>
          <w:i/>
          <w:lang w:val="x-none" w:eastAsia="ko-KR"/>
        </w:rPr>
        <w:t xml:space="preserve"> </w:t>
      </w:r>
      <w:proofErr w:type="spellStart"/>
      <w:r>
        <w:rPr>
          <w:rFonts w:eastAsia="Malgun Gothic"/>
          <w:i/>
          <w:lang w:val="x-none" w:eastAsia="ko-KR"/>
        </w:rPr>
        <w:t>the</w:t>
      </w:r>
      <w:proofErr w:type="spellEnd"/>
      <w:r>
        <w:rPr>
          <w:rFonts w:eastAsia="Malgun Gothic"/>
          <w:i/>
          <w:lang w:val="x-none" w:eastAsia="ko-KR"/>
        </w:rPr>
        <w:t xml:space="preserve"> feature </w:t>
      </w:r>
      <w:proofErr w:type="spellStart"/>
      <w:r>
        <w:rPr>
          <w:rFonts w:eastAsia="Malgun Gothic"/>
          <w:i/>
          <w:lang w:val="x-none" w:eastAsia="ko-KR"/>
        </w:rPr>
        <w:t>has</w:t>
      </w:r>
      <w:proofErr w:type="spellEnd"/>
      <w:r>
        <w:rPr>
          <w:rFonts w:eastAsia="Malgun Gothic"/>
          <w:i/>
          <w:lang w:val="x-none" w:eastAsia="ko-KR"/>
        </w:rPr>
        <w:t xml:space="preserve"> </w:t>
      </w:r>
      <w:proofErr w:type="spellStart"/>
      <w:r>
        <w:rPr>
          <w:rFonts w:eastAsia="Malgun Gothic"/>
          <w:i/>
          <w:lang w:val="x-none" w:eastAsia="ko-KR"/>
        </w:rPr>
        <w:t>been</w:t>
      </w:r>
      <w:proofErr w:type="spellEnd"/>
      <w:r>
        <w:rPr>
          <w:rFonts w:eastAsia="Malgun Gothic"/>
          <w:i/>
          <w:lang w:val="x-none" w:eastAsia="ko-KR"/>
        </w:rPr>
        <w:t xml:space="preserve"> </w:t>
      </w:r>
      <w:proofErr w:type="spellStart"/>
      <w:r>
        <w:rPr>
          <w:rFonts w:eastAsia="Malgun Gothic"/>
          <w:i/>
          <w:lang w:val="x-none" w:eastAsia="ko-KR"/>
        </w:rPr>
        <w:t>implemented</w:t>
      </w:r>
      <w:proofErr w:type="spellEnd"/>
      <w:r>
        <w:rPr>
          <w:rFonts w:eastAsia="Malgun Gothic"/>
          <w:i/>
          <w:lang w:val="x-none" w:eastAsia="ko-KR"/>
        </w:rPr>
        <w:t xml:space="preserve"> and </w:t>
      </w:r>
      <w:proofErr w:type="spellStart"/>
      <w:r>
        <w:rPr>
          <w:rFonts w:eastAsia="Malgun Gothic"/>
          <w:i/>
          <w:lang w:val="x-none" w:eastAsia="ko-KR"/>
        </w:rPr>
        <w:t>successfully</w:t>
      </w:r>
      <w:proofErr w:type="spellEnd"/>
      <w:r>
        <w:rPr>
          <w:rFonts w:eastAsia="Malgun Gothic"/>
          <w:i/>
          <w:lang w:val="x-none" w:eastAsia="ko-KR"/>
        </w:rPr>
        <w:t xml:space="preserve"> </w:t>
      </w:r>
      <w:proofErr w:type="spellStart"/>
      <w:r>
        <w:rPr>
          <w:rFonts w:eastAsia="Malgun Gothic"/>
          <w:i/>
          <w:lang w:val="x-none" w:eastAsia="ko-KR"/>
        </w:rPr>
        <w:t>tested</w:t>
      </w:r>
      <w:proofErr w:type="spellEnd"/>
      <w:r>
        <w:rPr>
          <w:rFonts w:eastAsia="Malgun Gothic"/>
          <w:i/>
          <w:lang w:val="x-none" w:eastAsia="ko-KR"/>
        </w:rPr>
        <w:t xml:space="preserve">. For </w:t>
      </w:r>
      <w:proofErr w:type="spellStart"/>
      <w:r>
        <w:rPr>
          <w:rFonts w:eastAsia="Malgun Gothic"/>
          <w:i/>
          <w:lang w:val="x-none" w:eastAsia="ko-KR"/>
        </w:rPr>
        <w:t>mandatory</w:t>
      </w:r>
      <w:proofErr w:type="spellEnd"/>
      <w:r>
        <w:rPr>
          <w:rFonts w:eastAsia="Malgun Gothic"/>
          <w:i/>
          <w:lang w:val="x-none" w:eastAsia="ko-KR"/>
        </w:rPr>
        <w:t xml:space="preserve"> </w:t>
      </w:r>
      <w:proofErr w:type="spellStart"/>
      <w:r>
        <w:rPr>
          <w:rFonts w:eastAsia="Malgun Gothic"/>
          <w:i/>
          <w:lang w:val="x-none" w:eastAsia="ko-KR"/>
        </w:rPr>
        <w:t>features</w:t>
      </w:r>
      <w:proofErr w:type="spellEnd"/>
      <w:r>
        <w:rPr>
          <w:rFonts w:eastAsia="Malgun Gothic"/>
          <w:i/>
          <w:lang w:val="x-none" w:eastAsia="ko-KR"/>
        </w:rPr>
        <w:t xml:space="preserve"> </w:t>
      </w:r>
      <w:proofErr w:type="spellStart"/>
      <w:r>
        <w:rPr>
          <w:rFonts w:eastAsia="Malgun Gothic"/>
          <w:i/>
          <w:lang w:val="x-none" w:eastAsia="ko-KR"/>
        </w:rPr>
        <w:t>with</w:t>
      </w:r>
      <w:proofErr w:type="spellEnd"/>
      <w:r>
        <w:rPr>
          <w:rFonts w:eastAsia="Malgun Gothic"/>
          <w:i/>
          <w:lang w:val="x-none" w:eastAsia="ko-KR"/>
        </w:rPr>
        <w:t xml:space="preserve"> </w:t>
      </w:r>
      <w:proofErr w:type="spellStart"/>
      <w:r>
        <w:rPr>
          <w:rFonts w:eastAsia="Malgun Gothic"/>
          <w:i/>
          <w:lang w:val="x-none" w:eastAsia="ko-KR"/>
        </w:rPr>
        <w:t>the</w:t>
      </w:r>
      <w:proofErr w:type="spellEnd"/>
      <w:r>
        <w:rPr>
          <w:rFonts w:eastAsia="Malgun Gothic"/>
          <w:i/>
          <w:lang w:val="x-none" w:eastAsia="ko-KR"/>
        </w:rPr>
        <w:t xml:space="preserve"> UE radio </w:t>
      </w:r>
      <w:proofErr w:type="spellStart"/>
      <w:r>
        <w:rPr>
          <w:rFonts w:eastAsia="Malgun Gothic"/>
          <w:i/>
          <w:lang w:val="x-none" w:eastAsia="ko-KR"/>
        </w:rPr>
        <w:t>access</w:t>
      </w:r>
      <w:proofErr w:type="spellEnd"/>
      <w:r>
        <w:rPr>
          <w:rFonts w:eastAsia="Malgun Gothic"/>
          <w:i/>
          <w:lang w:val="x-none" w:eastAsia="ko-KR"/>
        </w:rPr>
        <w:t xml:space="preserve"> </w:t>
      </w:r>
      <w:proofErr w:type="spellStart"/>
      <w:r>
        <w:rPr>
          <w:rFonts w:eastAsia="Malgun Gothic"/>
          <w:i/>
          <w:lang w:val="x-none" w:eastAsia="ko-KR"/>
        </w:rPr>
        <w:t>capability</w:t>
      </w:r>
      <w:proofErr w:type="spellEnd"/>
      <w:r>
        <w:rPr>
          <w:rFonts w:eastAsia="Malgun Gothic"/>
          <w:i/>
          <w:lang w:val="x-none" w:eastAsia="ko-KR"/>
        </w:rPr>
        <w:t xml:space="preserve"> </w:t>
      </w:r>
      <w:proofErr w:type="spellStart"/>
      <w:r>
        <w:rPr>
          <w:rFonts w:eastAsia="Malgun Gothic"/>
          <w:i/>
          <w:lang w:val="x-none" w:eastAsia="ko-KR"/>
        </w:rPr>
        <w:t>parameter</w:t>
      </w:r>
      <w:proofErr w:type="spellEnd"/>
      <w:r>
        <w:rPr>
          <w:rFonts w:eastAsia="Malgun Gothic"/>
          <w:i/>
          <w:lang w:val="x-none" w:eastAsia="ko-KR"/>
        </w:rPr>
        <w:t xml:space="preserve">, </w:t>
      </w:r>
      <w:proofErr w:type="spellStart"/>
      <w:r>
        <w:rPr>
          <w:rFonts w:eastAsia="Malgun Gothic"/>
          <w:i/>
          <w:lang w:val="x-none" w:eastAsia="ko-KR"/>
        </w:rPr>
        <w:t>the</w:t>
      </w:r>
      <w:proofErr w:type="spellEnd"/>
      <w:r>
        <w:rPr>
          <w:rFonts w:eastAsia="Malgun Gothic"/>
          <w:i/>
          <w:lang w:val="x-none" w:eastAsia="ko-KR"/>
        </w:rPr>
        <w:t xml:space="preserve"> </w:t>
      </w:r>
      <w:proofErr w:type="spellStart"/>
      <w:r>
        <w:rPr>
          <w:rFonts w:eastAsia="Malgun Gothic"/>
          <w:i/>
          <w:lang w:val="x-none" w:eastAsia="ko-KR"/>
        </w:rPr>
        <w:t>parameter</w:t>
      </w:r>
      <w:proofErr w:type="spellEnd"/>
      <w:r>
        <w:rPr>
          <w:rFonts w:eastAsia="Malgun Gothic"/>
          <w:i/>
          <w:lang w:val="x-none" w:eastAsia="ko-KR"/>
        </w:rPr>
        <w:t xml:space="preserve"> </w:t>
      </w:r>
      <w:proofErr w:type="spellStart"/>
      <w:r>
        <w:rPr>
          <w:rFonts w:eastAsia="Malgun Gothic"/>
          <w:i/>
          <w:lang w:val="x-none" w:eastAsia="ko-KR"/>
        </w:rPr>
        <w:t>indicates</w:t>
      </w:r>
      <w:proofErr w:type="spellEnd"/>
      <w:r>
        <w:rPr>
          <w:rFonts w:eastAsia="Malgun Gothic"/>
          <w:i/>
          <w:lang w:val="x-none" w:eastAsia="ko-KR"/>
        </w:rPr>
        <w:t xml:space="preserve"> </w:t>
      </w:r>
      <w:proofErr w:type="spellStart"/>
      <w:r>
        <w:rPr>
          <w:rFonts w:eastAsia="Malgun Gothic"/>
          <w:i/>
          <w:lang w:val="x-none" w:eastAsia="ko-KR"/>
        </w:rPr>
        <w:t>whether</w:t>
      </w:r>
      <w:proofErr w:type="spellEnd"/>
      <w:r>
        <w:rPr>
          <w:rFonts w:eastAsia="Malgun Gothic"/>
          <w:i/>
          <w:lang w:val="x-none" w:eastAsia="ko-KR"/>
        </w:rPr>
        <w:t xml:space="preserve"> </w:t>
      </w:r>
      <w:proofErr w:type="spellStart"/>
      <w:r>
        <w:rPr>
          <w:rFonts w:eastAsia="Malgun Gothic"/>
          <w:i/>
          <w:lang w:val="x-none" w:eastAsia="ko-KR"/>
        </w:rPr>
        <w:t>the</w:t>
      </w:r>
      <w:proofErr w:type="spellEnd"/>
      <w:r>
        <w:rPr>
          <w:rFonts w:eastAsia="Malgun Gothic"/>
          <w:i/>
          <w:lang w:val="x-none" w:eastAsia="ko-KR"/>
        </w:rPr>
        <w:t xml:space="preserve"> feature </w:t>
      </w:r>
      <w:proofErr w:type="spellStart"/>
      <w:r>
        <w:rPr>
          <w:rFonts w:eastAsia="Malgun Gothic"/>
          <w:i/>
          <w:lang w:val="x-none" w:eastAsia="ko-KR"/>
        </w:rPr>
        <w:t>has</w:t>
      </w:r>
      <w:proofErr w:type="spellEnd"/>
      <w:r>
        <w:rPr>
          <w:rFonts w:eastAsia="Malgun Gothic"/>
          <w:i/>
          <w:lang w:val="x-none" w:eastAsia="ko-KR"/>
        </w:rPr>
        <w:t xml:space="preserve"> </w:t>
      </w:r>
      <w:proofErr w:type="spellStart"/>
      <w:r>
        <w:rPr>
          <w:rFonts w:eastAsia="Malgun Gothic"/>
          <w:i/>
          <w:lang w:val="x-none" w:eastAsia="ko-KR"/>
        </w:rPr>
        <w:t>been</w:t>
      </w:r>
      <w:proofErr w:type="spellEnd"/>
      <w:r>
        <w:rPr>
          <w:rFonts w:eastAsia="Malgun Gothic"/>
          <w:i/>
          <w:lang w:val="x-none" w:eastAsia="ko-KR"/>
        </w:rPr>
        <w:t xml:space="preserve"> </w:t>
      </w:r>
      <w:proofErr w:type="spellStart"/>
      <w:r>
        <w:rPr>
          <w:rFonts w:eastAsia="Malgun Gothic"/>
          <w:i/>
          <w:lang w:val="x-none" w:eastAsia="ko-KR"/>
        </w:rPr>
        <w:t>successfully</w:t>
      </w:r>
      <w:proofErr w:type="spellEnd"/>
      <w:r>
        <w:rPr>
          <w:rFonts w:eastAsia="Malgun Gothic"/>
          <w:i/>
          <w:lang w:val="x-none" w:eastAsia="ko-KR"/>
        </w:rPr>
        <w:t xml:space="preserve"> </w:t>
      </w:r>
      <w:proofErr w:type="spellStart"/>
      <w:r>
        <w:rPr>
          <w:rFonts w:eastAsia="Malgun Gothic"/>
          <w:i/>
          <w:lang w:val="x-none" w:eastAsia="ko-KR"/>
        </w:rPr>
        <w:t>tested</w:t>
      </w:r>
      <w:proofErr w:type="spellEnd"/>
      <w:r>
        <w:rPr>
          <w:rFonts w:eastAsia="Malgun Gothic"/>
          <w:i/>
          <w:lang w:val="x-none" w:eastAsia="ko-KR"/>
        </w:rPr>
        <w:t>.</w:t>
      </w:r>
      <w:r>
        <w:rPr>
          <w:i/>
          <w:lang w:eastAsia="ja-JP"/>
        </w:rPr>
        <w:t xml:space="preserve"> (…) </w:t>
      </w:r>
    </w:p>
    <w:p w14:paraId="32889BE7" w14:textId="77777777" w:rsidR="00BB7A37" w:rsidRDefault="00417ADA">
      <w:r>
        <w:t xml:space="preserve">Additionally, based on the agreed specification text we can make the following observation: </w:t>
      </w:r>
    </w:p>
    <w:p w14:paraId="32889BE8" w14:textId="77777777" w:rsidR="00BB7A37" w:rsidRDefault="00417ADA">
      <w:r>
        <w:rPr>
          <w:b/>
        </w:rPr>
        <w:t>Observation 1:</w:t>
      </w:r>
      <w:r>
        <w:t xml:space="preserve"> mandatory features with the UE radio access capability parameter are supposed to be implemented by all UEs, and the capability parameter is only an indication of the status of testing the feature. </w:t>
      </w:r>
    </w:p>
    <w:p w14:paraId="32889BE9" w14:textId="77777777" w:rsidR="00BB7A37" w:rsidRDefault="00417ADA">
      <w:r>
        <w:t>Here, “successfully tested” should be understood to refer</w:t>
      </w:r>
      <w:r>
        <w:t xml:space="preserve"> to UE having completed the IODT testing between two different network vendors for the feature indicated by the capability (as has been the case also in LTE). For the network vendors and </w:t>
      </w:r>
      <w:proofErr w:type="gramStart"/>
      <w:r>
        <w:t>operators</w:t>
      </w:r>
      <w:proofErr w:type="gramEnd"/>
      <w:r>
        <w:t xml:space="preserve"> it is very important to have a clear understanding on what </w:t>
      </w:r>
      <w:r>
        <w:t xml:space="preserve">to expect from the UEs in the field, which leads to more predictable behaviour in real-life deployments. At the same </w:t>
      </w:r>
      <w:proofErr w:type="gramStart"/>
      <w:r>
        <w:t>time</w:t>
      </w:r>
      <w:proofErr w:type="gramEnd"/>
      <w:r>
        <w:t xml:space="preserve"> we understand it is useful for UE chipset vendors to have clear understanding on the maturity of implementation of the features by net</w:t>
      </w:r>
      <w:r>
        <w:t xml:space="preserve">work vendors so that they can prioritize their investments. </w:t>
      </w:r>
    </w:p>
    <w:p w14:paraId="32889BEA" w14:textId="77777777" w:rsidR="00BB7A37" w:rsidRDefault="00417ADA">
      <w:r>
        <w:t>In RAN#83 a process has been proposed [3] to provide such predictability to the ecosystem, including clear responsibilities for RAN Plenary and RAN WGs in defining the status of different feature</w:t>
      </w:r>
      <w:r>
        <w:t xml:space="preserve">s and updating corresponding specifications. </w:t>
      </w:r>
      <w:proofErr w:type="gramStart"/>
      <w:r>
        <w:t>Unfortunately</w:t>
      </w:r>
      <w:proofErr w:type="gramEnd"/>
      <w:r>
        <w:t xml:space="preserve"> it was not possible to reach a final conclusion, in part due to concerns raised by different companies regarding the implications of applying such process in NR context. </w:t>
      </w:r>
      <w:proofErr w:type="gramStart"/>
      <w:r>
        <w:t>In particular we</w:t>
      </w:r>
      <w:proofErr w:type="gramEnd"/>
      <w:r>
        <w:t xml:space="preserve"> have obser</w:t>
      </w:r>
      <w:r>
        <w:t>ved concerns related to the following topics:</w:t>
      </w:r>
    </w:p>
    <w:p w14:paraId="32889BEB" w14:textId="77777777" w:rsidR="00BB7A37" w:rsidRDefault="00417ADA">
      <w:pPr>
        <w:pStyle w:val="ListParagraph"/>
        <w:numPr>
          <w:ilvl w:val="0"/>
          <w:numId w:val="28"/>
        </w:numPr>
        <w:rPr>
          <w:sz w:val="20"/>
          <w:lang w:val="en-US"/>
        </w:rPr>
      </w:pPr>
      <w:r>
        <w:rPr>
          <w:sz w:val="20"/>
          <w:lang w:val="en-US"/>
        </w:rPr>
        <w:t xml:space="preserve">Risk of defining a strict timeline for implementation against a (potentially) large number of </w:t>
      </w:r>
      <w:r>
        <w:rPr>
          <w:sz w:val="20"/>
        </w:rPr>
        <w:t>(</w:t>
      </w:r>
      <w:proofErr w:type="spellStart"/>
      <w:r>
        <w:rPr>
          <w:sz w:val="20"/>
        </w:rPr>
        <w:t>different</w:t>
      </w:r>
      <w:proofErr w:type="spellEnd"/>
      <w:r>
        <w:rPr>
          <w:sz w:val="20"/>
        </w:rPr>
        <w:t xml:space="preserve">) </w:t>
      </w:r>
      <w:r>
        <w:rPr>
          <w:sz w:val="20"/>
          <w:lang w:val="en-US"/>
        </w:rPr>
        <w:t>UE features being demanded</w:t>
      </w:r>
      <w:r>
        <w:rPr>
          <w:sz w:val="20"/>
        </w:rPr>
        <w:t xml:space="preserve"> </w:t>
      </w:r>
      <w:proofErr w:type="spellStart"/>
      <w:r>
        <w:rPr>
          <w:sz w:val="20"/>
        </w:rPr>
        <w:t>simultaneously</w:t>
      </w:r>
      <w:proofErr w:type="spellEnd"/>
      <w:r>
        <w:rPr>
          <w:sz w:val="20"/>
        </w:rPr>
        <w:t xml:space="preserve"> </w:t>
      </w:r>
      <w:proofErr w:type="spellStart"/>
      <w:r>
        <w:rPr>
          <w:sz w:val="20"/>
        </w:rPr>
        <w:t>by</w:t>
      </w:r>
      <w:proofErr w:type="spellEnd"/>
      <w:r>
        <w:rPr>
          <w:sz w:val="20"/>
        </w:rPr>
        <w:t xml:space="preserve"> (</w:t>
      </w:r>
      <w:proofErr w:type="spellStart"/>
      <w:r>
        <w:rPr>
          <w:sz w:val="20"/>
        </w:rPr>
        <w:t>different</w:t>
      </w:r>
      <w:proofErr w:type="spellEnd"/>
      <w:r>
        <w:rPr>
          <w:sz w:val="20"/>
        </w:rPr>
        <w:t xml:space="preserve">) </w:t>
      </w:r>
      <w:proofErr w:type="spellStart"/>
      <w:r>
        <w:rPr>
          <w:sz w:val="20"/>
        </w:rPr>
        <w:t>operators</w:t>
      </w:r>
      <w:proofErr w:type="spellEnd"/>
    </w:p>
    <w:p w14:paraId="32889BEC" w14:textId="77777777" w:rsidR="00BB7A37" w:rsidRDefault="00417ADA">
      <w:pPr>
        <w:pStyle w:val="ListParagraph"/>
        <w:numPr>
          <w:ilvl w:val="0"/>
          <w:numId w:val="28"/>
        </w:numPr>
        <w:rPr>
          <w:sz w:val="20"/>
          <w:lang w:val="en-US"/>
        </w:rPr>
      </w:pPr>
      <w:r>
        <w:rPr>
          <w:sz w:val="20"/>
          <w:lang w:val="en-GB"/>
        </w:rPr>
        <w:t>Regional vs global demand for certain</w:t>
      </w:r>
      <w:r>
        <w:rPr>
          <w:sz w:val="20"/>
          <w:lang w:val="en-GB"/>
        </w:rPr>
        <w:t xml:space="preserve"> features (e.g. some features may be demanded only in certain regions)</w:t>
      </w:r>
    </w:p>
    <w:p w14:paraId="32889BED" w14:textId="77777777" w:rsidR="00BB7A37" w:rsidRDefault="00BB7A37"/>
    <w:p w14:paraId="32889BEE" w14:textId="77777777" w:rsidR="00BB7A37" w:rsidRDefault="00417ADA">
      <w:proofErr w:type="gramStart"/>
      <w:r>
        <w:t>Indeed</w:t>
      </w:r>
      <w:proofErr w:type="gramEnd"/>
      <w:r>
        <w:t xml:space="preserve"> it is true that there is a rather large number of UE features defined for NR already in Rel-15, which reflects the fact that NR has been designed to take into account different </w:t>
      </w:r>
      <w:r>
        <w:t>industry needs and allow for various types of devices from its onset. It would be very challenging for both UE chipset vendors and Network vendors to support all features at the same time for the initial deployments. Hence, it is RAN Plenary’s responsibili</w:t>
      </w:r>
      <w:r>
        <w:t xml:space="preserve">ty to ensure that the </w:t>
      </w:r>
      <w:proofErr w:type="gramStart"/>
      <w:r>
        <w:t>amount</w:t>
      </w:r>
      <w:proofErr w:type="gramEnd"/>
      <w:r>
        <w:t xml:space="preserve"> of features agreed to be supported at the same time is kept to a realistic minimum level and fully reflecting the real needs for practical deployments. It should be noted that it might be too simplistic to simply define a limit</w:t>
      </w:r>
      <w:r>
        <w:t xml:space="preserve"> on number of features, as the complexity of implementing different features is not necessarily comparable. </w:t>
      </w:r>
    </w:p>
    <w:p w14:paraId="32889BEF" w14:textId="77777777" w:rsidR="00BB7A37" w:rsidRDefault="00417ADA">
      <w:r>
        <w:rPr>
          <w:b/>
        </w:rPr>
        <w:lastRenderedPageBreak/>
        <w:t>Observation 2</w:t>
      </w:r>
      <w:r>
        <w:t>: In case RAN Plenary is mandating support of specific UE features in the future, it needs to ensure the number and complexity of feat</w:t>
      </w:r>
      <w:r>
        <w:t xml:space="preserve">ures are kept at a reasonable level for practical implementation in UEs </w:t>
      </w:r>
      <w:proofErr w:type="gramStart"/>
      <w:r>
        <w:t>and also</w:t>
      </w:r>
      <w:proofErr w:type="gramEnd"/>
      <w:r>
        <w:t xml:space="preserve"> networks. </w:t>
      </w:r>
    </w:p>
    <w:p w14:paraId="32889BF0" w14:textId="77777777" w:rsidR="00BB7A37" w:rsidRDefault="00417ADA">
      <w:r>
        <w:t>Even if the complexity of features is managed by RAN Plenary, there is still the concern that some features are only required for specific markets, while a 3GPP req</w:t>
      </w:r>
      <w:r>
        <w:t xml:space="preserve">uirement to support specific UE features has global implications. That can be a valid concern, especially considering the fact mentioned above that NR has been designed from day one with the intention to cater for various deployment scenarios beyond those </w:t>
      </w:r>
      <w:r>
        <w:t xml:space="preserve">envisioned for previous generations. One possible way of addressing this concern is to incorporate in any decision process whether the feature in question is being requested by operators in </w:t>
      </w:r>
      <w:proofErr w:type="gramStart"/>
      <w:r>
        <w:t>a sufficient number of</w:t>
      </w:r>
      <w:proofErr w:type="gramEnd"/>
      <w:r>
        <w:t xml:space="preserve"> different regions. </w:t>
      </w:r>
      <w:proofErr w:type="gramStart"/>
      <w:r>
        <w:t>As a consequence</w:t>
      </w:r>
      <w:proofErr w:type="gramEnd"/>
      <w:r>
        <w:t>, UEs wo</w:t>
      </w:r>
      <w:r>
        <w:t>uld be mandated to support only those features that are truly expected to be deployed globally.</w:t>
      </w:r>
    </w:p>
    <w:p w14:paraId="32889BF1" w14:textId="77777777" w:rsidR="00BB7A37" w:rsidRDefault="00417ADA">
      <w:r>
        <w:rPr>
          <w:b/>
        </w:rPr>
        <w:t>Observation 3</w:t>
      </w:r>
      <w:r>
        <w:t xml:space="preserve">: Any process to mandate support of UE features need ensure that the feature is requested by </w:t>
      </w:r>
      <w:proofErr w:type="gramStart"/>
      <w:r>
        <w:t>a sufficient number of</w:t>
      </w:r>
      <w:proofErr w:type="gramEnd"/>
      <w:r>
        <w:t xml:space="preserve"> geographical regions and/or mar</w:t>
      </w:r>
      <w:r>
        <w:t xml:space="preserve">kets. </w:t>
      </w:r>
    </w:p>
    <w:bookmarkEnd w:id="1"/>
    <w:p w14:paraId="32889BF2" w14:textId="77777777" w:rsidR="00BB7A37" w:rsidRDefault="00417ADA">
      <w:pPr>
        <w:pStyle w:val="Heading1"/>
      </w:pPr>
      <w:r>
        <w:t>NR UE Features for Rel-15 and Rel-16</w:t>
      </w:r>
    </w:p>
    <w:p w14:paraId="32889BF3" w14:textId="77777777" w:rsidR="00BB7A37" w:rsidRDefault="00417ADA">
      <w:pPr>
        <w:rPr>
          <w:bCs/>
        </w:rPr>
      </w:pPr>
      <w:r>
        <w:rPr>
          <w:bCs/>
        </w:rPr>
        <w:t>While most of the critical features for basic operation of NR are mandatory without any capability indication, there are many features that provide essential functionality for NR physical layer which fall into th</w:t>
      </w:r>
      <w:r>
        <w:rPr>
          <w:bCs/>
        </w:rPr>
        <w:t>e category of mandatory with capability indication, including dynamic power sharing, CSI report framework, beam reporting, supported DM-RS types, PTRS, and others. At the same time NR is evolving and many WIs are under way in Rel-16 which are expected to b</w:t>
      </w:r>
      <w:r>
        <w:rPr>
          <w:bCs/>
        </w:rPr>
        <w:t>e reflected in a certain number of UE features in the future. This brings up questions which should be addressed by 3GPP at some point:</w:t>
      </w:r>
    </w:p>
    <w:p w14:paraId="32889BF4" w14:textId="77777777" w:rsidR="00BB7A37" w:rsidRDefault="00417ADA">
      <w:pPr>
        <w:pStyle w:val="ListParagraph"/>
        <w:numPr>
          <w:ilvl w:val="0"/>
          <w:numId w:val="27"/>
        </w:numPr>
        <w:rPr>
          <w:bCs/>
          <w:sz w:val="20"/>
          <w:szCs w:val="20"/>
          <w:lang w:val="en-US"/>
        </w:rPr>
      </w:pPr>
      <w:r>
        <w:rPr>
          <w:bCs/>
          <w:sz w:val="20"/>
          <w:szCs w:val="20"/>
          <w:lang w:val="en-US"/>
        </w:rPr>
        <w:t xml:space="preserve">How to interpret the features listed in 38.306 </w:t>
      </w:r>
      <w:proofErr w:type="gramStart"/>
      <w:r>
        <w:rPr>
          <w:bCs/>
          <w:sz w:val="20"/>
          <w:szCs w:val="20"/>
          <w:lang w:val="en-US"/>
        </w:rPr>
        <w:t>as ”mandatory</w:t>
      </w:r>
      <w:proofErr w:type="gramEnd"/>
      <w:r>
        <w:rPr>
          <w:bCs/>
          <w:sz w:val="20"/>
          <w:szCs w:val="20"/>
          <w:lang w:val="en-US"/>
        </w:rPr>
        <w:t>” if there is no mechanism in place to enforce that they are</w:t>
      </w:r>
      <w:r>
        <w:rPr>
          <w:bCs/>
          <w:sz w:val="20"/>
          <w:szCs w:val="20"/>
          <w:lang w:val="en-US"/>
        </w:rPr>
        <w:t xml:space="preserve"> supported in practice? </w:t>
      </w:r>
    </w:p>
    <w:p w14:paraId="32889BF5" w14:textId="77777777" w:rsidR="00BB7A37" w:rsidRDefault="00417ADA">
      <w:pPr>
        <w:pStyle w:val="ListParagraph"/>
        <w:numPr>
          <w:ilvl w:val="0"/>
          <w:numId w:val="27"/>
        </w:numPr>
        <w:rPr>
          <w:bCs/>
          <w:sz w:val="20"/>
          <w:szCs w:val="20"/>
          <w:lang w:val="en-US"/>
        </w:rPr>
      </w:pPr>
      <w:r>
        <w:rPr>
          <w:bCs/>
          <w:sz w:val="20"/>
          <w:szCs w:val="20"/>
          <w:lang w:val="en-US"/>
        </w:rPr>
        <w:t>Will 3GPP define any mechanism to mandate support for any feature that has an associated capability indication? If yes, is 3GPP going to define any process to mandate such features or is the discussion expected to take place case b</w:t>
      </w:r>
      <w:r>
        <w:rPr>
          <w:bCs/>
          <w:sz w:val="20"/>
          <w:szCs w:val="20"/>
          <w:lang w:val="en-US"/>
        </w:rPr>
        <w:t>y case?</w:t>
      </w:r>
    </w:p>
    <w:p w14:paraId="32889BF6" w14:textId="77777777" w:rsidR="00BB7A37" w:rsidRDefault="00417ADA">
      <w:pPr>
        <w:pStyle w:val="ListParagraph"/>
        <w:numPr>
          <w:ilvl w:val="0"/>
          <w:numId w:val="27"/>
        </w:numPr>
        <w:rPr>
          <w:bCs/>
          <w:sz w:val="20"/>
          <w:szCs w:val="20"/>
          <w:lang w:val="en-US"/>
        </w:rPr>
      </w:pPr>
      <w:r>
        <w:rPr>
          <w:bCs/>
          <w:sz w:val="20"/>
          <w:szCs w:val="20"/>
          <w:lang w:val="en-US"/>
        </w:rPr>
        <w:t>Will 3GPP define any mechanism to mandate support for features in future releases that are currently ‘optional’</w:t>
      </w:r>
      <w:r>
        <w:rPr>
          <w:bCs/>
          <w:sz w:val="20"/>
          <w:szCs w:val="20"/>
          <w:lang w:val="en-GB"/>
        </w:rPr>
        <w:t>?</w:t>
      </w:r>
    </w:p>
    <w:p w14:paraId="32889BF7" w14:textId="77777777" w:rsidR="00BB7A37" w:rsidRDefault="00417ADA">
      <w:pPr>
        <w:pStyle w:val="ListParagraph"/>
        <w:numPr>
          <w:ilvl w:val="0"/>
          <w:numId w:val="27"/>
        </w:numPr>
        <w:rPr>
          <w:bCs/>
          <w:sz w:val="20"/>
          <w:szCs w:val="20"/>
          <w:lang w:val="en-US"/>
        </w:rPr>
      </w:pPr>
      <w:r>
        <w:rPr>
          <w:bCs/>
          <w:sz w:val="20"/>
          <w:szCs w:val="20"/>
          <w:lang w:val="en-US"/>
        </w:rPr>
        <w:t>Are all Rel-16 features expected to be defined as ’optional’ by default or is 3GPP defining different levels of optionality as in Rel-1</w:t>
      </w:r>
      <w:r>
        <w:rPr>
          <w:bCs/>
          <w:sz w:val="20"/>
          <w:szCs w:val="20"/>
          <w:lang w:val="en-US"/>
        </w:rPr>
        <w:t>5?</w:t>
      </w:r>
    </w:p>
    <w:p w14:paraId="32889BF8" w14:textId="77777777" w:rsidR="00BB7A37" w:rsidRDefault="00BB7A37">
      <w:pPr>
        <w:rPr>
          <w:bCs/>
        </w:rPr>
      </w:pPr>
    </w:p>
    <w:p w14:paraId="32889BF9" w14:textId="77777777" w:rsidR="00BB7A37" w:rsidRDefault="00417ADA">
      <w:pPr>
        <w:rPr>
          <w:bCs/>
        </w:rPr>
      </w:pPr>
      <w:r>
        <w:rPr>
          <w:bCs/>
        </w:rPr>
        <w:t>Given that L1 freeze is scheduled for December 2019, with Rel-16 Stage 3 freeze in March 2020, there is limited time to discuss and agree on the full set of Rel-16 features, and hence the discussion should start as soon as there is enough clarity on th</w:t>
      </w:r>
      <w:r>
        <w:rPr>
          <w:bCs/>
        </w:rPr>
        <w:t xml:space="preserve">e features resulting from the different </w:t>
      </w:r>
      <w:proofErr w:type="spellStart"/>
      <w:r>
        <w:rPr>
          <w:bCs/>
        </w:rPr>
        <w:t>WIs.</w:t>
      </w:r>
      <w:proofErr w:type="spellEnd"/>
      <w:r>
        <w:rPr>
          <w:bCs/>
        </w:rPr>
        <w:t xml:space="preserve"> Hence, it is beneficial if RAN Plenary </w:t>
      </w:r>
      <w:proofErr w:type="gramStart"/>
      <w:r>
        <w:rPr>
          <w:bCs/>
        </w:rPr>
        <w:t>is able to</w:t>
      </w:r>
      <w:proofErr w:type="gramEnd"/>
      <w:r>
        <w:rPr>
          <w:bCs/>
        </w:rPr>
        <w:t xml:space="preserve"> provide clarity to the WGs on the process to be used for definition of Rel-16 UE features, and which types of features are possible for Rel-16. </w:t>
      </w:r>
    </w:p>
    <w:p w14:paraId="32889BFA" w14:textId="77777777" w:rsidR="00BB7A37" w:rsidRDefault="00417ADA">
      <w:pPr>
        <w:rPr>
          <w:bCs/>
        </w:rPr>
      </w:pPr>
      <w:r>
        <w:rPr>
          <w:b/>
          <w:bCs/>
        </w:rPr>
        <w:t>Observation 4:</w:t>
      </w:r>
      <w:r>
        <w:rPr>
          <w:bCs/>
        </w:rPr>
        <w:t xml:space="preserve"> I</w:t>
      </w:r>
      <w:r>
        <w:rPr>
          <w:bCs/>
        </w:rPr>
        <w:t xml:space="preserve">t would be beneficial if RAN Plenary clarified the process for Rel-16 UE features and e.g. how to interpret “mandatory” features before RAN WGs start working on Rel-16 features. </w:t>
      </w:r>
    </w:p>
    <w:p w14:paraId="32889BFB" w14:textId="77777777" w:rsidR="00BB7A37" w:rsidRDefault="00BB7A37">
      <w:pPr>
        <w:rPr>
          <w:bCs/>
        </w:rPr>
      </w:pPr>
    </w:p>
    <w:p w14:paraId="32889BFC" w14:textId="77777777" w:rsidR="00BB7A37" w:rsidRDefault="00417ADA">
      <w:pPr>
        <w:pStyle w:val="Heading1"/>
      </w:pPr>
      <w:r>
        <w:t>Conclusion</w:t>
      </w:r>
    </w:p>
    <w:p w14:paraId="32889BFD" w14:textId="06AA44C2" w:rsidR="00BB7A37" w:rsidRDefault="00417ADA">
      <w:r>
        <w:t xml:space="preserve">In this contribution we have discussed the process to handle </w:t>
      </w:r>
      <w:r>
        <w:rPr>
          <w:bCs/>
        </w:rPr>
        <w:t>supp</w:t>
      </w:r>
      <w:r>
        <w:rPr>
          <w:bCs/>
        </w:rPr>
        <w:t xml:space="preserve">ort for </w:t>
      </w:r>
      <w:proofErr w:type="spellStart"/>
      <w:r>
        <w:rPr>
          <w:rFonts w:eastAsia="Malgun Gothic"/>
          <w:lang w:val="x-none" w:eastAsia="ko-KR"/>
        </w:rPr>
        <w:t>mandatory</w:t>
      </w:r>
      <w:proofErr w:type="spellEnd"/>
      <w:r>
        <w:rPr>
          <w:rFonts w:eastAsia="Malgun Gothic"/>
          <w:lang w:val="x-none" w:eastAsia="ko-KR"/>
        </w:rPr>
        <w:t xml:space="preserve"> </w:t>
      </w:r>
      <w:proofErr w:type="spellStart"/>
      <w:r>
        <w:rPr>
          <w:rFonts w:eastAsia="Malgun Gothic"/>
          <w:lang w:val="x-none" w:eastAsia="ko-KR"/>
        </w:rPr>
        <w:t>features</w:t>
      </w:r>
      <w:proofErr w:type="spellEnd"/>
      <w:r>
        <w:rPr>
          <w:rFonts w:eastAsia="Malgun Gothic"/>
          <w:lang w:val="x-none" w:eastAsia="ko-KR"/>
        </w:rPr>
        <w:t xml:space="preserve"> </w:t>
      </w:r>
      <w:proofErr w:type="spellStart"/>
      <w:r>
        <w:rPr>
          <w:rFonts w:eastAsia="Malgun Gothic"/>
          <w:lang w:val="x-none" w:eastAsia="ko-KR"/>
        </w:rPr>
        <w:t>with</w:t>
      </w:r>
      <w:proofErr w:type="spellEnd"/>
      <w:r>
        <w:rPr>
          <w:rFonts w:eastAsia="Malgun Gothic"/>
          <w:lang w:val="x-none" w:eastAsia="ko-KR"/>
        </w:rPr>
        <w:t xml:space="preserve"> </w:t>
      </w:r>
      <w:proofErr w:type="spellStart"/>
      <w:r>
        <w:rPr>
          <w:rFonts w:eastAsia="Malgun Gothic"/>
          <w:lang w:val="x-none" w:eastAsia="ko-KR"/>
        </w:rPr>
        <w:t>the</w:t>
      </w:r>
      <w:proofErr w:type="spellEnd"/>
      <w:r>
        <w:rPr>
          <w:rFonts w:eastAsia="Malgun Gothic"/>
          <w:lang w:val="x-none" w:eastAsia="ko-KR"/>
        </w:rPr>
        <w:t xml:space="preserve"> UE radio </w:t>
      </w:r>
      <w:proofErr w:type="spellStart"/>
      <w:r>
        <w:rPr>
          <w:rFonts w:eastAsia="Malgun Gothic"/>
          <w:lang w:val="x-none" w:eastAsia="ko-KR"/>
        </w:rPr>
        <w:t>access</w:t>
      </w:r>
      <w:proofErr w:type="spellEnd"/>
      <w:r>
        <w:rPr>
          <w:rFonts w:eastAsia="Malgun Gothic"/>
          <w:lang w:val="x-none" w:eastAsia="ko-KR"/>
        </w:rPr>
        <w:t xml:space="preserve"> </w:t>
      </w:r>
      <w:proofErr w:type="spellStart"/>
      <w:r>
        <w:rPr>
          <w:rFonts w:eastAsia="Malgun Gothic"/>
          <w:lang w:val="x-none" w:eastAsia="ko-KR"/>
        </w:rPr>
        <w:t>capability</w:t>
      </w:r>
      <w:proofErr w:type="spellEnd"/>
      <w:r>
        <w:rPr>
          <w:rFonts w:eastAsia="Malgun Gothic"/>
          <w:lang w:val="x-none" w:eastAsia="ko-KR"/>
        </w:rPr>
        <w:t xml:space="preserve"> </w:t>
      </w:r>
      <w:proofErr w:type="spellStart"/>
      <w:r>
        <w:rPr>
          <w:rFonts w:eastAsia="Malgun Gothic"/>
          <w:lang w:val="x-none" w:eastAsia="ko-KR"/>
        </w:rPr>
        <w:t>parameter</w:t>
      </w:r>
      <w:proofErr w:type="spellEnd"/>
      <w:r>
        <w:rPr>
          <w:rFonts w:eastAsia="Malgun Gothic"/>
          <w:lang w:eastAsia="ko-KR"/>
        </w:rPr>
        <w:t xml:space="preserve"> in RAN specifications</w:t>
      </w:r>
      <w:r>
        <w:t>. We would like to encourage RAN Plenary to continue discussing how to interpret “mandatory” UE features and if any mechanisms should be defined for “truly” manda</w:t>
      </w:r>
      <w:r>
        <w:t xml:space="preserve">ting these </w:t>
      </w:r>
      <w:r>
        <w:rPr>
          <w:lang w:val="en-US"/>
        </w:rPr>
        <w:t xml:space="preserve">UE </w:t>
      </w:r>
      <w:r>
        <w:t xml:space="preserve">features. </w:t>
      </w:r>
      <w:r>
        <w:rPr>
          <w:bCs/>
        </w:rPr>
        <w:t xml:space="preserve">It would be beneficial if RAN Plenary clarified the process for Rel-16 UE features and </w:t>
      </w:r>
      <w:r>
        <w:rPr>
          <w:bCs/>
        </w:rPr>
        <w:t>(</w:t>
      </w:r>
      <w:r>
        <w:rPr>
          <w:bCs/>
        </w:rPr>
        <w:t xml:space="preserve">e.g. </w:t>
      </w:r>
      <w:r>
        <w:rPr>
          <w:bCs/>
        </w:rPr>
        <w:t xml:space="preserve">whether there will be any “mandatory” features in Rel-16, and if so, </w:t>
      </w:r>
      <w:r>
        <w:rPr>
          <w:bCs/>
        </w:rPr>
        <w:t xml:space="preserve">how to interpret </w:t>
      </w:r>
      <w:r>
        <w:rPr>
          <w:bCs/>
        </w:rPr>
        <w:t xml:space="preserve">the meaning of </w:t>
      </w:r>
      <w:r>
        <w:rPr>
          <w:bCs/>
        </w:rPr>
        <w:t>“mandatory”</w:t>
      </w:r>
      <w:r>
        <w:rPr>
          <w:bCs/>
        </w:rPr>
        <w:t>)</w:t>
      </w:r>
      <w:r>
        <w:rPr>
          <w:bCs/>
        </w:rPr>
        <w:t xml:space="preserve"> </w:t>
      </w:r>
      <w:r>
        <w:rPr>
          <w:bCs/>
        </w:rPr>
        <w:t xml:space="preserve">before RAN WGs started working on Rel-16 features. </w:t>
      </w:r>
    </w:p>
    <w:p w14:paraId="32889BFE" w14:textId="77777777" w:rsidR="00BB7A37" w:rsidRDefault="00BB7A37"/>
    <w:p w14:paraId="32889BFF" w14:textId="77777777" w:rsidR="00BB7A37" w:rsidRDefault="00BB7A37">
      <w:pPr>
        <w:overflowPunct/>
        <w:autoSpaceDE/>
        <w:autoSpaceDN/>
        <w:adjustRightInd/>
        <w:spacing w:after="0"/>
        <w:textAlignment w:val="auto"/>
      </w:pPr>
    </w:p>
    <w:p w14:paraId="32889C00" w14:textId="77777777" w:rsidR="00BB7A37" w:rsidRDefault="00417ADA">
      <w:pPr>
        <w:pStyle w:val="Heading1"/>
        <w:numPr>
          <w:ilvl w:val="0"/>
          <w:numId w:val="0"/>
        </w:numPr>
      </w:pPr>
      <w:r>
        <w:lastRenderedPageBreak/>
        <w:t>References</w:t>
      </w:r>
    </w:p>
    <w:p w14:paraId="32889C01" w14:textId="77777777" w:rsidR="00BB7A37" w:rsidRDefault="00417ADA">
      <w:pPr>
        <w:rPr>
          <w:lang w:val="en-US"/>
        </w:rPr>
      </w:pPr>
      <w:r>
        <w:rPr>
          <w:lang w:val="en-US"/>
        </w:rPr>
        <w:t>[1] TS 38.306 v15.5.0, “NR; User Equipment (UE) radio access capabilities,” Mar. 2019</w:t>
      </w:r>
    </w:p>
    <w:p w14:paraId="32889C02" w14:textId="77777777" w:rsidR="00BB7A37" w:rsidRDefault="00417ADA">
      <w:pPr>
        <w:overflowPunct/>
        <w:autoSpaceDE/>
        <w:autoSpaceDN/>
        <w:adjustRightInd/>
        <w:spacing w:after="0"/>
        <w:textAlignment w:val="auto"/>
        <w:rPr>
          <w:lang w:val="en-US"/>
        </w:rPr>
      </w:pPr>
      <w:r>
        <w:rPr>
          <w:lang w:val="en-US"/>
        </w:rPr>
        <w:t>[2] R1-1907862, “RAN1 NR UE features,” NTT DOCOMO, RAN1#96bis, Reno, USA, May 2019</w:t>
      </w:r>
    </w:p>
    <w:p w14:paraId="32889C03" w14:textId="77777777" w:rsidR="00BB7A37" w:rsidRDefault="00BB7A37">
      <w:pPr>
        <w:overflowPunct/>
        <w:autoSpaceDE/>
        <w:autoSpaceDN/>
        <w:adjustRightInd/>
        <w:spacing w:after="0"/>
        <w:textAlignment w:val="auto"/>
        <w:rPr>
          <w:rStyle w:val="Hyperlink"/>
        </w:rPr>
      </w:pPr>
    </w:p>
    <w:p w14:paraId="32889C04" w14:textId="77777777" w:rsidR="00BB7A37" w:rsidRDefault="00417ADA">
      <w:pPr>
        <w:rPr>
          <w:lang w:val="en-US"/>
        </w:rPr>
      </w:pPr>
      <w:r>
        <w:rPr>
          <w:lang w:val="en-US"/>
        </w:rPr>
        <w:t xml:space="preserve">[3] RP-190273, “On </w:t>
      </w:r>
      <w:r>
        <w:rPr>
          <w:lang w:val="en-US"/>
        </w:rPr>
        <w:t>the management of NR UE capabilities,” Nokia, Nokia Shanghai Bell, RAN#83, Shenzhen, China, Mar. 2019</w:t>
      </w:r>
    </w:p>
    <w:p w14:paraId="32889C05" w14:textId="77777777" w:rsidR="00BB7A37" w:rsidRDefault="00BB7A37">
      <w:pPr>
        <w:overflowPunct/>
        <w:autoSpaceDE/>
        <w:autoSpaceDN/>
        <w:adjustRightInd/>
        <w:spacing w:after="0"/>
        <w:textAlignment w:val="auto"/>
        <w:rPr>
          <w:lang w:val="en-US"/>
        </w:rPr>
      </w:pPr>
    </w:p>
    <w:sectPr w:rsidR="00BB7A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89C08" w14:textId="77777777" w:rsidR="00BB7A37" w:rsidRDefault="00417ADA">
      <w:r>
        <w:separator/>
      </w:r>
    </w:p>
  </w:endnote>
  <w:endnote w:type="continuationSeparator" w:id="0">
    <w:p w14:paraId="32889C09" w14:textId="77777777" w:rsidR="00BB7A37" w:rsidRDefault="0041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89C06" w14:textId="77777777" w:rsidR="00BB7A37" w:rsidRDefault="00417ADA">
      <w:r>
        <w:separator/>
      </w:r>
    </w:p>
  </w:footnote>
  <w:footnote w:type="continuationSeparator" w:id="0">
    <w:p w14:paraId="32889C07" w14:textId="77777777" w:rsidR="00BB7A37" w:rsidRDefault="00417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F4D6B"/>
    <w:multiLevelType w:val="hybridMultilevel"/>
    <w:tmpl w:val="D9145B34"/>
    <w:lvl w:ilvl="0" w:tplc="3C060ED8">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2D0AB1"/>
    <w:multiLevelType w:val="hybridMultilevel"/>
    <w:tmpl w:val="BAACF3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4A2447"/>
    <w:multiLevelType w:val="hybridMultilevel"/>
    <w:tmpl w:val="F0BE3C8A"/>
    <w:lvl w:ilvl="0" w:tplc="4F98CC0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FF0D95"/>
    <w:multiLevelType w:val="hybridMultilevel"/>
    <w:tmpl w:val="1EE20E50"/>
    <w:lvl w:ilvl="0" w:tplc="B31CC69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D634FB"/>
    <w:multiLevelType w:val="hybridMultilevel"/>
    <w:tmpl w:val="C5167FF6"/>
    <w:lvl w:ilvl="0" w:tplc="8648FEF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F4FBE"/>
    <w:multiLevelType w:val="hybridMultilevel"/>
    <w:tmpl w:val="DF4634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372FDA"/>
    <w:multiLevelType w:val="hybridMultilevel"/>
    <w:tmpl w:val="5DD8C44E"/>
    <w:lvl w:ilvl="0" w:tplc="E2B82C6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05B20"/>
    <w:multiLevelType w:val="hybridMultilevel"/>
    <w:tmpl w:val="4BB860C4"/>
    <w:lvl w:ilvl="0" w:tplc="ABF69F36">
      <w:start w:val="1"/>
      <w:numFmt w:val="bullet"/>
      <w:lvlText w:val="•"/>
      <w:lvlJc w:val="left"/>
      <w:pPr>
        <w:tabs>
          <w:tab w:val="num" w:pos="720"/>
        </w:tabs>
        <w:ind w:left="720" w:hanging="360"/>
      </w:pPr>
      <w:rPr>
        <w:rFonts w:ascii="Arial" w:hAnsi="Arial" w:hint="default"/>
      </w:rPr>
    </w:lvl>
    <w:lvl w:ilvl="1" w:tplc="655C0CF6">
      <w:start w:val="1"/>
      <w:numFmt w:val="bullet"/>
      <w:lvlText w:val="•"/>
      <w:lvlJc w:val="left"/>
      <w:pPr>
        <w:tabs>
          <w:tab w:val="num" w:pos="1440"/>
        </w:tabs>
        <w:ind w:left="1440" w:hanging="360"/>
      </w:pPr>
      <w:rPr>
        <w:rFonts w:ascii="Arial" w:hAnsi="Arial" w:hint="default"/>
      </w:rPr>
    </w:lvl>
    <w:lvl w:ilvl="2" w:tplc="B0AEAFC6" w:tentative="1">
      <w:start w:val="1"/>
      <w:numFmt w:val="bullet"/>
      <w:lvlText w:val="•"/>
      <w:lvlJc w:val="left"/>
      <w:pPr>
        <w:tabs>
          <w:tab w:val="num" w:pos="2160"/>
        </w:tabs>
        <w:ind w:left="2160" w:hanging="360"/>
      </w:pPr>
      <w:rPr>
        <w:rFonts w:ascii="Arial" w:hAnsi="Arial" w:hint="default"/>
      </w:rPr>
    </w:lvl>
    <w:lvl w:ilvl="3" w:tplc="ED1622E4" w:tentative="1">
      <w:start w:val="1"/>
      <w:numFmt w:val="bullet"/>
      <w:lvlText w:val="•"/>
      <w:lvlJc w:val="left"/>
      <w:pPr>
        <w:tabs>
          <w:tab w:val="num" w:pos="2880"/>
        </w:tabs>
        <w:ind w:left="2880" w:hanging="360"/>
      </w:pPr>
      <w:rPr>
        <w:rFonts w:ascii="Arial" w:hAnsi="Arial" w:hint="default"/>
      </w:rPr>
    </w:lvl>
    <w:lvl w:ilvl="4" w:tplc="DC86A86E" w:tentative="1">
      <w:start w:val="1"/>
      <w:numFmt w:val="bullet"/>
      <w:lvlText w:val="•"/>
      <w:lvlJc w:val="left"/>
      <w:pPr>
        <w:tabs>
          <w:tab w:val="num" w:pos="3600"/>
        </w:tabs>
        <w:ind w:left="3600" w:hanging="360"/>
      </w:pPr>
      <w:rPr>
        <w:rFonts w:ascii="Arial" w:hAnsi="Arial" w:hint="default"/>
      </w:rPr>
    </w:lvl>
    <w:lvl w:ilvl="5" w:tplc="1BFAC73E" w:tentative="1">
      <w:start w:val="1"/>
      <w:numFmt w:val="bullet"/>
      <w:lvlText w:val="•"/>
      <w:lvlJc w:val="left"/>
      <w:pPr>
        <w:tabs>
          <w:tab w:val="num" w:pos="4320"/>
        </w:tabs>
        <w:ind w:left="4320" w:hanging="360"/>
      </w:pPr>
      <w:rPr>
        <w:rFonts w:ascii="Arial" w:hAnsi="Arial" w:hint="default"/>
      </w:rPr>
    </w:lvl>
    <w:lvl w:ilvl="6" w:tplc="402AFE5E" w:tentative="1">
      <w:start w:val="1"/>
      <w:numFmt w:val="bullet"/>
      <w:lvlText w:val="•"/>
      <w:lvlJc w:val="left"/>
      <w:pPr>
        <w:tabs>
          <w:tab w:val="num" w:pos="5040"/>
        </w:tabs>
        <w:ind w:left="5040" w:hanging="360"/>
      </w:pPr>
      <w:rPr>
        <w:rFonts w:ascii="Arial" w:hAnsi="Arial" w:hint="default"/>
      </w:rPr>
    </w:lvl>
    <w:lvl w:ilvl="7" w:tplc="1DBC3C26" w:tentative="1">
      <w:start w:val="1"/>
      <w:numFmt w:val="bullet"/>
      <w:lvlText w:val="•"/>
      <w:lvlJc w:val="left"/>
      <w:pPr>
        <w:tabs>
          <w:tab w:val="num" w:pos="5760"/>
        </w:tabs>
        <w:ind w:left="5760" w:hanging="360"/>
      </w:pPr>
      <w:rPr>
        <w:rFonts w:ascii="Arial" w:hAnsi="Arial" w:hint="default"/>
      </w:rPr>
    </w:lvl>
    <w:lvl w:ilvl="8" w:tplc="F71EF36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3"/>
  </w:num>
  <w:num w:numId="3">
    <w:abstractNumId w:val="0"/>
  </w:num>
  <w:num w:numId="4">
    <w:abstractNumId w:val="2"/>
  </w:num>
  <w:num w:numId="5">
    <w:abstractNumId w:val="13"/>
  </w:num>
  <w:num w:numId="6">
    <w:abstractNumId w:val="24"/>
  </w:num>
  <w:num w:numId="7">
    <w:abstractNumId w:val="17"/>
  </w:num>
  <w:num w:numId="8">
    <w:abstractNumId w:val="12"/>
  </w:num>
  <w:num w:numId="9">
    <w:abstractNumId w:val="26"/>
  </w:num>
  <w:num w:numId="10">
    <w:abstractNumId w:val="6"/>
  </w:num>
  <w:num w:numId="11">
    <w:abstractNumId w:val="18"/>
  </w:num>
  <w:num w:numId="12">
    <w:abstractNumId w:val="4"/>
  </w:num>
  <w:num w:numId="13">
    <w:abstractNumId w:val="11"/>
  </w:num>
  <w:num w:numId="14">
    <w:abstractNumId w:val="20"/>
  </w:num>
  <w:num w:numId="15">
    <w:abstractNumId w:val="11"/>
  </w:num>
  <w:num w:numId="16">
    <w:abstractNumId w:val="21"/>
  </w:num>
  <w:num w:numId="17">
    <w:abstractNumId w:val="9"/>
  </w:num>
  <w:num w:numId="18">
    <w:abstractNumId w:val="15"/>
  </w:num>
  <w:num w:numId="19">
    <w:abstractNumId w:val="7"/>
  </w:num>
  <w:num w:numId="20">
    <w:abstractNumId w:val="10"/>
  </w:num>
  <w:num w:numId="21">
    <w:abstractNumId w:val="25"/>
  </w:num>
  <w:num w:numId="22">
    <w:abstractNumId w:val="14"/>
  </w:num>
  <w:num w:numId="23">
    <w:abstractNumId w:val="1"/>
  </w:num>
  <w:num w:numId="24">
    <w:abstractNumId w:val="16"/>
  </w:num>
  <w:num w:numId="25">
    <w:abstractNumId w:val="3"/>
  </w:num>
  <w:num w:numId="26">
    <w:abstractNumId w:val="19"/>
  </w:num>
  <w:num w:numId="27">
    <w:abstractNumId w:val="5"/>
  </w:num>
  <w:num w:numId="28">
    <w:abstractNumId w:val="22"/>
  </w:num>
  <w:num w:numId="29">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A37"/>
    <w:rsid w:val="00417ADA"/>
    <w:rsid w:val="00BB7A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2889BD9"/>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DocumentMap">
    <w:name w:val="Document Map"/>
    <w:basedOn w:val="Normal"/>
    <w:semiHidden/>
    <w:pPr>
      <w:shd w:val="clear" w:color="auto" w:fill="000080"/>
    </w:pPr>
    <w:rPr>
      <w:rFonts w:ascii="Tahoma" w:hAnsi="Tahoma" w:cs="Tahoma"/>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BalloonText">
    <w:name w:val="Balloon Text"/>
    <w:basedOn w:val="Normal"/>
    <w:semiHidden/>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styleId="Revision">
    <w:name w:val="Revision"/>
    <w:hidden/>
    <w:uiPriority w:val="99"/>
    <w:semiHidden/>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semiHidden/>
    <w:rPr>
      <w:rFonts w:ascii="Times New Roman" w:eastAsia="MS Mincho" w:hAnsi="Times New Roman"/>
      <w:lang w:val="en-GB"/>
    </w:rPr>
  </w:style>
  <w:style w:type="character" w:styleId="FollowedHyperlink">
    <w:name w:val="FollowedHyperlink"/>
    <w:semiHidden/>
    <w:unhideWhenUsed/>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noProof/>
      <w:sz w:val="18"/>
    </w:rPr>
  </w:style>
  <w:style w:type="character" w:customStyle="1" w:styleId="Heading1Char">
    <w:name w:val="Heading 1 Char"/>
    <w:aliases w:val="H1 Char,h1 Char,Heading 1 3GPP Char"/>
    <w:basedOn w:val="DefaultParagraphFont"/>
    <w:link w:val="Heading1"/>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Pr>
      <w:rFonts w:ascii="Arial" w:hAnsi="Arial"/>
      <w:sz w:val="32"/>
      <w:lang w:val="en-GB"/>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DefaultParagraphFont"/>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5AIRPNAIUNRU-1830940522-4056</_dlc_DocId>
    <_dlc_DocIdUrl xmlns="71c5aaf6-e6ce-465b-b873-5148d2a4c105">
      <Url>https://nokia.sharepoint.com/sites/c5g/5gradio/_layouts/15/DocIdRedir.aspx?ID=5AIRPNAIUNRU-1830940522-4056</Url>
      <Description>5AIRPNAIUNRU-1830940522-4056</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2006/documentManagement/types"/>
    <ds:schemaRef ds:uri="71c5aaf6-e6ce-465b-b873-5148d2a4c105"/>
    <ds:schemaRef ds:uri="95d2e41d-1f11-4347-bb1c-11d6a32975dd"/>
    <ds:schemaRef ds:uri="http://purl.org/dc/elements/1.1/"/>
    <ds:schemaRef ds:uri="http://schemas.openxmlformats.org/package/2006/metadata/core-properties"/>
    <ds:schemaRef ds:uri="http://schemas.microsoft.com/office/infopath/2007/PartnerControls"/>
    <ds:schemaRef ds:uri="http://purl.org/dc/terms/"/>
    <ds:schemaRef ds:uri="3b34c8f0-1ef5-4d1e-bb66-517ce7fe7356"/>
    <ds:schemaRef ds:uri="ebabf6ce-2443-438c-9946-ecc878e7654a"/>
    <ds:schemaRef ds:uri="http://www.w3.org/XML/1998/namespace"/>
    <ds:schemaRef ds:uri="http://purl.org/dc/dcmitype/"/>
  </ds:schemaRefs>
</ds:datastoreItem>
</file>

<file path=customXml/itemProps2.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18B45CF-F714-4547-B2AF-F2A0069B1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859</Words>
  <Characters>6964</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2019-05-27T18:49:00Z</dcterms:created>
  <dcterms:modified xsi:type="dcterms:W3CDTF">2019-05-27T18:49:00Z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880f8b31-f343-4d0d-94df-2973d72ee43b</vt:lpwstr>
  </property>
  <property fmtid="{D5CDD505-2E9C-101B-9397-08002B2CF9AE}" pid="9" name="_AdHocReviewCycleID">
    <vt:i4>-360259576</vt:i4>
  </property>
  <property fmtid="{D5CDD505-2E9C-101B-9397-08002B2CF9AE}" pid="10" name="_EmailSubject">
    <vt:lpwstr>Draft contribution on UE capabilities</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ies>
</file>