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R1-18</w:t>
      </w:r>
      <w:r w:rsidR="002D4BDB">
        <w:rPr>
          <w:b/>
          <w:noProof/>
          <w:sz w:val="28"/>
        </w:rPr>
        <w:t>096</w:t>
      </w:r>
      <w:r w:rsidR="002D0657">
        <w:rPr>
          <w:b/>
          <w:noProof/>
          <w:sz w:val="28"/>
        </w:rPr>
        <w:t>48</w:t>
      </w:r>
    </w:p>
    <w:p w:rsidR="00DA2613" w:rsidRDefault="00DA2613" w:rsidP="00DA2613">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rsidTr="00AF74D5">
        <w:tc>
          <w:tcPr>
            <w:tcW w:w="9641" w:type="dxa"/>
            <w:gridSpan w:val="9"/>
            <w:tcBorders>
              <w:top w:val="single" w:sz="4" w:space="0" w:color="auto"/>
              <w:left w:val="single" w:sz="4" w:space="0" w:color="auto"/>
              <w:right w:val="single" w:sz="4" w:space="0" w:color="auto"/>
            </w:tcBorders>
          </w:tcPr>
          <w:p w:rsidR="00DA2613" w:rsidRPr="00A267BE" w:rsidRDefault="00DA2613" w:rsidP="00AF74D5">
            <w:pPr>
              <w:pStyle w:val="CRCoverPage"/>
              <w:spacing w:after="0"/>
              <w:jc w:val="right"/>
              <w:rPr>
                <w:i/>
                <w:noProof/>
              </w:rPr>
            </w:pPr>
            <w:r w:rsidRPr="00A267BE">
              <w:rPr>
                <w:i/>
                <w:noProof/>
                <w:sz w:val="14"/>
              </w:rPr>
              <w:t>CR-Form-v11.2</w:t>
            </w: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jc w:val="center"/>
              <w:rPr>
                <w:noProof/>
              </w:rPr>
            </w:pPr>
            <w:r w:rsidRPr="00A267BE">
              <w:rPr>
                <w:b/>
                <w:noProof/>
                <w:sz w:val="32"/>
              </w:rPr>
              <w:t>CHANGE REQUEST</w:t>
            </w: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42" w:type="dxa"/>
            <w:tcBorders>
              <w:left w:val="single" w:sz="4" w:space="0" w:color="auto"/>
            </w:tcBorders>
          </w:tcPr>
          <w:p w:rsidR="00DA2613" w:rsidRPr="00A267BE" w:rsidRDefault="00DA2613" w:rsidP="00AF74D5">
            <w:pPr>
              <w:pStyle w:val="CRCoverPage"/>
              <w:spacing w:after="0"/>
              <w:jc w:val="right"/>
              <w:rPr>
                <w:noProof/>
              </w:rPr>
            </w:pPr>
          </w:p>
        </w:tc>
        <w:tc>
          <w:tcPr>
            <w:tcW w:w="2126" w:type="dxa"/>
            <w:shd w:val="pct30" w:color="FFFF00" w:fill="auto"/>
          </w:tcPr>
          <w:p w:rsidR="00DA2613" w:rsidRPr="00A267BE" w:rsidRDefault="00DA2613" w:rsidP="00AF74D5">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rsidR="00DA2613" w:rsidRPr="00A267BE" w:rsidRDefault="00DA2613" w:rsidP="00AF74D5">
            <w:pPr>
              <w:pStyle w:val="CRCoverPage"/>
              <w:spacing w:after="0"/>
              <w:jc w:val="center"/>
              <w:rPr>
                <w:noProof/>
              </w:rPr>
            </w:pPr>
            <w:r w:rsidRPr="00A267BE">
              <w:rPr>
                <w:b/>
                <w:noProof/>
                <w:sz w:val="28"/>
              </w:rPr>
              <w:t>CR</w:t>
            </w:r>
          </w:p>
        </w:tc>
        <w:tc>
          <w:tcPr>
            <w:tcW w:w="1276" w:type="dxa"/>
            <w:shd w:val="pct30" w:color="FFFF00" w:fill="auto"/>
          </w:tcPr>
          <w:p w:rsidR="00DA2613" w:rsidRPr="00A267BE" w:rsidRDefault="002D0657" w:rsidP="00AF74D5">
            <w:pPr>
              <w:pStyle w:val="CRCoverPage"/>
              <w:spacing w:after="0"/>
              <w:rPr>
                <w:noProof/>
              </w:rPr>
            </w:pPr>
            <w:r>
              <w:rPr>
                <w:b/>
                <w:noProof/>
                <w:sz w:val="28"/>
              </w:rPr>
              <w:t>0003</w:t>
            </w:r>
          </w:p>
        </w:tc>
        <w:tc>
          <w:tcPr>
            <w:tcW w:w="709" w:type="dxa"/>
          </w:tcPr>
          <w:p w:rsidR="00DA2613" w:rsidRPr="00A267BE" w:rsidRDefault="00DA2613" w:rsidP="00AF74D5">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DA2613" w:rsidRPr="00A267BE" w:rsidRDefault="00DA2613" w:rsidP="00AF74D5">
            <w:pPr>
              <w:pStyle w:val="CRCoverPage"/>
              <w:spacing w:after="0"/>
              <w:jc w:val="center"/>
              <w:rPr>
                <w:b/>
                <w:noProof/>
              </w:rPr>
            </w:pPr>
            <w:r w:rsidRPr="00A267BE">
              <w:rPr>
                <w:b/>
                <w:noProof/>
                <w:sz w:val="32"/>
              </w:rPr>
              <w:t>-</w:t>
            </w:r>
          </w:p>
        </w:tc>
        <w:tc>
          <w:tcPr>
            <w:tcW w:w="2693" w:type="dxa"/>
          </w:tcPr>
          <w:p w:rsidR="00DA2613" w:rsidRPr="00A267BE" w:rsidRDefault="00DA2613" w:rsidP="00AF74D5">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DA2613" w:rsidRPr="00A267BE" w:rsidRDefault="00DA2613" w:rsidP="00AF74D5">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top w:val="single" w:sz="4" w:space="0" w:color="auto"/>
            </w:tcBorders>
          </w:tcPr>
          <w:p w:rsidR="00DA2613" w:rsidRPr="00A267BE" w:rsidRDefault="00DA2613" w:rsidP="00AF74D5">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Hyperlink"/>
                  <w:rFonts w:cs="Arial"/>
                  <w:i/>
                  <w:noProof/>
                </w:rPr>
                <w:t>http://www.3gpp.org/Change-Requests</w:t>
              </w:r>
            </w:hyperlink>
            <w:r w:rsidRPr="00A267BE">
              <w:rPr>
                <w:rFonts w:cs="Arial"/>
                <w:i/>
                <w:noProof/>
              </w:rPr>
              <w:t>.</w:t>
            </w:r>
          </w:p>
        </w:tc>
      </w:tr>
      <w:tr w:rsidR="00DA2613" w:rsidRPr="00A267BE" w:rsidTr="00AF74D5">
        <w:tc>
          <w:tcPr>
            <w:tcW w:w="9641" w:type="dxa"/>
            <w:gridSpan w:val="9"/>
          </w:tcPr>
          <w:p w:rsidR="00DA2613" w:rsidRPr="00A267BE" w:rsidRDefault="00DA2613" w:rsidP="00AF74D5">
            <w:pPr>
              <w:pStyle w:val="CRCoverPage"/>
              <w:spacing w:after="0"/>
              <w:rPr>
                <w:noProof/>
                <w:sz w:val="8"/>
                <w:szCs w:val="8"/>
              </w:rPr>
            </w:pPr>
          </w:p>
        </w:tc>
      </w:tr>
    </w:tbl>
    <w:p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rsidTr="00AF74D5">
        <w:tc>
          <w:tcPr>
            <w:tcW w:w="2835" w:type="dxa"/>
          </w:tcPr>
          <w:p w:rsidR="00DA2613" w:rsidRPr="00A267BE" w:rsidRDefault="00DA2613" w:rsidP="00AF74D5">
            <w:pPr>
              <w:pStyle w:val="CRCoverPage"/>
              <w:tabs>
                <w:tab w:val="right" w:pos="2751"/>
              </w:tabs>
              <w:spacing w:after="0"/>
              <w:rPr>
                <w:b/>
                <w:i/>
                <w:noProof/>
              </w:rPr>
            </w:pPr>
            <w:r w:rsidRPr="00A267BE">
              <w:rPr>
                <w:b/>
                <w:i/>
                <w:noProof/>
              </w:rPr>
              <w:t>Proposed change affects:</w:t>
            </w:r>
          </w:p>
        </w:tc>
        <w:tc>
          <w:tcPr>
            <w:tcW w:w="1418" w:type="dxa"/>
          </w:tcPr>
          <w:p w:rsidR="00DA2613" w:rsidRPr="00A267BE" w:rsidRDefault="00DA2613" w:rsidP="00AF74D5">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13" w:rsidRPr="00A267BE" w:rsidRDefault="00DA2613" w:rsidP="00AF74D5">
            <w:pPr>
              <w:pStyle w:val="CRCoverPage"/>
              <w:spacing w:after="0"/>
              <w:jc w:val="center"/>
              <w:rPr>
                <w:b/>
                <w:caps/>
                <w:noProof/>
              </w:rPr>
            </w:pPr>
          </w:p>
        </w:tc>
        <w:tc>
          <w:tcPr>
            <w:tcW w:w="709" w:type="dxa"/>
            <w:tcBorders>
              <w:left w:val="single" w:sz="4" w:space="0" w:color="auto"/>
            </w:tcBorders>
          </w:tcPr>
          <w:p w:rsidR="00DA2613" w:rsidRPr="00A267BE" w:rsidRDefault="00DA2613" w:rsidP="00AF74D5">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caps/>
                <w:noProof/>
              </w:rPr>
            </w:pPr>
            <w:r>
              <w:rPr>
                <w:b/>
                <w:caps/>
                <w:noProof/>
              </w:rPr>
              <w:t>X</w:t>
            </w:r>
          </w:p>
        </w:tc>
        <w:tc>
          <w:tcPr>
            <w:tcW w:w="2126" w:type="dxa"/>
          </w:tcPr>
          <w:p w:rsidR="00DA2613" w:rsidRPr="00A267BE" w:rsidRDefault="00DA2613" w:rsidP="00AF74D5">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1418" w:type="dxa"/>
            <w:tcBorders>
              <w:left w:val="nil"/>
            </w:tcBorders>
          </w:tcPr>
          <w:p w:rsidR="00DA2613" w:rsidRPr="00A267BE" w:rsidRDefault="00DA2613" w:rsidP="00AF74D5">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bCs/>
                <w:caps/>
                <w:noProof/>
              </w:rPr>
            </w:pPr>
          </w:p>
        </w:tc>
      </w:tr>
    </w:tbl>
    <w:p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rsidTr="00AF74D5">
        <w:tc>
          <w:tcPr>
            <w:tcW w:w="9641" w:type="dxa"/>
            <w:gridSpan w:val="11"/>
          </w:tcPr>
          <w:p w:rsidR="00DA2613" w:rsidRPr="00A267BE" w:rsidRDefault="00DA2613" w:rsidP="00AF74D5">
            <w:pPr>
              <w:pStyle w:val="CRCoverPage"/>
              <w:spacing w:after="0"/>
              <w:rPr>
                <w:noProof/>
                <w:sz w:val="8"/>
                <w:szCs w:val="8"/>
              </w:rPr>
            </w:pPr>
          </w:p>
        </w:tc>
      </w:tr>
      <w:tr w:rsidR="00DA2613" w:rsidRPr="00A267BE" w:rsidTr="00AF74D5">
        <w:tc>
          <w:tcPr>
            <w:tcW w:w="1843" w:type="dxa"/>
            <w:tcBorders>
              <w:top w:val="single" w:sz="4" w:space="0" w:color="auto"/>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DA2613" w:rsidRPr="00A267BE" w:rsidRDefault="00B62B64" w:rsidP="00B62B64">
            <w:pPr>
              <w:pStyle w:val="CRCoverPage"/>
              <w:spacing w:after="0"/>
              <w:ind w:left="100"/>
              <w:rPr>
                <w:noProof/>
                <w:lang w:eastAsia="zh-CN"/>
              </w:rPr>
            </w:pPr>
            <w:r>
              <w:rPr>
                <w:noProof/>
                <w:lang w:eastAsia="zh-CN"/>
              </w:rPr>
              <w:t>Correction on COT length for AUL transmission</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DA2613" w:rsidRPr="00A267BE" w:rsidRDefault="00B62B64" w:rsidP="00AF74D5">
            <w:pPr>
              <w:pStyle w:val="CRCoverPage"/>
              <w:spacing w:after="0"/>
              <w:ind w:left="100"/>
              <w:rPr>
                <w:noProof/>
                <w:lang w:eastAsia="zh-CN"/>
              </w:rPr>
            </w:pPr>
            <w:r>
              <w:rPr>
                <w:rFonts w:hint="eastAsia"/>
                <w:noProof/>
                <w:lang w:eastAsia="zh-CN"/>
              </w:rPr>
              <w:t>LG Electronics</w:t>
            </w: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DA2613" w:rsidRPr="002D0657" w:rsidRDefault="007327D4" w:rsidP="00AF74D5">
            <w:pPr>
              <w:pStyle w:val="CRCoverPage"/>
              <w:spacing w:after="0"/>
              <w:ind w:left="100"/>
              <w:rPr>
                <w:rFonts w:eastAsia="Malgun Gothic"/>
                <w:noProof/>
                <w:lang w:eastAsia="ko-KR"/>
              </w:rPr>
            </w:pPr>
            <w:r>
              <w:rPr>
                <w:rFonts w:eastAsia="Malgun Gothic" w:hint="eastAsia"/>
                <w:noProof/>
                <w:lang w:eastAsia="ko-KR"/>
              </w:rPr>
              <w:t>R</w:t>
            </w:r>
            <w:bookmarkStart w:id="0" w:name="_GoBack"/>
            <w:bookmarkEnd w:id="0"/>
            <w:r w:rsidR="002D0657">
              <w:rPr>
                <w:rFonts w:eastAsia="Malgun Gothic" w:hint="eastAsia"/>
                <w:noProof/>
                <w:lang w:eastAsia="ko-KR"/>
              </w:rPr>
              <w:t>1</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DA2613" w:rsidRPr="00A267BE" w:rsidRDefault="00DA2613" w:rsidP="00AF74D5">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rsidR="00DA2613" w:rsidRPr="00A267BE" w:rsidRDefault="00DA2613" w:rsidP="00AF74D5">
            <w:pPr>
              <w:pStyle w:val="CRCoverPage"/>
              <w:spacing w:after="0"/>
              <w:ind w:right="100"/>
              <w:rPr>
                <w:noProof/>
              </w:rPr>
            </w:pPr>
          </w:p>
        </w:tc>
        <w:tc>
          <w:tcPr>
            <w:tcW w:w="1417" w:type="dxa"/>
            <w:gridSpan w:val="2"/>
            <w:tcBorders>
              <w:left w:val="nil"/>
            </w:tcBorders>
          </w:tcPr>
          <w:p w:rsidR="00DA2613" w:rsidRPr="00A267BE" w:rsidRDefault="00DA2613" w:rsidP="00AF74D5">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201</w:t>
            </w:r>
            <w:r>
              <w:rPr>
                <w:noProof/>
              </w:rPr>
              <w:t>8</w:t>
            </w:r>
            <w:r w:rsidRPr="00A267BE">
              <w:rPr>
                <w:noProof/>
              </w:rPr>
              <w:t>-</w:t>
            </w:r>
            <w:r w:rsidR="00B62B64">
              <w:rPr>
                <w:noProof/>
              </w:rPr>
              <w:t>08-20</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1560" w:type="dxa"/>
            <w:gridSpan w:val="4"/>
          </w:tcPr>
          <w:p w:rsidR="00DA2613" w:rsidRPr="00A267BE" w:rsidRDefault="00DA2613" w:rsidP="00AF74D5">
            <w:pPr>
              <w:pStyle w:val="CRCoverPage"/>
              <w:spacing w:after="0"/>
              <w:rPr>
                <w:noProof/>
                <w:sz w:val="8"/>
                <w:szCs w:val="8"/>
              </w:rPr>
            </w:pPr>
          </w:p>
        </w:tc>
        <w:tc>
          <w:tcPr>
            <w:tcW w:w="2694" w:type="dxa"/>
            <w:gridSpan w:val="3"/>
          </w:tcPr>
          <w:p w:rsidR="00DA2613" w:rsidRPr="00A267BE" w:rsidRDefault="00DA2613" w:rsidP="00AF74D5">
            <w:pPr>
              <w:pStyle w:val="CRCoverPage"/>
              <w:spacing w:after="0"/>
              <w:rPr>
                <w:noProof/>
                <w:sz w:val="8"/>
                <w:szCs w:val="8"/>
              </w:rPr>
            </w:pPr>
          </w:p>
        </w:tc>
        <w:tc>
          <w:tcPr>
            <w:tcW w:w="1417" w:type="dxa"/>
            <w:gridSpan w:val="2"/>
          </w:tcPr>
          <w:p w:rsidR="00DA2613" w:rsidRPr="00A267BE" w:rsidRDefault="00DA2613" w:rsidP="00AF74D5">
            <w:pPr>
              <w:pStyle w:val="CRCoverPage"/>
              <w:spacing w:after="0"/>
              <w:rPr>
                <w:noProof/>
                <w:sz w:val="8"/>
                <w:szCs w:val="8"/>
              </w:rPr>
            </w:pPr>
          </w:p>
        </w:tc>
        <w:tc>
          <w:tcPr>
            <w:tcW w:w="2127" w:type="dxa"/>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rPr>
          <w:cantSplit/>
        </w:trPr>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Category:</w:t>
            </w:r>
          </w:p>
        </w:tc>
        <w:tc>
          <w:tcPr>
            <w:tcW w:w="425" w:type="dxa"/>
            <w:shd w:val="pct30" w:color="FFFF00" w:fill="auto"/>
          </w:tcPr>
          <w:p w:rsidR="00DA2613" w:rsidRPr="00A267BE" w:rsidRDefault="00DA2613" w:rsidP="00AF74D5">
            <w:pPr>
              <w:pStyle w:val="CRCoverPage"/>
              <w:spacing w:after="0"/>
              <w:ind w:left="100"/>
              <w:rPr>
                <w:b/>
                <w:noProof/>
                <w:lang w:eastAsia="zh-CN"/>
              </w:rPr>
            </w:pPr>
            <w:r>
              <w:rPr>
                <w:b/>
                <w:noProof/>
                <w:lang w:eastAsia="zh-CN"/>
              </w:rPr>
              <w:t>F</w:t>
            </w:r>
          </w:p>
        </w:tc>
        <w:tc>
          <w:tcPr>
            <w:tcW w:w="3829" w:type="dxa"/>
            <w:gridSpan w:val="6"/>
            <w:tcBorders>
              <w:left w:val="nil"/>
            </w:tcBorders>
          </w:tcPr>
          <w:p w:rsidR="00DA2613" w:rsidRPr="00A267BE" w:rsidRDefault="00DA2613" w:rsidP="00AF74D5">
            <w:pPr>
              <w:pStyle w:val="CRCoverPage"/>
              <w:spacing w:after="0"/>
              <w:rPr>
                <w:noProof/>
              </w:rPr>
            </w:pPr>
          </w:p>
        </w:tc>
        <w:tc>
          <w:tcPr>
            <w:tcW w:w="1417" w:type="dxa"/>
            <w:gridSpan w:val="2"/>
            <w:tcBorders>
              <w:left w:val="nil"/>
            </w:tcBorders>
          </w:tcPr>
          <w:p w:rsidR="00DA2613" w:rsidRPr="00A267BE" w:rsidRDefault="00DA2613" w:rsidP="00AF74D5">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Rel-1</w:t>
            </w:r>
            <w:r>
              <w:rPr>
                <w:noProof/>
              </w:rPr>
              <w:t>5</w:t>
            </w:r>
          </w:p>
        </w:tc>
      </w:tr>
      <w:tr w:rsidR="00DA2613" w:rsidRPr="00A267BE" w:rsidTr="00AF74D5">
        <w:tc>
          <w:tcPr>
            <w:tcW w:w="1843" w:type="dxa"/>
            <w:tcBorders>
              <w:left w:val="single" w:sz="4" w:space="0" w:color="auto"/>
              <w:bottom w:val="single" w:sz="4" w:space="0" w:color="auto"/>
            </w:tcBorders>
          </w:tcPr>
          <w:p w:rsidR="00DA2613" w:rsidRPr="00A267BE" w:rsidRDefault="00DA2613" w:rsidP="00AF74D5">
            <w:pPr>
              <w:pStyle w:val="CRCoverPage"/>
              <w:spacing w:after="0"/>
              <w:rPr>
                <w:b/>
                <w:i/>
                <w:noProof/>
              </w:rPr>
            </w:pPr>
          </w:p>
        </w:tc>
        <w:tc>
          <w:tcPr>
            <w:tcW w:w="4678" w:type="dxa"/>
            <w:gridSpan w:val="8"/>
            <w:tcBorders>
              <w:bottom w:val="single" w:sz="4" w:space="0" w:color="auto"/>
            </w:tcBorders>
          </w:tcPr>
          <w:p w:rsidR="00DA2613" w:rsidRPr="00A267BE" w:rsidRDefault="00DA2613" w:rsidP="00AF74D5">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DA2613" w:rsidRPr="00A267BE" w:rsidRDefault="00DA2613" w:rsidP="00AF74D5">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DA2613" w:rsidRPr="00A267BE" w:rsidRDefault="00DA2613" w:rsidP="00AF74D5">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rsidTr="00AF74D5">
        <w:tc>
          <w:tcPr>
            <w:tcW w:w="1843" w:type="dxa"/>
          </w:tcPr>
          <w:p w:rsidR="00DA2613" w:rsidRPr="00A267BE" w:rsidRDefault="00DA2613" w:rsidP="00AF74D5">
            <w:pPr>
              <w:pStyle w:val="CRCoverPage"/>
              <w:spacing w:after="0"/>
              <w:rPr>
                <w:b/>
                <w:i/>
                <w:noProof/>
                <w:sz w:val="8"/>
                <w:szCs w:val="8"/>
              </w:rPr>
            </w:pPr>
          </w:p>
        </w:tc>
        <w:tc>
          <w:tcPr>
            <w:tcW w:w="7798" w:type="dxa"/>
            <w:gridSpan w:val="10"/>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DA2613" w:rsidRPr="00115716" w:rsidRDefault="00D877A6" w:rsidP="00AF74D5">
            <w:pPr>
              <w:pStyle w:val="CRCoverPage"/>
              <w:spacing w:after="0"/>
              <w:ind w:left="100"/>
              <w:rPr>
                <w:rFonts w:eastAsia="Malgun Gothic"/>
                <w:noProof/>
                <w:lang w:eastAsia="ko-KR"/>
              </w:rPr>
            </w:pPr>
            <w:r>
              <w:rPr>
                <w:rFonts w:eastAsia="Malgun Gothic" w:hint="eastAsia"/>
                <w:noProof/>
                <w:lang w:eastAsia="ko-KR"/>
              </w:rPr>
              <w:t xml:space="preserve">The limitation on the total duration of AUL transmission and </w:t>
            </w:r>
            <w:r w:rsidR="009C7F6D">
              <w:rPr>
                <w:rFonts w:eastAsia="Malgun Gothic"/>
                <w:noProof/>
                <w:lang w:eastAsia="ko-KR"/>
              </w:rPr>
              <w:t xml:space="preserve">potential </w:t>
            </w:r>
            <w:r>
              <w:rPr>
                <w:rFonts w:eastAsia="Malgun Gothic" w:hint="eastAsia"/>
                <w:noProof/>
                <w:lang w:eastAsia="ko-KR"/>
              </w:rPr>
              <w:t>following DL transmission within a shared COT is not specified</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DA2613" w:rsidRPr="00C36BB5" w:rsidRDefault="00C36BB5" w:rsidP="00AF74D5">
            <w:pPr>
              <w:pStyle w:val="CRCoverPage"/>
              <w:spacing w:after="0"/>
              <w:ind w:left="100"/>
              <w:rPr>
                <w:rFonts w:eastAsia="Malgun Gothic"/>
                <w:noProof/>
                <w:lang w:eastAsia="ko-KR"/>
              </w:rPr>
            </w:pPr>
            <w:r>
              <w:rPr>
                <w:rFonts w:eastAsia="Malgun Gothic" w:hint="eastAsia"/>
                <w:noProof/>
                <w:lang w:eastAsia="ko-KR"/>
              </w:rPr>
              <w:t xml:space="preserve">Correct 37.213 to ensure </w:t>
            </w:r>
            <w:r>
              <w:rPr>
                <w:rFonts w:eastAsia="Malgun Gothic"/>
                <w:noProof/>
                <w:lang w:eastAsia="ko-KR"/>
              </w:rPr>
              <w:t>the total duration of AUL transmission does not exceed MCOT corresponding to priority class chosen by the UE. Also correct 37.213 to ensure the total duration of AUL transmission and following DL transmission shared by AUL transmission does not exceed MCOT corresponding to priority class chosen by the UE.</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2613" w:rsidRPr="00C36BB5" w:rsidRDefault="00C36BB5" w:rsidP="00AF74D5">
            <w:pPr>
              <w:pStyle w:val="CRCoverPage"/>
              <w:spacing w:after="0"/>
              <w:ind w:left="100"/>
              <w:rPr>
                <w:rFonts w:eastAsia="Malgun Gothic"/>
                <w:noProof/>
                <w:lang w:eastAsia="ko-KR"/>
              </w:rPr>
            </w:pPr>
            <w:r>
              <w:rPr>
                <w:rFonts w:eastAsia="Malgun Gothic" w:hint="eastAsia"/>
                <w:noProof/>
                <w:lang w:eastAsia="ko-KR"/>
              </w:rPr>
              <w:t xml:space="preserve">The total duration of AUL transmission and potentially following DL transmission in shared COT </w:t>
            </w:r>
            <w:r>
              <w:rPr>
                <w:rFonts w:eastAsia="Malgun Gothic"/>
                <w:noProof/>
                <w:lang w:eastAsia="ko-KR"/>
              </w:rPr>
              <w:t xml:space="preserve">initiated by AUL transmission </w:t>
            </w:r>
            <w:r>
              <w:rPr>
                <w:rFonts w:eastAsia="Malgun Gothic" w:hint="eastAsia"/>
                <w:noProof/>
                <w:lang w:eastAsia="ko-KR"/>
              </w:rPr>
              <w:t>can exceed MCOT.</w:t>
            </w:r>
          </w:p>
        </w:tc>
      </w:tr>
      <w:tr w:rsidR="00DA2613" w:rsidRPr="00A267BE" w:rsidTr="00AF74D5">
        <w:tc>
          <w:tcPr>
            <w:tcW w:w="2268" w:type="dxa"/>
            <w:gridSpan w:val="2"/>
          </w:tcPr>
          <w:p w:rsidR="00DA2613" w:rsidRPr="00A267BE" w:rsidRDefault="00DA2613" w:rsidP="00AF74D5">
            <w:pPr>
              <w:pStyle w:val="CRCoverPage"/>
              <w:spacing w:after="0"/>
              <w:rPr>
                <w:b/>
                <w:i/>
                <w:noProof/>
                <w:sz w:val="8"/>
                <w:szCs w:val="8"/>
              </w:rPr>
            </w:pPr>
          </w:p>
        </w:tc>
        <w:tc>
          <w:tcPr>
            <w:tcW w:w="7373" w:type="dxa"/>
            <w:gridSpan w:val="9"/>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DA2613" w:rsidRPr="00A267BE" w:rsidRDefault="00DA2613" w:rsidP="009D3582">
            <w:pPr>
              <w:pStyle w:val="CRCoverPage"/>
              <w:spacing w:after="0"/>
              <w:ind w:left="100"/>
              <w:rPr>
                <w:noProof/>
                <w:lang w:eastAsia="zh-CN"/>
              </w:rPr>
            </w:pPr>
            <w:r>
              <w:rPr>
                <w:noProof/>
                <w:lang w:eastAsia="zh-CN"/>
              </w:rPr>
              <w:t>4.2.1</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13" w:rsidRPr="00A267BE" w:rsidRDefault="00DA2613" w:rsidP="00AF74D5">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13" w:rsidRPr="00A267BE" w:rsidRDefault="00DA2613" w:rsidP="00AF74D5">
            <w:pPr>
              <w:pStyle w:val="CRCoverPage"/>
              <w:spacing w:after="0"/>
              <w:jc w:val="center"/>
              <w:rPr>
                <w:b/>
                <w:caps/>
                <w:noProof/>
              </w:rPr>
            </w:pPr>
            <w:r w:rsidRPr="00A267BE">
              <w:rPr>
                <w:b/>
                <w:caps/>
                <w:noProof/>
              </w:rPr>
              <w:t>N</w:t>
            </w:r>
          </w:p>
        </w:tc>
        <w:tc>
          <w:tcPr>
            <w:tcW w:w="2977" w:type="dxa"/>
            <w:gridSpan w:val="3"/>
          </w:tcPr>
          <w:p w:rsidR="00DA2613" w:rsidRPr="00A267BE" w:rsidRDefault="00DA2613" w:rsidP="00AF74D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p>
        </w:tc>
        <w:tc>
          <w:tcPr>
            <w:tcW w:w="7373" w:type="dxa"/>
            <w:gridSpan w:val="9"/>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DA2613" w:rsidRPr="00A267BE" w:rsidRDefault="00DA2613" w:rsidP="00AF74D5">
            <w:pPr>
              <w:pStyle w:val="CRCoverPage"/>
              <w:spacing w:after="0"/>
              <w:ind w:left="100"/>
              <w:rPr>
                <w:noProof/>
              </w:rPr>
            </w:pPr>
          </w:p>
        </w:tc>
      </w:tr>
    </w:tbl>
    <w:p w:rsidR="00DA2613" w:rsidRDefault="00DA2613" w:rsidP="00DA2613">
      <w:pPr>
        <w:pStyle w:val="CRCoverPage"/>
        <w:spacing w:after="0"/>
        <w:rPr>
          <w:noProof/>
          <w:sz w:val="8"/>
          <w:szCs w:val="8"/>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Pr="00DA2613" w:rsidRDefault="00DA2613" w:rsidP="00DA2613">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9D3582" w:rsidRDefault="009D3582" w:rsidP="009D3582">
      <w:pPr>
        <w:pStyle w:val="Heading3"/>
        <w:ind w:left="1000" w:hanging="400"/>
      </w:pPr>
      <w:bookmarkStart w:id="1" w:name="_Toc516817363"/>
      <w:r>
        <w:t>4.2.1</w:t>
      </w:r>
      <w:r>
        <w:tab/>
        <w:t>Channel access procedure for uplink transmission(s)</w:t>
      </w:r>
      <w:bookmarkEnd w:id="1"/>
    </w:p>
    <w:p w:rsidR="009D3582" w:rsidRDefault="009D3582" w:rsidP="009D3582">
      <w:pPr>
        <w:rPr>
          <w:lang w:eastAsia="x-none"/>
        </w:rPr>
      </w:pPr>
      <w:r>
        <w:rPr>
          <w:lang w:eastAsia="x-none"/>
        </w:rPr>
        <w:t>The UE can access a carrier on which LAA Scell(s) UL transmission(s) are performed according to one of Type 1 or Type 2 UL channel access procedures. Type 1 channel access procedure is described in sub clause 4.2.1.1. Type 2 channel access procedure is described in sub clause 4.2.1.2.</w:t>
      </w:r>
    </w:p>
    <w:p w:rsidR="009D3582" w:rsidRDefault="009D3582" w:rsidP="009D3582">
      <w:pPr>
        <w:rPr>
          <w:lang w:eastAsia="x-none"/>
        </w:rPr>
      </w:pPr>
      <w:r>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rsidR="009D3582" w:rsidRDefault="009D3582" w:rsidP="009D3582">
      <w:pPr>
        <w:rPr>
          <w:lang w:eastAsia="x-none"/>
        </w:rPr>
      </w:pPr>
      <w:r>
        <w:rPr>
          <w:lang w:eastAsia="x-none"/>
        </w:rPr>
        <w:t>A UE shall use Type 1 channel access procedure for transmitting transmissions including the PUSCH transmission on autonomous UL resources unless stated otherwise in this sub clause.</w:t>
      </w:r>
    </w:p>
    <w:p w:rsidR="009D3582" w:rsidRDefault="009D3582" w:rsidP="009D3582">
      <w:pPr>
        <w:rPr>
          <w:lang w:eastAsia="x-none"/>
        </w:rPr>
      </w:pPr>
      <w:r>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rsidR="009D3582" w:rsidRDefault="009D3582" w:rsidP="009D3582">
      <w:pPr>
        <w:rPr>
          <w:rFonts w:eastAsia="Malgun Gothic"/>
          <w:lang w:eastAsia="ko-KR"/>
        </w:rPr>
      </w:pPr>
      <w:r>
        <w:rPr>
          <w:lang w:eastAsia="x-none"/>
        </w:rPr>
        <w:t xml:space="preserve">The UE shall use Type 1 channel access procedure for transmitting SRS transmissions not including a PUSCH transmission. </w:t>
      </w:r>
      <w:r>
        <w:t xml:space="preserve">UL channel access priority class </w:t>
      </w:r>
      <w:r>
        <w:rPr>
          <w:rFonts w:eastAsiaTheme="minorEastAsia"/>
          <w:position w:val="-10"/>
        </w:rPr>
        <w:object w:dxaOrig="24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8pt" o:ole="">
            <v:imagedata r:id="rId12" o:title=""/>
          </v:shape>
          <o:OLEObject Type="Embed" ProgID="Equation.3" ShapeID="_x0000_i1025" DrawAspect="Content" ObjectID="_1597654243" r:id="rId13"/>
        </w:object>
      </w:r>
      <w:r>
        <w:t xml:space="preserve">=1 is used for </w:t>
      </w:r>
      <w:r>
        <w:rPr>
          <w:lang w:eastAsia="x-none"/>
        </w:rPr>
        <w:t>SRS transmissions not including a PUSCH.</w:t>
      </w:r>
      <w:r>
        <w:rPr>
          <w:rFonts w:eastAsia="Malgun Gothic"/>
          <w:lang w:eastAsia="ko-KR"/>
        </w:rPr>
        <w:t xml:space="preserve"> </w:t>
      </w:r>
    </w:p>
    <w:p w:rsidR="009D3582" w:rsidRDefault="009D3582" w:rsidP="009D3582">
      <w:pPr>
        <w:rPr>
          <w:ins w:id="2" w:author="김선욱/선임연구원/차세대표준(연)ACS팀(seonwook.kim@lge.com)" w:date="2018-08-22T14:29:00Z"/>
          <w:rFonts w:eastAsia="Malgun Gothic"/>
          <w:lang w:eastAsia="ko-KR"/>
        </w:rPr>
      </w:pPr>
      <w:r>
        <w:t>If the UE is scheduled to transmit PUSCH and SRS in subframe</w:t>
      </w:r>
      <w:r>
        <w:rPr>
          <w:rFonts w:eastAsia="Malgun Gothic"/>
          <w:lang w:eastAsia="ko-KR"/>
        </w:rPr>
        <w:t xml:space="preserve"> </w:t>
      </w:r>
      <w:r>
        <w:rPr>
          <w:rFonts w:eastAsiaTheme="minorEastAsia"/>
          <w:position w:val="-6"/>
        </w:rPr>
        <w:object w:dxaOrig="195" w:dyaOrig="225">
          <v:shape id="_x0000_i1026" type="#_x0000_t75" style="width:9.6pt;height:11.4pt" o:ole="">
            <v:imagedata r:id="rId14" o:title=""/>
          </v:shape>
          <o:OLEObject Type="Embed" ProgID="Equation.3" ShapeID="_x0000_i1026" DrawAspect="Content" ObjectID="_1597654244" r:id="rId15"/>
        </w:object>
      </w:r>
      <w:r>
        <w:t xml:space="preserve">, and if the UE cannot access the channel for PUSCH transmission in subframe </w:t>
      </w:r>
      <w:r>
        <w:rPr>
          <w:rFonts w:eastAsiaTheme="minorEastAsia"/>
          <w:position w:val="-6"/>
        </w:rPr>
        <w:object w:dxaOrig="195" w:dyaOrig="225">
          <v:shape id="_x0000_i1027" type="#_x0000_t75" style="width:9.6pt;height:11.4pt" o:ole="">
            <v:imagedata r:id="rId14" o:title=""/>
          </v:shape>
          <o:OLEObject Type="Embed" ProgID="Equation.3" ShapeID="_x0000_i1027" DrawAspect="Content" ObjectID="_1597654245" r:id="rId16"/>
        </w:object>
      </w:r>
      <w:r>
        <w:t xml:space="preserve">, the UE shall attempt to make SRS transmission in subframe </w:t>
      </w:r>
      <w:r>
        <w:rPr>
          <w:rFonts w:eastAsiaTheme="minorEastAsia"/>
          <w:position w:val="-6"/>
        </w:rPr>
        <w:object w:dxaOrig="195" w:dyaOrig="225">
          <v:shape id="_x0000_i1028" type="#_x0000_t75" style="width:9.6pt;height:11.4pt" o:ole="">
            <v:imagedata r:id="rId14" o:title=""/>
          </v:shape>
          <o:OLEObject Type="Embed" ProgID="Equation.3" ShapeID="_x0000_i1028" DrawAspect="Content" ObjectID="_1597654246" r:id="rId17"/>
        </w:object>
      </w:r>
      <w:r>
        <w:t xml:space="preserve"> according to uplink channel access procedures</w:t>
      </w:r>
      <w:r>
        <w:rPr>
          <w:rFonts w:eastAsia="Malgun Gothic"/>
          <w:lang w:eastAsia="ko-KR"/>
        </w:rPr>
        <w:t xml:space="preserve"> specified for SRS transmission.</w:t>
      </w:r>
    </w:p>
    <w:p w:rsidR="009D3582" w:rsidRDefault="009D3582" w:rsidP="009D3582">
      <w:pPr>
        <w:rPr>
          <w:rFonts w:eastAsia="Malgun Gothic"/>
          <w:lang w:eastAsia="ko-KR"/>
        </w:rPr>
      </w:pPr>
      <w:ins w:id="3" w:author="김선욱/선임연구원/차세대표준(연)ACS팀(seonwook.kim@lge.com)" w:date="2018-08-22T14:30:00Z">
        <w:r w:rsidRPr="009D3582">
          <w:rPr>
            <w:rFonts w:eastAsia="Malgun Gothic"/>
            <w:lang w:eastAsia="ko-KR"/>
          </w:rPr>
          <w:t xml:space="preserve">The total length of autonomous uplink transmission(s) obtained by the channel access procedure in </w:t>
        </w:r>
      </w:ins>
      <w:ins w:id="4" w:author="김선욱/선임연구원/차세대표준(연)ACS팀(seonwook.kim@lge.com)" w:date="2018-08-22T14:33:00Z">
        <w:r>
          <w:rPr>
            <w:rFonts w:eastAsia="Malgun Gothic"/>
            <w:lang w:eastAsia="ko-KR"/>
          </w:rPr>
          <w:t>this sub clause</w:t>
        </w:r>
      </w:ins>
      <w:ins w:id="5" w:author="김선욱/선임연구원/차세대표준(연)ACS팀(seonwook.kim@lge.com)" w:date="2018-08-22T14:30:00Z">
        <w:r w:rsidRPr="009D3582">
          <w:rPr>
            <w:rFonts w:eastAsia="Malgun Gothic"/>
            <w:lang w:eastAsia="ko-KR"/>
          </w:rPr>
          <w:t xml:space="preserve">, including </w:t>
        </w:r>
      </w:ins>
      <w:ins w:id="6" w:author="김선욱/선임연구원/차세대표준(연)ACS팀(seonwook.kim@lge.com)" w:date="2018-08-22T19:14:00Z">
        <w:r w:rsidR="00F60238">
          <w:rPr>
            <w:rFonts w:eastAsia="Malgun Gothic"/>
            <w:lang w:eastAsia="ko-KR"/>
          </w:rPr>
          <w:t xml:space="preserve">the following </w:t>
        </w:r>
      </w:ins>
      <w:ins w:id="7" w:author="김선욱/선임연구원/차세대표준(연)ACS팀(seonwook.kim@lge.com)" w:date="2018-08-22T14:30:00Z">
        <w:r w:rsidRPr="009D3582">
          <w:rPr>
            <w:rFonts w:eastAsia="Malgun Gothic"/>
            <w:lang w:eastAsia="ko-KR"/>
          </w:rPr>
          <w:t xml:space="preserve">DL transmission if the UE sets ‘COT sharing indication’ in AUL-UCI to ‘1’ in a subframe within the autonomous uplink transmission(s), shall not exceed </w:t>
        </w:r>
      </w:ins>
      <w:ins w:id="8" w:author="김선욱/선임연구원/차세대표준(연)ACS팀(seonwook.kim@lge.com)" w:date="2018-08-22T14:30:00Z">
        <w:r>
          <w:rPr>
            <w:rFonts w:ascii="Arial" w:eastAsiaTheme="minorEastAsia" w:hAnsi="Arial"/>
            <w:b/>
            <w:position w:val="-14"/>
            <w:sz w:val="18"/>
          </w:rPr>
          <w:object w:dxaOrig="735" w:dyaOrig="390">
            <v:shape id="_x0000_i1029" type="#_x0000_t75" style="width:36.6pt;height:19.8pt" o:ole="">
              <v:imagedata r:id="rId18" o:title=""/>
            </v:shape>
            <o:OLEObject Type="Embed" ProgID="Equation.3" ShapeID="_x0000_i1029" DrawAspect="Content" ObjectID="_1597654247" r:id="rId19"/>
          </w:object>
        </w:r>
      </w:ins>
      <w:ins w:id="9" w:author="김선욱/선임연구원/차세대표준(연)ACS팀(seonwook.kim@lge.com)" w:date="2018-08-22T14:30:00Z">
        <w:r w:rsidRPr="009D3582">
          <w:rPr>
            <w:rFonts w:eastAsia="Malgun Gothic"/>
            <w:lang w:eastAsia="ko-KR"/>
          </w:rPr>
          <w:t xml:space="preserve">, where </w:t>
        </w:r>
      </w:ins>
      <w:ins w:id="10" w:author="김선욱/선임연구원/차세대표준(연)ACS팀(seonwook.kim@lge.com)" w:date="2018-08-22T14:31:00Z">
        <w:r>
          <w:rPr>
            <w:rFonts w:ascii="Arial" w:eastAsiaTheme="minorEastAsia" w:hAnsi="Arial"/>
            <w:b/>
            <w:position w:val="-14"/>
            <w:sz w:val="18"/>
          </w:rPr>
          <w:object w:dxaOrig="735" w:dyaOrig="390">
            <v:shape id="_x0000_i1030" type="#_x0000_t75" style="width:36.6pt;height:19.8pt" o:ole="">
              <v:imagedata r:id="rId18" o:title=""/>
            </v:shape>
            <o:OLEObject Type="Embed" ProgID="Equation.3" ShapeID="_x0000_i1030" DrawAspect="Content" ObjectID="_1597654248" r:id="rId20"/>
          </w:object>
        </w:r>
      </w:ins>
      <w:ins w:id="11" w:author="김선욱/선임연구원/차세대표준(연)ACS팀(seonwook.kim@lge.com)" w:date="2018-08-22T14:30:00Z">
        <w:r w:rsidRPr="009D3582">
          <w:rPr>
            <w:rFonts w:eastAsia="Malgun Gothic"/>
            <w:lang w:eastAsia="ko-KR"/>
          </w:rPr>
          <w:t xml:space="preserve"> is given in Table 4.2.1-1.</w:t>
        </w:r>
      </w:ins>
    </w:p>
    <w:p w:rsidR="009D3582" w:rsidRDefault="009D3582" w:rsidP="009D3582">
      <w:pPr>
        <w:pStyle w:val="TH"/>
        <w:rPr>
          <w:rFonts w:eastAsiaTheme="minorEastAsia"/>
        </w:rPr>
      </w:pPr>
      <w:r>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D3582" w:rsidTr="009D3582">
        <w:trPr>
          <w:trHeight w:val="554"/>
          <w:jc w:val="center"/>
        </w:trPr>
        <w:tc>
          <w:tcPr>
            <w:tcW w:w="137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Channel Access Priority Class (</w:t>
            </w:r>
            <w:r>
              <w:rPr>
                <w:rFonts w:eastAsiaTheme="minorEastAsia"/>
                <w:position w:val="-10"/>
              </w:rPr>
              <w:object w:dxaOrig="240" w:dyaOrig="270">
                <v:shape id="_x0000_i1031" type="#_x0000_t75" style="width:12pt;height:13.8pt" o:ole="">
                  <v:imagedata r:id="rId12" o:title=""/>
                </v:shape>
                <o:OLEObject Type="Embed" ProgID="Equation.3" ShapeID="_x0000_i1031" DrawAspect="Content" ObjectID="_1597654249" r:id="rId21"/>
              </w:object>
            </w:r>
            <w:r>
              <w:t>)</w:t>
            </w:r>
          </w:p>
        </w:tc>
        <w:tc>
          <w:tcPr>
            <w:tcW w:w="63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345" w:dyaOrig="390">
                <v:shape id="_x0000_i1032" type="#_x0000_t75" style="width:16.8pt;height:19.8pt" o:ole="">
                  <v:imagedata r:id="rId22" o:title=""/>
                </v:shape>
                <o:OLEObject Type="Embed" ProgID="Equation.3" ShapeID="_x0000_i1032" DrawAspect="Content" ObjectID="_1597654250" r:id="rId23"/>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65" w:dyaOrig="390">
                <v:shape id="_x0000_i1033" type="#_x0000_t75" style="width:38.4pt;height:19.8pt" o:ole="">
                  <v:imagedata r:id="rId24" o:title=""/>
                </v:shape>
                <o:OLEObject Type="Embed" ProgID="Equation.3" ShapeID="_x0000_i1033" DrawAspect="Content" ObjectID="_1597654251" r:id="rId25"/>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810" w:dyaOrig="390">
                <v:shape id="_x0000_i1034" type="#_x0000_t75" style="width:40.8pt;height:19.8pt" o:ole="">
                  <v:imagedata r:id="rId26" o:title=""/>
                </v:shape>
                <o:OLEObject Type="Embed" ProgID="Equation.3" ShapeID="_x0000_i1034" DrawAspect="Content" ObjectID="_1597654252" r:id="rId27"/>
              </w:object>
            </w:r>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35" w:dyaOrig="390">
                <v:shape id="_x0000_i1035" type="#_x0000_t75" style="width:36.6pt;height:19.8pt" o:ole="">
                  <v:imagedata r:id="rId18" o:title=""/>
                </v:shape>
                <o:OLEObject Type="Embed" ProgID="Equation.3" ShapeID="_x0000_i1035" DrawAspect="Content" ObjectID="_1597654253" r:id="rId28"/>
              </w:object>
            </w:r>
          </w:p>
        </w:tc>
        <w:tc>
          <w:tcPr>
            <w:tcW w:w="270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 xml:space="preserve">allowed </w:t>
            </w:r>
            <w:r>
              <w:rPr>
                <w:rFonts w:eastAsiaTheme="minorEastAsia"/>
                <w:position w:val="-14"/>
              </w:rPr>
              <w:object w:dxaOrig="525" w:dyaOrig="390">
                <v:shape id="_x0000_i1036" type="#_x0000_t75" style="width:26.4pt;height:19.8pt" o:ole="">
                  <v:imagedata r:id="rId29" o:title=""/>
                </v:shape>
                <o:OLEObject Type="Embed" ProgID="Equation.3" ShapeID="_x0000_i1036" DrawAspect="Content" ObjectID="_1597654254" r:id="rId30"/>
              </w:object>
            </w:r>
            <w:r>
              <w:t>sizes</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 ms</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{3,7}</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4 ms</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{7,15}</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6ms or 10 ms </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6ms or 10 ms</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8571" w:type="dxa"/>
            <w:gridSpan w:val="6"/>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jc w:val="left"/>
              <w:rPr>
                <w:rFonts w:ascii="Times New Roman" w:hAnsi="Times New Roman"/>
                <w:sz w:val="20"/>
                <w:lang w:val="en-US"/>
              </w:rPr>
            </w:pPr>
            <w:r>
              <w:rPr>
                <w:rFonts w:ascii="Times New Roman" w:hAnsi="Times New Roman"/>
                <w:sz w:val="20"/>
                <w:lang w:val="en-AU"/>
              </w:rPr>
              <w:t xml:space="preserve">NOTE1: </w:t>
            </w:r>
            <w:r>
              <w:rPr>
                <w:rFonts w:ascii="Times New Roman" w:hAnsi="Times New Roman"/>
                <w:sz w:val="20"/>
                <w:lang w:val="en-US"/>
              </w:rPr>
              <w:t xml:space="preserve">For </w:t>
            </w:r>
            <w:r>
              <w:rPr>
                <w:rFonts w:eastAsiaTheme="minorEastAsia"/>
                <w:position w:val="-10"/>
              </w:rPr>
              <w:object w:dxaOrig="765" w:dyaOrig="330">
                <v:shape id="_x0000_i1037" type="#_x0000_t75" style="width:38.4pt;height:16.2pt" o:ole="">
                  <v:imagedata r:id="rId31" o:title=""/>
                </v:shape>
                <o:OLEObject Type="Embed" ProgID="Equation.3" ShapeID="_x0000_i1037" DrawAspect="Content" ObjectID="_1597654255" r:id="rId32"/>
              </w:object>
            </w:r>
            <w:r>
              <w:rPr>
                <w:rFonts w:ascii="Times New Roman" w:hAnsi="Times New Roman"/>
                <w:sz w:val="20"/>
              </w:rPr>
              <w:t xml:space="preserve">, </w:t>
            </w:r>
            <w:r>
              <w:rPr>
                <w:rFonts w:ascii="Times New Roman" w:eastAsiaTheme="minorEastAsia" w:hAnsi="Times New Roman"/>
                <w:position w:val="-14"/>
                <w:sz w:val="20"/>
              </w:rPr>
              <w:object w:dxaOrig="735" w:dyaOrig="390">
                <v:shape id="_x0000_i1038" type="#_x0000_t75" style="width:36.6pt;height:19.8pt" o:ole="">
                  <v:imagedata r:id="rId33" o:title=""/>
                </v:shape>
                <o:OLEObject Type="Embed" ProgID="Equation.3" ShapeID="_x0000_i1038" DrawAspect="Content" ObjectID="_1597654256" r:id="rId34"/>
              </w:object>
            </w:r>
            <w:r>
              <w:rPr>
                <w:rFonts w:ascii="Times New Roman" w:hAnsi="Times New Roman"/>
                <w:sz w:val="20"/>
                <w:lang w:val="en-US"/>
              </w:rPr>
              <w:t xml:space="preserve"> =10ms if the higher layer parameter '</w:t>
            </w:r>
            <w:r>
              <w:rPr>
                <w:rFonts w:ascii="Times New Roman" w:hAnsi="Times New Roman"/>
                <w:i/>
                <w:sz w:val="20"/>
                <w:lang w:val="en-US"/>
              </w:rPr>
              <w:t xml:space="preserve">absenceOfAnyOtherTechnology-r14' </w:t>
            </w:r>
            <w:r>
              <w:rPr>
                <w:rFonts w:ascii="Times New Roman" w:hAnsi="Times New Roman"/>
                <w:sz w:val="20"/>
                <w:lang w:val="en-US"/>
              </w:rPr>
              <w:t xml:space="preserve">indicates TRUE, otherwise, </w:t>
            </w:r>
            <w:r>
              <w:rPr>
                <w:rFonts w:ascii="Times New Roman" w:eastAsiaTheme="minorEastAsia" w:hAnsi="Times New Roman"/>
                <w:position w:val="-14"/>
                <w:sz w:val="20"/>
              </w:rPr>
              <w:object w:dxaOrig="735" w:dyaOrig="390">
                <v:shape id="_x0000_i1039" type="#_x0000_t75" style="width:36.6pt;height:19.8pt" o:ole="">
                  <v:imagedata r:id="rId35" o:title=""/>
                </v:shape>
                <o:OLEObject Type="Embed" ProgID="Equation.3" ShapeID="_x0000_i1039" DrawAspect="Content" ObjectID="_1597654257" r:id="rId36"/>
              </w:object>
            </w:r>
            <w:r>
              <w:rPr>
                <w:rFonts w:ascii="Times New Roman" w:hAnsi="Times New Roman"/>
                <w:sz w:val="20"/>
                <w:lang w:val="en-US"/>
              </w:rPr>
              <w:t xml:space="preserve"> =6ms. </w:t>
            </w:r>
          </w:p>
          <w:p w:rsidR="009D3582" w:rsidRDefault="009D3582">
            <w:pPr>
              <w:rPr>
                <w:lang w:val="en-US"/>
              </w:rPr>
            </w:pPr>
            <w:r>
              <w:rPr>
                <w:lang w:val="en-AU"/>
              </w:rPr>
              <w:t xml:space="preserve">NOTE 2: When </w:t>
            </w:r>
            <w:r>
              <w:rPr>
                <w:rFonts w:eastAsiaTheme="minorEastAsia"/>
                <w:position w:val="-14"/>
              </w:rPr>
              <w:object w:dxaOrig="735" w:dyaOrig="390">
                <v:shape id="_x0000_i1040" type="#_x0000_t75" style="width:36.6pt;height:19.8pt" o:ole="">
                  <v:imagedata r:id="rId35" o:title=""/>
                </v:shape>
                <o:OLEObject Type="Embed" ProgID="Equation.3" ShapeID="_x0000_i1040" DrawAspect="Content" ObjectID="_1597654258" r:id="rId37"/>
              </w:object>
            </w:r>
            <w:r>
              <w:t xml:space="preserve">=6ms it </w:t>
            </w:r>
            <w:r>
              <w:rPr>
                <w:lang w:val="en-AU"/>
              </w:rPr>
              <w:t xml:space="preserve">may be increased to 8 ms by inserting one or more gaps. The minimum duration of a gap shall be 100 µs. The maximum duration before including any such gap shall be 6 ms. </w:t>
            </w:r>
          </w:p>
        </w:tc>
      </w:tr>
    </w:tbl>
    <w:p w:rsidR="009D3582" w:rsidRDefault="009D3582" w:rsidP="009D3582">
      <w:pPr>
        <w:rPr>
          <w:rFonts w:eastAsiaTheme="minorEastAsia"/>
          <w:lang w:eastAsia="x-none"/>
        </w:rPr>
      </w:pPr>
    </w:p>
    <w:p w:rsidR="00DA2613" w:rsidRPr="00A22018" w:rsidRDefault="00DA2613" w:rsidP="00DA261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7AC" w:rsidRDefault="00C577AC">
      <w:r>
        <w:separator/>
      </w:r>
    </w:p>
  </w:endnote>
  <w:endnote w:type="continuationSeparator" w:id="0">
    <w:p w:rsidR="00C577AC" w:rsidRDefault="00C5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7AC" w:rsidRDefault="00C577AC">
      <w:r>
        <w:separator/>
      </w:r>
    </w:p>
  </w:footnote>
  <w:footnote w:type="continuationSeparator" w:id="0">
    <w:p w:rsidR="00C577AC" w:rsidRDefault="00C577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4D5" w:rsidRDefault="00AF74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선욱/선임연구원/차세대표준(연)ACS팀(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5D10"/>
    <w:rsid w:val="00106646"/>
    <w:rsid w:val="00107586"/>
    <w:rsid w:val="00111C4A"/>
    <w:rsid w:val="00111CAF"/>
    <w:rsid w:val="001133C0"/>
    <w:rsid w:val="00115716"/>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0657"/>
    <w:rsid w:val="002D2EC0"/>
    <w:rsid w:val="002D3116"/>
    <w:rsid w:val="002D36A6"/>
    <w:rsid w:val="002D4BDB"/>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6645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663"/>
    <w:rsid w:val="00512FA7"/>
    <w:rsid w:val="0051446F"/>
    <w:rsid w:val="005144E2"/>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27D4"/>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3025"/>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23E"/>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14B"/>
    <w:rsid w:val="009A4F82"/>
    <w:rsid w:val="009A579D"/>
    <w:rsid w:val="009A6AF4"/>
    <w:rsid w:val="009B06F3"/>
    <w:rsid w:val="009B1D21"/>
    <w:rsid w:val="009C0B6E"/>
    <w:rsid w:val="009C4A4F"/>
    <w:rsid w:val="009C6A8B"/>
    <w:rsid w:val="009C6BC6"/>
    <w:rsid w:val="009C7251"/>
    <w:rsid w:val="009C782A"/>
    <w:rsid w:val="009C7866"/>
    <w:rsid w:val="009C7F6D"/>
    <w:rsid w:val="009C7FA3"/>
    <w:rsid w:val="009D1D34"/>
    <w:rsid w:val="009D2598"/>
    <w:rsid w:val="009D3582"/>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4D5"/>
    <w:rsid w:val="00B0042A"/>
    <w:rsid w:val="00B0624D"/>
    <w:rsid w:val="00B13F46"/>
    <w:rsid w:val="00B143BD"/>
    <w:rsid w:val="00B17426"/>
    <w:rsid w:val="00B20AAA"/>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64"/>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A6FAF"/>
    <w:rsid w:val="00BB19BB"/>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6BB5"/>
    <w:rsid w:val="00C37A4A"/>
    <w:rsid w:val="00C37FA1"/>
    <w:rsid w:val="00C5747A"/>
    <w:rsid w:val="00C577AC"/>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F39"/>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877A6"/>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0238"/>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ACF08"/>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BCE"/>
    <w:pPr>
      <w:spacing w:after="180"/>
    </w:pPr>
    <w:rPr>
      <w:rFonts w:ascii="Times New Roman" w:hAnsi="Times New Roman"/>
      <w:lang w:val="en-GB" w:eastAsia="en-US"/>
    </w:rPr>
  </w:style>
  <w:style w:type="paragraph" w:styleId="Heading1">
    <w:name w:val="heading 1"/>
    <w:next w:val="Normal"/>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1D6BC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6BCE"/>
    <w:pPr>
      <w:spacing w:before="120"/>
      <w:outlineLvl w:val="2"/>
    </w:pPr>
    <w:rPr>
      <w:sz w:val="28"/>
    </w:rPr>
  </w:style>
  <w:style w:type="paragraph" w:styleId="Heading4">
    <w:name w:val="heading 4"/>
    <w:basedOn w:val="Heading3"/>
    <w:next w:val="Normal"/>
    <w:link w:val="Heading4Char"/>
    <w:qFormat/>
    <w:rsid w:val="001D6BCE"/>
    <w:pPr>
      <w:ind w:left="1418" w:hanging="1418"/>
      <w:outlineLvl w:val="3"/>
    </w:pPr>
    <w:rPr>
      <w:sz w:val="24"/>
    </w:rPr>
  </w:style>
  <w:style w:type="paragraph" w:styleId="Heading5">
    <w:name w:val="heading 5"/>
    <w:basedOn w:val="Heading4"/>
    <w:next w:val="Normal"/>
    <w:link w:val="Heading5Char"/>
    <w:qFormat/>
    <w:rsid w:val="001D6BCE"/>
    <w:pPr>
      <w:ind w:left="1701" w:hanging="1701"/>
      <w:outlineLvl w:val="4"/>
    </w:pPr>
    <w:rPr>
      <w:sz w:val="22"/>
    </w:rPr>
  </w:style>
  <w:style w:type="paragraph" w:styleId="Heading6">
    <w:name w:val="heading 6"/>
    <w:basedOn w:val="H6"/>
    <w:next w:val="Normal"/>
    <w:qFormat/>
    <w:rsid w:val="001D6BCE"/>
    <w:pPr>
      <w:outlineLvl w:val="5"/>
    </w:pPr>
  </w:style>
  <w:style w:type="paragraph" w:styleId="Heading7">
    <w:name w:val="heading 7"/>
    <w:basedOn w:val="H6"/>
    <w:next w:val="Normal"/>
    <w:qFormat/>
    <w:rsid w:val="001D6BCE"/>
    <w:pPr>
      <w:outlineLvl w:val="6"/>
    </w:pPr>
  </w:style>
  <w:style w:type="paragraph" w:styleId="Heading8">
    <w:name w:val="heading 8"/>
    <w:basedOn w:val="Heading1"/>
    <w:next w:val="Normal"/>
    <w:qFormat/>
    <w:rsid w:val="001D6BCE"/>
    <w:pPr>
      <w:ind w:left="0" w:firstLine="0"/>
      <w:outlineLvl w:val="7"/>
    </w:pPr>
  </w:style>
  <w:style w:type="paragraph" w:styleId="Heading9">
    <w:name w:val="heading 9"/>
    <w:basedOn w:val="Heading8"/>
    <w:next w:val="Normal"/>
    <w:qFormat/>
    <w:rsid w:val="001D6B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6BCE"/>
    <w:pPr>
      <w:spacing w:before="180"/>
      <w:ind w:left="2693" w:hanging="2693"/>
    </w:pPr>
    <w:rPr>
      <w:b/>
    </w:rPr>
  </w:style>
  <w:style w:type="paragraph" w:styleId="TOC1">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D6BCE"/>
    <w:pPr>
      <w:ind w:left="1701" w:hanging="1701"/>
    </w:pPr>
  </w:style>
  <w:style w:type="paragraph" w:styleId="TOC4">
    <w:name w:val="toc 4"/>
    <w:basedOn w:val="TOC3"/>
    <w:uiPriority w:val="39"/>
    <w:rsid w:val="001D6BCE"/>
    <w:pPr>
      <w:ind w:left="1418" w:hanging="1418"/>
    </w:pPr>
  </w:style>
  <w:style w:type="paragraph" w:styleId="TOC3">
    <w:name w:val="toc 3"/>
    <w:basedOn w:val="TOC2"/>
    <w:uiPriority w:val="39"/>
    <w:rsid w:val="001D6BCE"/>
    <w:pPr>
      <w:ind w:left="1134" w:hanging="1134"/>
    </w:pPr>
  </w:style>
  <w:style w:type="paragraph" w:styleId="TOC2">
    <w:name w:val="toc 2"/>
    <w:basedOn w:val="TOC1"/>
    <w:uiPriority w:val="39"/>
    <w:rsid w:val="001D6BCE"/>
    <w:pPr>
      <w:keepNext w:val="0"/>
      <w:spacing w:before="0"/>
      <w:ind w:left="851" w:hanging="851"/>
    </w:pPr>
    <w:rPr>
      <w:sz w:val="20"/>
    </w:rPr>
  </w:style>
  <w:style w:type="paragraph" w:styleId="Index2">
    <w:name w:val="index 2"/>
    <w:basedOn w:val="Index1"/>
    <w:semiHidden/>
    <w:rsid w:val="001D6BCE"/>
    <w:pPr>
      <w:ind w:left="284"/>
    </w:pPr>
  </w:style>
  <w:style w:type="paragraph" w:styleId="Index1">
    <w:name w:val="index 1"/>
    <w:basedOn w:val="Normal"/>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D6BCE"/>
    <w:pPr>
      <w:outlineLvl w:val="9"/>
    </w:pPr>
  </w:style>
  <w:style w:type="paragraph" w:styleId="ListNumber2">
    <w:name w:val="List Number 2"/>
    <w:basedOn w:val="ListNumber"/>
    <w:rsid w:val="001D6B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FootnoteReference">
    <w:name w:val="footnote reference"/>
    <w:semiHidden/>
    <w:rsid w:val="001D6BCE"/>
    <w:rPr>
      <w:b/>
      <w:position w:val="6"/>
      <w:sz w:val="16"/>
    </w:rPr>
  </w:style>
  <w:style w:type="paragraph" w:styleId="FootnoteText">
    <w:name w:val="footnote text"/>
    <w:basedOn w:val="Normal"/>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Normal"/>
    <w:rsid w:val="001D6BCE"/>
    <w:pPr>
      <w:keepLines/>
      <w:ind w:left="1135" w:hanging="851"/>
    </w:pPr>
  </w:style>
  <w:style w:type="paragraph" w:styleId="TOC9">
    <w:name w:val="toc 9"/>
    <w:basedOn w:val="TOC8"/>
    <w:semiHidden/>
    <w:rsid w:val="001D6BCE"/>
    <w:pPr>
      <w:ind w:left="1418" w:hanging="1418"/>
    </w:pPr>
  </w:style>
  <w:style w:type="paragraph" w:customStyle="1" w:styleId="EX">
    <w:name w:val="EX"/>
    <w:basedOn w:val="Normal"/>
    <w:rsid w:val="001D6BCE"/>
    <w:pPr>
      <w:keepLines/>
      <w:ind w:left="1702" w:hanging="1418"/>
    </w:pPr>
  </w:style>
  <w:style w:type="paragraph" w:customStyle="1" w:styleId="FP">
    <w:name w:val="FP"/>
    <w:basedOn w:val="Normal"/>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TOC6">
    <w:name w:val="toc 6"/>
    <w:basedOn w:val="TOC5"/>
    <w:next w:val="Normal"/>
    <w:semiHidden/>
    <w:rsid w:val="001D6BCE"/>
    <w:pPr>
      <w:ind w:left="1985" w:hanging="1985"/>
    </w:pPr>
  </w:style>
  <w:style w:type="paragraph" w:styleId="TOC7">
    <w:name w:val="toc 7"/>
    <w:basedOn w:val="TOC6"/>
    <w:next w:val="Normal"/>
    <w:semiHidden/>
    <w:rsid w:val="001D6BCE"/>
    <w:pPr>
      <w:ind w:left="2268" w:hanging="2268"/>
    </w:pPr>
  </w:style>
  <w:style w:type="paragraph" w:styleId="ListBullet2">
    <w:name w:val="List Bullet 2"/>
    <w:basedOn w:val="ListBullet"/>
    <w:rsid w:val="001D6BCE"/>
    <w:pPr>
      <w:ind w:left="851"/>
    </w:pPr>
  </w:style>
  <w:style w:type="paragraph" w:styleId="ListBullet3">
    <w:name w:val="List Bullet 3"/>
    <w:basedOn w:val="ListBullet2"/>
    <w:rsid w:val="001D6BCE"/>
    <w:pPr>
      <w:ind w:left="1135"/>
    </w:pPr>
  </w:style>
  <w:style w:type="paragraph" w:styleId="ListNumber">
    <w:name w:val="List Number"/>
    <w:basedOn w:val="List"/>
    <w:rsid w:val="001D6BCE"/>
  </w:style>
  <w:style w:type="paragraph" w:customStyle="1" w:styleId="EQ">
    <w:name w:val="EQ"/>
    <w:basedOn w:val="Normal"/>
    <w:next w:val="Normal"/>
    <w:rsid w:val="001D6BCE"/>
    <w:pPr>
      <w:keepLines/>
      <w:tabs>
        <w:tab w:val="center" w:pos="4536"/>
        <w:tab w:val="right" w:pos="9072"/>
      </w:tabs>
    </w:pPr>
    <w:rPr>
      <w:noProof/>
    </w:rPr>
  </w:style>
  <w:style w:type="paragraph" w:customStyle="1" w:styleId="TH">
    <w:name w:val="TH"/>
    <w:basedOn w:val="Normal"/>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Heading5"/>
    <w:next w:val="Normal"/>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Normal"/>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List2">
    <w:name w:val="List 2"/>
    <w:basedOn w:val="List"/>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D6BCE"/>
    <w:pPr>
      <w:ind w:left="1135"/>
    </w:pPr>
  </w:style>
  <w:style w:type="paragraph" w:styleId="List4">
    <w:name w:val="List 4"/>
    <w:basedOn w:val="List3"/>
    <w:rsid w:val="001D6BCE"/>
    <w:pPr>
      <w:ind w:left="1418"/>
    </w:pPr>
  </w:style>
  <w:style w:type="paragraph" w:styleId="List5">
    <w:name w:val="List 5"/>
    <w:basedOn w:val="List4"/>
    <w:rsid w:val="001D6BCE"/>
    <w:pPr>
      <w:ind w:left="1702"/>
    </w:pPr>
  </w:style>
  <w:style w:type="paragraph" w:customStyle="1" w:styleId="EditorsNote">
    <w:name w:val="Editor's Note"/>
    <w:basedOn w:val="NO"/>
    <w:rsid w:val="001D6BCE"/>
    <w:rPr>
      <w:color w:val="FF0000"/>
    </w:rPr>
  </w:style>
  <w:style w:type="paragraph" w:styleId="List">
    <w:name w:val="List"/>
    <w:basedOn w:val="Normal"/>
    <w:rsid w:val="001D6BCE"/>
    <w:pPr>
      <w:ind w:left="568" w:hanging="284"/>
    </w:pPr>
  </w:style>
  <w:style w:type="paragraph" w:styleId="ListBullet">
    <w:name w:val="List Bullet"/>
    <w:basedOn w:val="List"/>
    <w:rsid w:val="001D6BCE"/>
  </w:style>
  <w:style w:type="paragraph" w:styleId="ListBullet4">
    <w:name w:val="List Bullet 4"/>
    <w:basedOn w:val="ListBullet3"/>
    <w:rsid w:val="001D6BCE"/>
    <w:pPr>
      <w:ind w:left="1418"/>
    </w:pPr>
  </w:style>
  <w:style w:type="paragraph" w:styleId="ListBullet5">
    <w:name w:val="List Bullet 5"/>
    <w:basedOn w:val="ListBullet4"/>
    <w:rsid w:val="001D6BCE"/>
    <w:pPr>
      <w:ind w:left="1702"/>
    </w:pPr>
  </w:style>
  <w:style w:type="paragraph" w:customStyle="1" w:styleId="B1">
    <w:name w:val="B1"/>
    <w:basedOn w:val="List"/>
    <w:link w:val="B1Char1"/>
    <w:rsid w:val="001D6BCE"/>
  </w:style>
  <w:style w:type="paragraph" w:customStyle="1" w:styleId="B2">
    <w:name w:val="B2"/>
    <w:basedOn w:val="List2"/>
    <w:link w:val="B2Char"/>
    <w:rsid w:val="001D6BCE"/>
  </w:style>
  <w:style w:type="paragraph" w:customStyle="1" w:styleId="B3">
    <w:name w:val="B3"/>
    <w:basedOn w:val="List3"/>
    <w:link w:val="B3Char"/>
    <w:rsid w:val="001D6BCE"/>
  </w:style>
  <w:style w:type="paragraph" w:customStyle="1" w:styleId="B4">
    <w:name w:val="B4"/>
    <w:basedOn w:val="List4"/>
    <w:link w:val="B4Char"/>
    <w:rsid w:val="001D6BCE"/>
  </w:style>
  <w:style w:type="paragraph" w:customStyle="1" w:styleId="B5">
    <w:name w:val="B5"/>
    <w:basedOn w:val="List5"/>
    <w:rsid w:val="001D6BCE"/>
  </w:style>
  <w:style w:type="paragraph" w:styleId="Footer">
    <w:name w:val="footer"/>
    <w:basedOn w:val="Header"/>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Hyperlink">
    <w:name w:val="Hyperlink"/>
    <w:uiPriority w:val="99"/>
    <w:rsid w:val="001D6BCE"/>
    <w:rPr>
      <w:color w:val="0000FF"/>
      <w:u w:val="single"/>
    </w:rPr>
  </w:style>
  <w:style w:type="character" w:styleId="CommentReference">
    <w:name w:val="annotation reference"/>
    <w:semiHidden/>
    <w:rsid w:val="001D6BCE"/>
    <w:rPr>
      <w:sz w:val="16"/>
    </w:rPr>
  </w:style>
  <w:style w:type="paragraph" w:styleId="CommentText">
    <w:name w:val="annotation text"/>
    <w:basedOn w:val="Normal"/>
    <w:link w:val="CommentTextChar"/>
    <w:semiHidden/>
    <w:rsid w:val="001D6BCE"/>
  </w:style>
  <w:style w:type="character" w:styleId="FollowedHyperlink">
    <w:name w:val="FollowedHyperlink"/>
    <w:rsid w:val="001D6BCE"/>
    <w:rPr>
      <w:color w:val="800080"/>
      <w:u w:val="single"/>
    </w:rPr>
  </w:style>
  <w:style w:type="paragraph" w:styleId="BalloonText">
    <w:name w:val="Balloon Text"/>
    <w:basedOn w:val="Normal"/>
    <w:semiHidden/>
    <w:rsid w:val="001D6BCE"/>
    <w:rPr>
      <w:rFonts w:ascii="Tahoma" w:hAnsi="Tahoma" w:cs="Tahoma"/>
      <w:sz w:val="16"/>
      <w:szCs w:val="16"/>
    </w:rPr>
  </w:style>
  <w:style w:type="paragraph" w:styleId="CommentSubject">
    <w:name w:val="annotation subject"/>
    <w:basedOn w:val="CommentText"/>
    <w:next w:val="CommentText"/>
    <w:link w:val="CommentSubjectChar"/>
    <w:rsid w:val="001D6B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Heading3Char">
    <w:name w:val="Heading 3 Char"/>
    <w:aliases w:val="Underrubrik2 Char,H3 Char"/>
    <w:link w:val="Heading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Heading2Char">
    <w:name w:val="Heading 2 Char"/>
    <w:aliases w:val="H2 Char1,h2 Char1,DO NOT USE_h2 Char,h21 Char,Head2A Char,2 Char,UNDERRUBRIK 1-2 Char,H2 Char Char,h2 Char Char"/>
    <w:link w:val="Heading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262881917">
      <w:bodyDiv w:val="1"/>
      <w:marLeft w:val="0"/>
      <w:marRight w:val="0"/>
      <w:marTop w:val="0"/>
      <w:marBottom w:val="0"/>
      <w:divBdr>
        <w:top w:val="none" w:sz="0" w:space="0" w:color="auto"/>
        <w:left w:val="none" w:sz="0" w:space="0" w:color="auto"/>
        <w:bottom w:val="none" w:sz="0" w:space="0" w:color="auto"/>
        <w:right w:val="none" w:sz="0" w:space="0" w:color="auto"/>
      </w:divBdr>
    </w:div>
    <w:div w:id="188798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EE7F5-40FA-43CE-BBC8-39BEA2E6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736</Words>
  <Characters>4198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p:lastModifiedBy>
  <cp:revision>9</cp:revision>
  <cp:lastPrinted>1899-12-31T23:00:00Z</cp:lastPrinted>
  <dcterms:created xsi:type="dcterms:W3CDTF">2018-08-22T13:18:00Z</dcterms:created>
  <dcterms:modified xsi:type="dcterms:W3CDTF">2018-09-05T09:34:00Z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(3)tGk56Gnu5/BayGdCXmGPXyGPqYu38Lv6Z7kNEbvNI+BPNNBfnHG9MoY1dEqOh8juh+tcvr6S
rM1nRe8fdq+odkoF8byKWAIX49kkvZj8rAd1kdmH4drwBZG5r6MbjJKCpdJmAS1ZdLHGZKiT
5eAqoyuYiFvJEzYG0J2DL6zVQdWojJZjgViUAjwriYw0NWVnXRzz1KLIw50BpWPdKcSMah6i
XlngleO7tW0x/1x8rU</vt:lpwstr>
  </property>
  <property fmtid="{D5CDD505-2E9C-101B-9397-08002B2CF9AE}" pid="4" name="_2015_ms_pID_7253431">
    <vt:lpwstr>0EA1PWDsgymAntMnzpYz+sMWOm5PgmbisNunnzLes/qZs8Qu3Xnntj
pvXiGUE/P8KOoaos7FwnvGbNjHpU+TAKdikJZKB60w3YU2fHALNbz37/si7S+pQn95VsIWF+
dJhg49CEqMqM5vyLDwRhtd1eTzLltGO/G8KbwwjAcPOiOTdFflObgOMogeFQCjbG+jdOFb6U
rb+rl4658CnXBoxDDbhRZe9RqrGfprxuMEHV</vt:lpwstr>
  </property>
  <property fmtid="{D5CDD505-2E9C-101B-9397-08002B2CF9AE}" pid="5" name="_2015_ms_pID_7253432">
    <vt:lpwstr>JOuYYBeHAdHMhll0bccWZww=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