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CA2C57" w:rsidRDefault="00070DB3" w:rsidP="00070DB3">
      <w:pPr>
        <w:pStyle w:val="Header"/>
        <w:tabs>
          <w:tab w:val="right" w:pos="9639"/>
        </w:tabs>
        <w:rPr>
          <w:bCs/>
          <w:noProof w:val="0"/>
          <w:sz w:val="24"/>
          <w:szCs w:val="24"/>
        </w:rPr>
      </w:pPr>
      <w:r w:rsidRPr="00CA2C57">
        <w:rPr>
          <w:bCs/>
          <w:noProof w:val="0"/>
          <w:sz w:val="24"/>
          <w:szCs w:val="24"/>
        </w:rPr>
        <w:t>3GPP T</w:t>
      </w:r>
      <w:bookmarkStart w:id="0" w:name="_Ref452454252"/>
      <w:bookmarkEnd w:id="0"/>
      <w:r w:rsidR="00CA2C57" w:rsidRPr="00CA2C57">
        <w:rPr>
          <w:bCs/>
          <w:noProof w:val="0"/>
          <w:sz w:val="24"/>
          <w:szCs w:val="24"/>
        </w:rPr>
        <w:t>SG RAN</w:t>
      </w:r>
      <w:r w:rsidR="00237828" w:rsidRPr="00CA2C57">
        <w:rPr>
          <w:noProof w:val="0"/>
          <w:sz w:val="24"/>
          <w:szCs w:val="24"/>
        </w:rPr>
        <w:t>#79</w:t>
      </w:r>
      <w:r w:rsidRPr="00CA2C57">
        <w:rPr>
          <w:bCs/>
          <w:noProof w:val="0"/>
          <w:sz w:val="24"/>
          <w:szCs w:val="24"/>
        </w:rPr>
        <w:tab/>
        <w:t>R</w:t>
      </w:r>
      <w:r w:rsidR="00245669" w:rsidRPr="00CA2C57">
        <w:rPr>
          <w:bCs/>
          <w:noProof w:val="0"/>
          <w:sz w:val="24"/>
          <w:szCs w:val="24"/>
        </w:rPr>
        <w:t>P</w:t>
      </w:r>
      <w:r w:rsidR="00237828" w:rsidRPr="00CA2C57">
        <w:rPr>
          <w:bCs/>
          <w:noProof w:val="0"/>
          <w:sz w:val="24"/>
          <w:szCs w:val="24"/>
        </w:rPr>
        <w:t>-18</w:t>
      </w:r>
      <w:r w:rsidR="00133A31" w:rsidRPr="00CA2C57">
        <w:rPr>
          <w:bCs/>
          <w:noProof w:val="0"/>
          <w:sz w:val="24"/>
          <w:szCs w:val="24"/>
        </w:rPr>
        <w:t>0449</w:t>
      </w:r>
    </w:p>
    <w:p w:rsidR="00070DB3" w:rsidRPr="00CA2C57" w:rsidRDefault="00237828" w:rsidP="00070DB3">
      <w:pPr>
        <w:pStyle w:val="Header"/>
        <w:tabs>
          <w:tab w:val="right" w:pos="9639"/>
        </w:tabs>
        <w:rPr>
          <w:bCs/>
          <w:noProof w:val="0"/>
          <w:sz w:val="24"/>
          <w:szCs w:val="24"/>
        </w:rPr>
      </w:pPr>
      <w:r w:rsidRPr="00CA2C57">
        <w:rPr>
          <w:noProof w:val="0"/>
          <w:sz w:val="24"/>
          <w:szCs w:val="24"/>
          <w:lang w:eastAsia="zh-CN"/>
        </w:rPr>
        <w:t>Chennai</w:t>
      </w:r>
      <w:r w:rsidR="00070DB3" w:rsidRPr="00CA2C57">
        <w:rPr>
          <w:noProof w:val="0"/>
          <w:sz w:val="24"/>
          <w:szCs w:val="24"/>
          <w:lang w:eastAsia="zh-CN"/>
        </w:rPr>
        <w:t xml:space="preserve">, </w:t>
      </w:r>
      <w:r w:rsidRPr="00CA2C57">
        <w:rPr>
          <w:noProof w:val="0"/>
          <w:sz w:val="24"/>
          <w:szCs w:val="24"/>
          <w:lang w:eastAsia="zh-CN"/>
        </w:rPr>
        <w:t>India</w:t>
      </w:r>
      <w:r w:rsidR="00070DB3" w:rsidRPr="00CA2C57">
        <w:rPr>
          <w:noProof w:val="0"/>
          <w:sz w:val="24"/>
          <w:szCs w:val="24"/>
          <w:lang w:eastAsia="zh-CN"/>
        </w:rPr>
        <w:t xml:space="preserve">, </w:t>
      </w:r>
      <w:r w:rsidR="00245669" w:rsidRPr="00CA2C57">
        <w:rPr>
          <w:noProof w:val="0"/>
          <w:sz w:val="24"/>
          <w:szCs w:val="24"/>
          <w:lang w:eastAsia="zh-CN"/>
        </w:rPr>
        <w:t>18</w:t>
      </w:r>
      <w:r w:rsidR="00070DB3" w:rsidRPr="00CA2C57">
        <w:rPr>
          <w:noProof w:val="0"/>
          <w:sz w:val="24"/>
          <w:szCs w:val="24"/>
          <w:vertAlign w:val="superscript"/>
          <w:lang w:eastAsia="zh-CN"/>
        </w:rPr>
        <w:t>th</w:t>
      </w:r>
      <w:r w:rsidR="00070DB3" w:rsidRPr="00CA2C57">
        <w:rPr>
          <w:noProof w:val="0"/>
          <w:sz w:val="24"/>
          <w:szCs w:val="24"/>
          <w:lang w:eastAsia="zh-CN"/>
        </w:rPr>
        <w:t xml:space="preserve"> </w:t>
      </w:r>
      <w:r w:rsidR="00245669" w:rsidRPr="00CA2C57">
        <w:rPr>
          <w:noProof w:val="0"/>
          <w:sz w:val="24"/>
          <w:szCs w:val="24"/>
          <w:lang w:eastAsia="zh-CN"/>
        </w:rPr>
        <w:t>–</w:t>
      </w:r>
      <w:r w:rsidR="00070DB3" w:rsidRPr="00CA2C57">
        <w:rPr>
          <w:noProof w:val="0"/>
          <w:sz w:val="24"/>
          <w:szCs w:val="24"/>
          <w:lang w:eastAsia="zh-CN"/>
        </w:rPr>
        <w:t xml:space="preserve"> </w:t>
      </w:r>
      <w:r w:rsidR="00245669" w:rsidRPr="00CA2C57">
        <w:rPr>
          <w:noProof w:val="0"/>
          <w:sz w:val="24"/>
          <w:szCs w:val="24"/>
          <w:lang w:eastAsia="zh-CN"/>
        </w:rPr>
        <w:t>2</w:t>
      </w:r>
      <w:r w:rsidR="00070DB3" w:rsidRPr="00CA2C57">
        <w:rPr>
          <w:noProof w:val="0"/>
          <w:sz w:val="24"/>
          <w:szCs w:val="24"/>
          <w:lang w:eastAsia="zh-CN"/>
        </w:rPr>
        <w:t>1</w:t>
      </w:r>
      <w:r w:rsidR="00070DB3" w:rsidRPr="00CA2C57">
        <w:rPr>
          <w:noProof w:val="0"/>
          <w:sz w:val="24"/>
          <w:szCs w:val="24"/>
          <w:vertAlign w:val="superscript"/>
          <w:lang w:eastAsia="zh-CN"/>
        </w:rPr>
        <w:t>st</w:t>
      </w:r>
      <w:r w:rsidR="00070DB3" w:rsidRPr="00CA2C57">
        <w:rPr>
          <w:noProof w:val="0"/>
          <w:sz w:val="24"/>
          <w:szCs w:val="24"/>
          <w:lang w:eastAsia="zh-CN"/>
        </w:rPr>
        <w:t xml:space="preserve"> </w:t>
      </w:r>
      <w:r w:rsidRPr="00CA2C57">
        <w:rPr>
          <w:noProof w:val="0"/>
          <w:sz w:val="24"/>
          <w:szCs w:val="24"/>
          <w:lang w:eastAsia="zh-CN"/>
        </w:rPr>
        <w:t>March 2018</w:t>
      </w:r>
    </w:p>
    <w:p w:rsidR="00070DB3" w:rsidRPr="00C90679" w:rsidRDefault="00070DB3" w:rsidP="00070DB3">
      <w:pPr>
        <w:pStyle w:val="CRCoverPage"/>
        <w:tabs>
          <w:tab w:val="right" w:pos="9638"/>
        </w:tabs>
        <w:spacing w:after="0"/>
        <w:outlineLvl w:val="0"/>
        <w:rPr>
          <w:rFonts w:cs="Arial"/>
          <w:b/>
          <w:noProof/>
          <w:sz w:val="48"/>
        </w:rPr>
      </w:pPr>
    </w:p>
    <w:p w:rsidR="00070DB3" w:rsidRPr="00B34B00" w:rsidRDefault="00AA31C7" w:rsidP="00B34B00">
      <w:pPr>
        <w:rPr>
          <w:rFonts w:ascii="Arial" w:hAnsi="Arial" w:cs="Arial"/>
          <w:b/>
          <w:i/>
          <w:sz w:val="24"/>
        </w:rPr>
      </w:pPr>
      <w:r w:rsidRPr="00B34B00">
        <w:rPr>
          <w:rFonts w:ascii="Arial" w:hAnsi="Arial" w:cs="Arial"/>
          <w:b/>
          <w:sz w:val="24"/>
        </w:rPr>
        <w:t>Title:</w:t>
      </w:r>
      <w:r w:rsidRPr="00B34B00">
        <w:rPr>
          <w:rFonts w:ascii="Arial" w:hAnsi="Arial" w:cs="Arial"/>
          <w:b/>
          <w:sz w:val="24"/>
        </w:rPr>
        <w:tab/>
      </w:r>
      <w:r w:rsidR="00B34B00" w:rsidRPr="00B34B00">
        <w:rPr>
          <w:rFonts w:ascii="Arial" w:hAnsi="Arial" w:cs="Arial"/>
          <w:b/>
          <w:sz w:val="24"/>
        </w:rPr>
        <w:tab/>
      </w:r>
      <w:r w:rsidR="00133A31" w:rsidRPr="00B34B00">
        <w:rPr>
          <w:rFonts w:ascii="Arial" w:hAnsi="Arial" w:cs="Arial"/>
          <w:b/>
          <w:sz w:val="24"/>
        </w:rPr>
        <w:t>Way forward on UE mandatory/optional handling</w:t>
      </w:r>
      <w:r w:rsidR="00070DB3" w:rsidRPr="00B34B00">
        <w:rPr>
          <w:rFonts w:ascii="Arial" w:hAnsi="Arial" w:cs="Arial"/>
          <w:b/>
          <w:sz w:val="300"/>
        </w:rPr>
        <w:t xml:space="preserve"> </w:t>
      </w:r>
    </w:p>
    <w:p w:rsidR="00070DB3" w:rsidRPr="00B34B00" w:rsidRDefault="00070DB3" w:rsidP="00B34B00">
      <w:pPr>
        <w:rPr>
          <w:rFonts w:ascii="Arial" w:hAnsi="Arial" w:cs="Arial"/>
          <w:b/>
          <w:sz w:val="24"/>
        </w:rPr>
      </w:pPr>
      <w:r w:rsidRPr="00B34B00">
        <w:rPr>
          <w:rFonts w:ascii="Arial" w:hAnsi="Arial" w:cs="Arial"/>
          <w:b/>
          <w:sz w:val="24"/>
        </w:rPr>
        <w:t>Source:</w:t>
      </w:r>
      <w:r w:rsidRPr="00B34B00">
        <w:rPr>
          <w:rFonts w:ascii="Arial" w:hAnsi="Arial" w:cs="Arial"/>
          <w:b/>
          <w:sz w:val="24"/>
        </w:rPr>
        <w:tab/>
      </w:r>
      <w:r w:rsidR="0079063A" w:rsidRPr="00B34B00">
        <w:rPr>
          <w:rFonts w:ascii="Arial" w:hAnsi="Arial" w:cs="Arial"/>
          <w:b/>
          <w:sz w:val="24"/>
        </w:rPr>
        <w:t>Vodafone</w:t>
      </w:r>
    </w:p>
    <w:p w:rsidR="00070DB3" w:rsidRPr="00B34B00" w:rsidRDefault="00070DB3" w:rsidP="00B34B00">
      <w:pPr>
        <w:rPr>
          <w:rFonts w:ascii="Arial" w:hAnsi="Arial" w:cs="Arial"/>
          <w:b/>
          <w:i/>
          <w:sz w:val="24"/>
        </w:rPr>
      </w:pPr>
      <w:r w:rsidRPr="00B34B00">
        <w:rPr>
          <w:rFonts w:ascii="Arial" w:hAnsi="Arial" w:cs="Arial"/>
          <w:b/>
          <w:sz w:val="24"/>
        </w:rPr>
        <w:t xml:space="preserve">Agenda: </w:t>
      </w:r>
      <w:r w:rsidRPr="00B34B00">
        <w:rPr>
          <w:rFonts w:ascii="Arial" w:hAnsi="Arial" w:cs="Arial"/>
          <w:b/>
          <w:sz w:val="24"/>
        </w:rPr>
        <w:tab/>
      </w:r>
      <w:r w:rsidR="00C3597D" w:rsidRPr="00B34B00">
        <w:rPr>
          <w:rFonts w:ascii="Arial" w:hAnsi="Arial" w:cs="Arial"/>
          <w:b/>
          <w:sz w:val="24"/>
        </w:rPr>
        <w:t>9.2.1</w:t>
      </w:r>
    </w:p>
    <w:p w:rsidR="00070DB3" w:rsidRPr="000D7C72" w:rsidRDefault="00EA16AF" w:rsidP="00B34B00">
      <w:pPr>
        <w:rPr>
          <w:sz w:val="44"/>
        </w:rPr>
      </w:pPr>
      <w:r w:rsidRPr="00B34B00">
        <w:rPr>
          <w:rFonts w:ascii="Arial" w:hAnsi="Arial" w:cs="Arial"/>
          <w:b/>
          <w:sz w:val="24"/>
        </w:rPr>
        <w:t>For:</w:t>
      </w:r>
      <w:r w:rsidRPr="00B34B00">
        <w:rPr>
          <w:rFonts w:ascii="Arial" w:hAnsi="Arial" w:cs="Arial"/>
          <w:b/>
          <w:sz w:val="24"/>
        </w:rPr>
        <w:tab/>
      </w:r>
      <w:r w:rsidRPr="00B34B00">
        <w:rPr>
          <w:rFonts w:ascii="Arial" w:hAnsi="Arial" w:cs="Arial"/>
          <w:b/>
          <w:sz w:val="24"/>
        </w:rPr>
        <w:tab/>
      </w:r>
      <w:r w:rsidR="00C3597D" w:rsidRPr="00B34B00">
        <w:rPr>
          <w:rFonts w:ascii="Arial" w:hAnsi="Arial" w:cs="Arial"/>
          <w:b/>
          <w:sz w:val="24"/>
        </w:rPr>
        <w:t xml:space="preserve">Discussion and </w:t>
      </w:r>
      <w:r w:rsidR="00256686" w:rsidRPr="00B34B00">
        <w:rPr>
          <w:rFonts w:ascii="Arial" w:hAnsi="Arial" w:cs="Arial"/>
          <w:b/>
          <w:sz w:val="24"/>
        </w:rPr>
        <w:t>Approval</w:t>
      </w:r>
      <w:r w:rsidR="00070DB3" w:rsidRPr="000D7C72">
        <w:t xml:space="preserve"> </w:t>
      </w:r>
    </w:p>
    <w:p w:rsidR="00EA16AF" w:rsidRPr="00EA16AF" w:rsidRDefault="00EA16AF" w:rsidP="00B34B00"/>
    <w:p w:rsidR="00070DB3" w:rsidRDefault="00070DB3" w:rsidP="00B34B00">
      <w:pPr>
        <w:pStyle w:val="Heading1"/>
        <w:numPr>
          <w:ilvl w:val="0"/>
          <w:numId w:val="1"/>
        </w:numPr>
      </w:pPr>
      <w:r w:rsidRPr="00AA31C7">
        <w:t>Introduction</w:t>
      </w:r>
    </w:p>
    <w:p w:rsidR="0079063A" w:rsidRPr="00B34B00" w:rsidRDefault="0079063A" w:rsidP="00B34B00">
      <w:r w:rsidRPr="00B34B00">
        <w:t xml:space="preserve">At RAN#78, </w:t>
      </w:r>
      <w:r w:rsidR="000D7C72" w:rsidRPr="00B34B00">
        <w:t>TSG RAN</w:t>
      </w:r>
      <w:r w:rsidRPr="00B34B00">
        <w:t xml:space="preserve"> requested RAN WG1 to provide information to RAN#79 to help TSG RAN make a final decision regarding mandatory or optional support for different capabilities of the NR UE. During Q1, RAN WG1 and RAN WG4 have made good progress in </w:t>
      </w:r>
      <w:r w:rsidR="00B401D3" w:rsidRPr="00B34B00">
        <w:t>defining which features should be basic features and which features require a</w:t>
      </w:r>
      <w:r w:rsidRPr="00B34B00">
        <w:t xml:space="preserve"> UE capability </w:t>
      </w:r>
      <w:proofErr w:type="spellStart"/>
      <w:r w:rsidR="00B401D3" w:rsidRPr="00B34B00">
        <w:t>signalling</w:t>
      </w:r>
      <w:proofErr w:type="spellEnd"/>
      <w:r w:rsidRPr="00B34B00">
        <w:t>, and providing a recommendation regarding mandatory or optional support by the NR UE</w:t>
      </w:r>
      <w:r w:rsidR="00B401D3" w:rsidRPr="00B34B00">
        <w:t xml:space="preserve"> for some of those non-basic features</w:t>
      </w:r>
      <w:r w:rsidR="000D7C72" w:rsidRPr="00B34B00">
        <w:t xml:space="preserve"> (see [</w:t>
      </w:r>
      <w:r w:rsidR="001D6628" w:rsidRPr="00B34B00">
        <w:t>1</w:t>
      </w:r>
      <w:r w:rsidR="000D7C72" w:rsidRPr="00B34B00">
        <w:t>]</w:t>
      </w:r>
      <w:r w:rsidR="001D6628" w:rsidRPr="00B34B00">
        <w:t>)</w:t>
      </w:r>
      <w:r w:rsidRPr="00B34B00">
        <w:t xml:space="preserve">. </w:t>
      </w:r>
      <w:r w:rsidR="00B401D3" w:rsidRPr="00B34B00">
        <w:t>In this document</w:t>
      </w:r>
      <w:r w:rsidRPr="00B34B00">
        <w:t xml:space="preserve"> we discuss some of </w:t>
      </w:r>
      <w:r w:rsidR="00B401D3" w:rsidRPr="00B34B00">
        <w:t>the remaining features that we think are important to be mandatory for the UE</w:t>
      </w:r>
      <w:r w:rsidRPr="00B34B00">
        <w:t>.</w:t>
      </w:r>
    </w:p>
    <w:p w:rsidR="0079063A" w:rsidRDefault="0079063A" w:rsidP="00B34B00"/>
    <w:p w:rsidR="0079063A" w:rsidRDefault="008B7A3F" w:rsidP="00B34B00">
      <w:pPr>
        <w:pStyle w:val="Heading1"/>
        <w:numPr>
          <w:ilvl w:val="0"/>
          <w:numId w:val="1"/>
        </w:numPr>
      </w:pPr>
      <w:r>
        <w:t>Feature analysis</w:t>
      </w:r>
      <w:r w:rsidR="0032219D">
        <w:t xml:space="preserve"> and proposal</w:t>
      </w:r>
    </w:p>
    <w:p w:rsidR="0032219D" w:rsidRPr="00B34B00" w:rsidRDefault="0032219D" w:rsidP="00B34B00">
      <w:r w:rsidRPr="00B34B00">
        <w:t>The proposal for each feature is discussed below.</w:t>
      </w:r>
    </w:p>
    <w:p w:rsidR="0032219D" w:rsidRPr="00B34B00" w:rsidRDefault="0032219D" w:rsidP="00B34B00"/>
    <w:tbl>
      <w:tblPr>
        <w:tblW w:w="5062" w:type="pct"/>
        <w:tblInd w:w="-1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65"/>
        <w:gridCol w:w="1378"/>
        <w:gridCol w:w="1307"/>
        <w:gridCol w:w="699"/>
        <w:gridCol w:w="586"/>
        <w:gridCol w:w="1134"/>
        <w:gridCol w:w="609"/>
        <w:gridCol w:w="2498"/>
      </w:tblGrid>
      <w:tr w:rsidR="009547DD" w:rsidRPr="00B34B00" w:rsidTr="00623E39">
        <w:trPr>
          <w:trHeight w:val="1502"/>
        </w:trPr>
        <w:tc>
          <w:tcPr>
            <w:tcW w:w="375" w:type="pct"/>
            <w:shd w:val="clear" w:color="auto" w:fill="FFFFFF"/>
            <w:tcMar>
              <w:top w:w="0" w:type="dxa"/>
              <w:left w:w="99" w:type="dxa"/>
              <w:bottom w:w="0" w:type="dxa"/>
              <w:right w:w="99" w:type="dxa"/>
            </w:tcMar>
            <w:hideMark/>
          </w:tcPr>
          <w:p w:rsidR="008B7A3F" w:rsidRPr="00B34B00" w:rsidRDefault="008B7A3F" w:rsidP="00B34B00">
            <w:pPr>
              <w:rPr>
                <w:rFonts w:eastAsiaTheme="minorHAnsi"/>
                <w:color w:val="auto"/>
                <w:lang w:val="en-GB" w:eastAsia="en-US"/>
              </w:rPr>
            </w:pPr>
            <w:r w:rsidRPr="00B34B00">
              <w:t>1-10</w:t>
            </w:r>
          </w:p>
        </w:tc>
        <w:tc>
          <w:tcPr>
            <w:tcW w:w="776" w:type="pct"/>
            <w:shd w:val="clear" w:color="auto" w:fill="FFFFFF"/>
            <w:tcMar>
              <w:top w:w="0" w:type="dxa"/>
              <w:left w:w="99" w:type="dxa"/>
              <w:bottom w:w="0" w:type="dxa"/>
              <w:right w:w="99" w:type="dxa"/>
            </w:tcMar>
            <w:hideMark/>
          </w:tcPr>
          <w:p w:rsidR="008B7A3F" w:rsidRPr="00B34B00" w:rsidRDefault="008B7A3F" w:rsidP="00B34B00">
            <w:r w:rsidRPr="00B34B00">
              <w:t xml:space="preserve">Support of </w:t>
            </w:r>
            <w:proofErr w:type="spellStart"/>
            <w:r w:rsidRPr="00B34B00">
              <w:t>SCell</w:t>
            </w:r>
            <w:proofErr w:type="spellEnd"/>
            <w:r w:rsidRPr="00B34B00">
              <w:t xml:space="preserve"> without SS/PBCH block</w:t>
            </w:r>
          </w:p>
        </w:tc>
        <w:tc>
          <w:tcPr>
            <w:tcW w:w="736" w:type="pct"/>
            <w:shd w:val="clear" w:color="auto" w:fill="FFFFFF"/>
            <w:tcMar>
              <w:top w:w="0" w:type="dxa"/>
              <w:left w:w="99" w:type="dxa"/>
              <w:bottom w:w="0" w:type="dxa"/>
              <w:right w:w="99" w:type="dxa"/>
            </w:tcMar>
          </w:tcPr>
          <w:p w:rsidR="008B7A3F" w:rsidRPr="00B34B00" w:rsidRDefault="008B7A3F" w:rsidP="00B34B00">
            <w:r w:rsidRPr="00B34B00">
              <w:t xml:space="preserve">1) Support </w:t>
            </w:r>
            <w:proofErr w:type="spellStart"/>
            <w:r w:rsidRPr="00B34B00">
              <w:t>SCell</w:t>
            </w:r>
            <w:proofErr w:type="spellEnd"/>
            <w:r w:rsidRPr="00B34B00">
              <w:t xml:space="preserve"> without SS/PBCH block</w:t>
            </w:r>
          </w:p>
          <w:p w:rsidR="008B7A3F" w:rsidRPr="00B34B00" w:rsidRDefault="008B7A3F" w:rsidP="00B34B00"/>
        </w:tc>
        <w:tc>
          <w:tcPr>
            <w:tcW w:w="394" w:type="pct"/>
            <w:shd w:val="clear" w:color="auto" w:fill="FFFFFF"/>
            <w:tcMar>
              <w:top w:w="0" w:type="dxa"/>
              <w:left w:w="99" w:type="dxa"/>
              <w:bottom w:w="0" w:type="dxa"/>
              <w:right w:w="99" w:type="dxa"/>
            </w:tcMar>
            <w:hideMark/>
          </w:tcPr>
          <w:p w:rsidR="008B7A3F" w:rsidRPr="00B34B00" w:rsidRDefault="008B7A3F" w:rsidP="00B34B00">
            <w:r w:rsidRPr="00B34B00">
              <w:t>1-1</w:t>
            </w:r>
          </w:p>
        </w:tc>
        <w:tc>
          <w:tcPr>
            <w:tcW w:w="330" w:type="pct"/>
            <w:shd w:val="clear" w:color="auto" w:fill="FFFFFF"/>
            <w:tcMar>
              <w:top w:w="0" w:type="dxa"/>
              <w:left w:w="99" w:type="dxa"/>
              <w:bottom w:w="0" w:type="dxa"/>
              <w:right w:w="99" w:type="dxa"/>
            </w:tcMar>
            <w:hideMark/>
          </w:tcPr>
          <w:p w:rsidR="008B7A3F" w:rsidRPr="00B34B00" w:rsidRDefault="008B7A3F" w:rsidP="00B34B00">
            <w:r w:rsidRPr="00B34B00">
              <w:t>Yes</w:t>
            </w:r>
          </w:p>
        </w:tc>
        <w:tc>
          <w:tcPr>
            <w:tcW w:w="639" w:type="pct"/>
            <w:shd w:val="clear" w:color="auto" w:fill="FFFFFF"/>
            <w:tcMar>
              <w:top w:w="0" w:type="dxa"/>
              <w:left w:w="99" w:type="dxa"/>
              <w:bottom w:w="0" w:type="dxa"/>
              <w:right w:w="99" w:type="dxa"/>
            </w:tcMar>
            <w:hideMark/>
          </w:tcPr>
          <w:p w:rsidR="008B7A3F" w:rsidRPr="00B34B00" w:rsidRDefault="008B7A3F" w:rsidP="00B34B00">
            <w:r w:rsidRPr="00B34B00">
              <w:t xml:space="preserve">Not support </w:t>
            </w:r>
            <w:proofErr w:type="spellStart"/>
            <w:r w:rsidRPr="00B34B00">
              <w:t>SCell</w:t>
            </w:r>
            <w:proofErr w:type="spellEnd"/>
            <w:r w:rsidRPr="00B34B00">
              <w:t xml:space="preserve"> without SS/PBCH</w:t>
            </w:r>
          </w:p>
        </w:tc>
        <w:tc>
          <w:tcPr>
            <w:tcW w:w="342" w:type="pct"/>
            <w:tcMar>
              <w:top w:w="0" w:type="dxa"/>
              <w:left w:w="99" w:type="dxa"/>
              <w:bottom w:w="0" w:type="dxa"/>
              <w:right w:w="99" w:type="dxa"/>
            </w:tcMar>
            <w:hideMark/>
          </w:tcPr>
          <w:p w:rsidR="008B7A3F" w:rsidRPr="00B34B00" w:rsidRDefault="008B7A3F" w:rsidP="00B34B00">
            <w:r w:rsidRPr="00B34B00">
              <w:t>Type 3</w:t>
            </w:r>
          </w:p>
        </w:tc>
        <w:tc>
          <w:tcPr>
            <w:tcW w:w="1407" w:type="pct"/>
            <w:shd w:val="clear" w:color="auto" w:fill="FFFFFF"/>
            <w:tcMar>
              <w:top w:w="0" w:type="dxa"/>
              <w:left w:w="99" w:type="dxa"/>
              <w:bottom w:w="0" w:type="dxa"/>
              <w:right w:w="99" w:type="dxa"/>
            </w:tcMar>
            <w:hideMark/>
          </w:tcPr>
          <w:p w:rsidR="008B7A3F" w:rsidRPr="00B34B00" w:rsidRDefault="008B7A3F" w:rsidP="00B34B00">
            <w:pPr>
              <w:rPr>
                <w:rFonts w:eastAsiaTheme="minorHAnsi"/>
              </w:rPr>
            </w:pPr>
            <w:r w:rsidRPr="00B34B00">
              <w:t xml:space="preserve">Component 1) Whether or not UE is able to use SS/PBCH block from other Cells for time/frequency synchronization of </w:t>
            </w:r>
            <w:proofErr w:type="spellStart"/>
            <w:r w:rsidRPr="00B34B00">
              <w:t>SCell</w:t>
            </w:r>
            <w:proofErr w:type="spellEnd"/>
            <w:r w:rsidRPr="00B34B00">
              <w:t xml:space="preserve"> without SS/PBCH block</w:t>
            </w:r>
          </w:p>
        </w:tc>
      </w:tr>
      <w:tr w:rsidR="009547DD" w:rsidRPr="00B34B00" w:rsidTr="00623E39">
        <w:trPr>
          <w:trHeight w:val="1689"/>
        </w:trPr>
        <w:tc>
          <w:tcPr>
            <w:tcW w:w="375" w:type="pct"/>
            <w:shd w:val="clear" w:color="auto" w:fill="FFFFFF"/>
            <w:tcMar>
              <w:top w:w="0" w:type="dxa"/>
              <w:left w:w="99" w:type="dxa"/>
              <w:bottom w:w="0" w:type="dxa"/>
              <w:right w:w="99" w:type="dxa"/>
            </w:tcMar>
          </w:tcPr>
          <w:p w:rsidR="008B7A3F" w:rsidRPr="00B34B00" w:rsidRDefault="008B7A3F" w:rsidP="00B34B00">
            <w:r w:rsidRPr="00B34B00">
              <w:t>1-11</w:t>
            </w:r>
          </w:p>
        </w:tc>
        <w:tc>
          <w:tcPr>
            <w:tcW w:w="776" w:type="pct"/>
            <w:shd w:val="clear" w:color="auto" w:fill="FFFFFF"/>
            <w:tcMar>
              <w:top w:w="0" w:type="dxa"/>
              <w:left w:w="99" w:type="dxa"/>
              <w:bottom w:w="0" w:type="dxa"/>
              <w:right w:w="99" w:type="dxa"/>
            </w:tcMar>
          </w:tcPr>
          <w:p w:rsidR="008B7A3F" w:rsidRPr="00B34B00" w:rsidRDefault="008B7A3F" w:rsidP="00B34B00">
            <w:pPr>
              <w:rPr>
                <w:rFonts w:eastAsiaTheme="minorHAnsi"/>
                <w:color w:val="auto"/>
                <w:lang w:eastAsia="en-US"/>
              </w:rPr>
            </w:pPr>
            <w:r w:rsidRPr="00B34B00">
              <w:t xml:space="preserve">Support of CSI-RS RRM measurement for </w:t>
            </w:r>
            <w:proofErr w:type="spellStart"/>
            <w:r w:rsidRPr="00B34B00">
              <w:t>SCell</w:t>
            </w:r>
            <w:proofErr w:type="spellEnd"/>
            <w:r w:rsidRPr="00B34B00">
              <w:t xml:space="preserve"> without SS/PBCH block</w:t>
            </w:r>
          </w:p>
        </w:tc>
        <w:tc>
          <w:tcPr>
            <w:tcW w:w="736" w:type="pct"/>
            <w:shd w:val="clear" w:color="auto" w:fill="FFFFFF"/>
            <w:tcMar>
              <w:top w:w="0" w:type="dxa"/>
              <w:left w:w="99" w:type="dxa"/>
              <w:bottom w:w="0" w:type="dxa"/>
              <w:right w:w="99" w:type="dxa"/>
            </w:tcMar>
          </w:tcPr>
          <w:p w:rsidR="008B7A3F" w:rsidRPr="00B34B00" w:rsidRDefault="008B7A3F" w:rsidP="00B34B00"/>
        </w:tc>
        <w:tc>
          <w:tcPr>
            <w:tcW w:w="394" w:type="pct"/>
            <w:shd w:val="clear" w:color="auto" w:fill="FFFFFF"/>
            <w:tcMar>
              <w:top w:w="0" w:type="dxa"/>
              <w:left w:w="99" w:type="dxa"/>
              <w:bottom w:w="0" w:type="dxa"/>
              <w:right w:w="99" w:type="dxa"/>
            </w:tcMar>
          </w:tcPr>
          <w:p w:rsidR="008B7A3F" w:rsidRPr="00B34B00" w:rsidRDefault="008B7A3F" w:rsidP="00B34B00">
            <w:r w:rsidRPr="00B34B00">
              <w:t>1-10</w:t>
            </w:r>
          </w:p>
        </w:tc>
        <w:tc>
          <w:tcPr>
            <w:tcW w:w="330" w:type="pct"/>
            <w:shd w:val="clear" w:color="auto" w:fill="FFFFFF"/>
            <w:tcMar>
              <w:top w:w="0" w:type="dxa"/>
              <w:left w:w="99" w:type="dxa"/>
              <w:bottom w:w="0" w:type="dxa"/>
              <w:right w:w="99" w:type="dxa"/>
            </w:tcMar>
          </w:tcPr>
          <w:p w:rsidR="008B7A3F" w:rsidRPr="00B34B00" w:rsidRDefault="00623E39" w:rsidP="00B34B00">
            <w:r w:rsidRPr="00B34B00">
              <w:t>Yes</w:t>
            </w:r>
          </w:p>
        </w:tc>
        <w:tc>
          <w:tcPr>
            <w:tcW w:w="639" w:type="pct"/>
            <w:shd w:val="clear" w:color="auto" w:fill="FFFFFF"/>
            <w:tcMar>
              <w:top w:w="0" w:type="dxa"/>
              <w:left w:w="99" w:type="dxa"/>
              <w:bottom w:w="0" w:type="dxa"/>
              <w:right w:w="99" w:type="dxa"/>
            </w:tcMar>
          </w:tcPr>
          <w:p w:rsidR="008B7A3F" w:rsidRPr="00B34B00" w:rsidRDefault="008B7A3F" w:rsidP="00B34B00"/>
        </w:tc>
        <w:tc>
          <w:tcPr>
            <w:tcW w:w="342" w:type="pct"/>
            <w:tcMar>
              <w:top w:w="0" w:type="dxa"/>
              <w:left w:w="99" w:type="dxa"/>
              <w:bottom w:w="0" w:type="dxa"/>
              <w:right w:w="99" w:type="dxa"/>
            </w:tcMar>
          </w:tcPr>
          <w:p w:rsidR="008B7A3F" w:rsidRPr="00B34B00" w:rsidRDefault="00623E39" w:rsidP="00B34B00">
            <w:r w:rsidRPr="00B34B00">
              <w:t>Type 3</w:t>
            </w:r>
          </w:p>
        </w:tc>
        <w:tc>
          <w:tcPr>
            <w:tcW w:w="1407" w:type="pct"/>
            <w:shd w:val="clear" w:color="auto" w:fill="FFFFFF"/>
            <w:tcMar>
              <w:top w:w="0" w:type="dxa"/>
              <w:left w:w="99" w:type="dxa"/>
              <w:bottom w:w="0" w:type="dxa"/>
              <w:right w:w="99" w:type="dxa"/>
            </w:tcMar>
          </w:tcPr>
          <w:p w:rsidR="008B7A3F" w:rsidRPr="00B34B00" w:rsidRDefault="008B7A3F" w:rsidP="00B34B00"/>
        </w:tc>
      </w:tr>
    </w:tbl>
    <w:p w:rsidR="00AA31C7" w:rsidRPr="00B34B00" w:rsidRDefault="00AA31C7" w:rsidP="00B34B00"/>
    <w:p w:rsidR="006F29A5" w:rsidRPr="00B34B00" w:rsidRDefault="00623E39" w:rsidP="00B34B00">
      <w:r w:rsidRPr="00B34B00">
        <w:rPr>
          <w:u w:val="single"/>
        </w:rPr>
        <w:t>Analysis</w:t>
      </w:r>
      <w:r w:rsidRPr="00B34B00">
        <w:t xml:space="preserve">: Not requiring the SS/PBCH block to be transmitted by the NR </w:t>
      </w:r>
      <w:proofErr w:type="spellStart"/>
      <w:r w:rsidRPr="00B34B00">
        <w:t>Scell</w:t>
      </w:r>
      <w:proofErr w:type="spellEnd"/>
      <w:r w:rsidRPr="00B34B00">
        <w:t xml:space="preserve"> would allow to further minimize overhead. This should at least be applicable for </w:t>
      </w:r>
      <w:r w:rsidR="006F29A5" w:rsidRPr="00B34B00">
        <w:t xml:space="preserve">collocated sites with </w:t>
      </w:r>
      <w:proofErr w:type="spellStart"/>
      <w:r w:rsidRPr="00B34B00">
        <w:t>intraband</w:t>
      </w:r>
      <w:proofErr w:type="spellEnd"/>
      <w:r w:rsidRPr="00B34B00">
        <w:t xml:space="preserve"> operation, an</w:t>
      </w:r>
      <w:r w:rsidR="006F29A5" w:rsidRPr="00B34B00">
        <w:t>d also applicable for multiband MSR base stations due to shared RF components.</w:t>
      </w:r>
    </w:p>
    <w:p w:rsidR="00623E39" w:rsidRPr="00B34B00" w:rsidRDefault="00623E39" w:rsidP="00B34B00">
      <w:r w:rsidRPr="00B34B00">
        <w:t xml:space="preserve">RRM measurements of the </w:t>
      </w:r>
      <w:proofErr w:type="spellStart"/>
      <w:r w:rsidRPr="00B34B00">
        <w:t>Scell</w:t>
      </w:r>
      <w:proofErr w:type="spellEnd"/>
      <w:r w:rsidRPr="00B34B00">
        <w:t xml:space="preserve"> would allow the UE to inform the network as to </w:t>
      </w:r>
      <w:r w:rsidR="006F29A5" w:rsidRPr="00B34B00">
        <w:t xml:space="preserve">whether it makes sense to activate and maintain this cell as the </w:t>
      </w:r>
      <w:proofErr w:type="spellStart"/>
      <w:r w:rsidR="006F29A5" w:rsidRPr="00B34B00">
        <w:t>Scel</w:t>
      </w:r>
      <w:r w:rsidRPr="00B34B00">
        <w:t>l</w:t>
      </w:r>
      <w:proofErr w:type="spellEnd"/>
      <w:r w:rsidRPr="00B34B00">
        <w:t xml:space="preserve">. </w:t>
      </w:r>
    </w:p>
    <w:p w:rsidR="00623E39" w:rsidRPr="00B34B00" w:rsidRDefault="00623E39" w:rsidP="00B34B00">
      <w:pPr>
        <w:rPr>
          <w:b/>
        </w:rPr>
      </w:pPr>
      <w:r w:rsidRPr="00B34B00">
        <w:rPr>
          <w:b/>
          <w:u w:val="single"/>
        </w:rPr>
        <w:t>Proposal</w:t>
      </w:r>
      <w:r w:rsidR="00CE0938" w:rsidRPr="00B34B00">
        <w:rPr>
          <w:b/>
          <w:u w:val="single"/>
        </w:rPr>
        <w:t xml:space="preserve"> 1</w:t>
      </w:r>
      <w:r w:rsidRPr="00B34B00">
        <w:rPr>
          <w:b/>
        </w:rPr>
        <w:t>: 1-10 is proposed to be mandatory, and as a consequence 1-11 is also proposed to be mandatory for the UE supporting NR CA</w:t>
      </w:r>
      <w:r w:rsidR="006F29A5" w:rsidRPr="00B34B00">
        <w:rPr>
          <w:b/>
        </w:rPr>
        <w:t>. RAN4 could discuss whether there are any NR CA band combinations where this does not make sense to be used.</w:t>
      </w:r>
    </w:p>
    <w:p w:rsidR="00CE0938" w:rsidRPr="00B34B00" w:rsidRDefault="00CE0938" w:rsidP="00B34B00">
      <w:pPr>
        <w:pStyle w:val="ListParagraph"/>
        <w:numPr>
          <w:ilvl w:val="0"/>
          <w:numId w:val="14"/>
        </w:numPr>
        <w:rPr>
          <w:b/>
        </w:rPr>
      </w:pPr>
      <w:r w:rsidRPr="00B34B00">
        <w:rPr>
          <w:b/>
        </w:rPr>
        <w:t xml:space="preserve">Mandatory feature with capability </w:t>
      </w:r>
      <w:proofErr w:type="spellStart"/>
      <w:r w:rsidRPr="00B34B00">
        <w:rPr>
          <w:b/>
        </w:rPr>
        <w:t>signalling</w:t>
      </w:r>
      <w:proofErr w:type="spellEnd"/>
      <w:r w:rsidRPr="00B34B00">
        <w:rPr>
          <w:b/>
        </w:rPr>
        <w:t xml:space="preserve"> is acceptable here.</w:t>
      </w:r>
    </w:p>
    <w:p w:rsidR="006F29A5" w:rsidRPr="00B34B00" w:rsidRDefault="006F29A5" w:rsidP="00B34B00"/>
    <w:tbl>
      <w:tblPr>
        <w:tblW w:w="5062" w:type="pct"/>
        <w:tblInd w:w="-1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65"/>
        <w:gridCol w:w="1378"/>
        <w:gridCol w:w="1307"/>
        <w:gridCol w:w="699"/>
        <w:gridCol w:w="586"/>
        <w:gridCol w:w="1134"/>
        <w:gridCol w:w="609"/>
        <w:gridCol w:w="2498"/>
      </w:tblGrid>
      <w:tr w:rsidR="00931357" w:rsidRPr="00B34B00" w:rsidTr="009547DD">
        <w:trPr>
          <w:trHeight w:val="1165"/>
        </w:trPr>
        <w:tc>
          <w:tcPr>
            <w:tcW w:w="375" w:type="pct"/>
            <w:shd w:val="clear" w:color="auto" w:fill="FFFFFF"/>
            <w:tcMar>
              <w:top w:w="0" w:type="dxa"/>
              <w:left w:w="99" w:type="dxa"/>
              <w:bottom w:w="0" w:type="dxa"/>
              <w:right w:w="99" w:type="dxa"/>
            </w:tcMar>
            <w:hideMark/>
          </w:tcPr>
          <w:p w:rsidR="00931357" w:rsidRPr="00B34B00" w:rsidRDefault="009547DD" w:rsidP="00B34B00">
            <w:pPr>
              <w:rPr>
                <w:rFonts w:eastAsiaTheme="minorHAnsi"/>
                <w:color w:val="auto"/>
                <w:lang w:val="en-GB" w:eastAsia="en-US"/>
              </w:rPr>
            </w:pPr>
            <w:r w:rsidRPr="00B34B00">
              <w:lastRenderedPageBreak/>
              <w:t>5-6</w:t>
            </w:r>
          </w:p>
        </w:tc>
        <w:tc>
          <w:tcPr>
            <w:tcW w:w="776" w:type="pct"/>
            <w:shd w:val="clear" w:color="auto" w:fill="FFFFFF"/>
            <w:tcMar>
              <w:top w:w="0" w:type="dxa"/>
              <w:left w:w="99" w:type="dxa"/>
              <w:bottom w:w="0" w:type="dxa"/>
              <w:right w:w="99" w:type="dxa"/>
            </w:tcMar>
            <w:hideMark/>
          </w:tcPr>
          <w:p w:rsidR="00931357" w:rsidRPr="00B34B00" w:rsidRDefault="00931357" w:rsidP="00B34B00">
            <w:r w:rsidRPr="00B34B00">
              <w:t>PDSCH mapping type A with less than 7 OFDM symbols</w:t>
            </w:r>
          </w:p>
        </w:tc>
        <w:tc>
          <w:tcPr>
            <w:tcW w:w="736" w:type="pct"/>
            <w:shd w:val="clear" w:color="auto" w:fill="FFFFFF"/>
            <w:tcMar>
              <w:top w:w="0" w:type="dxa"/>
              <w:left w:w="99" w:type="dxa"/>
              <w:bottom w:w="0" w:type="dxa"/>
              <w:right w:w="99" w:type="dxa"/>
            </w:tcMar>
          </w:tcPr>
          <w:p w:rsidR="00931357" w:rsidRPr="00B34B00" w:rsidRDefault="00931357" w:rsidP="00B34B00"/>
        </w:tc>
        <w:tc>
          <w:tcPr>
            <w:tcW w:w="394" w:type="pct"/>
            <w:shd w:val="clear" w:color="auto" w:fill="FFFFFF"/>
            <w:tcMar>
              <w:top w:w="0" w:type="dxa"/>
              <w:left w:w="99" w:type="dxa"/>
              <w:bottom w:w="0" w:type="dxa"/>
              <w:right w:w="99" w:type="dxa"/>
            </w:tcMar>
          </w:tcPr>
          <w:p w:rsidR="00931357" w:rsidRPr="00B34B00" w:rsidRDefault="00931357" w:rsidP="00B34B00"/>
        </w:tc>
        <w:tc>
          <w:tcPr>
            <w:tcW w:w="330" w:type="pct"/>
            <w:shd w:val="clear" w:color="auto" w:fill="FFFFFF"/>
            <w:tcMar>
              <w:top w:w="0" w:type="dxa"/>
              <w:left w:w="99" w:type="dxa"/>
              <w:bottom w:w="0" w:type="dxa"/>
              <w:right w:w="99" w:type="dxa"/>
            </w:tcMar>
            <w:hideMark/>
          </w:tcPr>
          <w:p w:rsidR="00931357" w:rsidRPr="00B34B00" w:rsidRDefault="00931357" w:rsidP="00B34B00">
            <w:r w:rsidRPr="00B34B00">
              <w:t>Yes</w:t>
            </w:r>
          </w:p>
        </w:tc>
        <w:tc>
          <w:tcPr>
            <w:tcW w:w="639" w:type="pct"/>
            <w:shd w:val="clear" w:color="auto" w:fill="FFFFFF"/>
            <w:tcMar>
              <w:top w:w="0" w:type="dxa"/>
              <w:left w:w="99" w:type="dxa"/>
              <w:bottom w:w="0" w:type="dxa"/>
              <w:right w:w="99" w:type="dxa"/>
            </w:tcMar>
          </w:tcPr>
          <w:p w:rsidR="00931357" w:rsidRPr="00B34B00" w:rsidRDefault="00931357" w:rsidP="00B34B00"/>
        </w:tc>
        <w:tc>
          <w:tcPr>
            <w:tcW w:w="343" w:type="pct"/>
            <w:tcMar>
              <w:top w:w="0" w:type="dxa"/>
              <w:left w:w="99" w:type="dxa"/>
              <w:bottom w:w="0" w:type="dxa"/>
              <w:right w:w="99" w:type="dxa"/>
            </w:tcMar>
            <w:hideMark/>
          </w:tcPr>
          <w:p w:rsidR="00931357" w:rsidRPr="00B34B00" w:rsidRDefault="00931357" w:rsidP="00B34B00">
            <w:r w:rsidRPr="00B34B00">
              <w:t>Type 4</w:t>
            </w:r>
          </w:p>
        </w:tc>
        <w:tc>
          <w:tcPr>
            <w:tcW w:w="1407" w:type="pct"/>
            <w:shd w:val="clear" w:color="auto" w:fill="FFFFFF"/>
            <w:tcMar>
              <w:top w:w="0" w:type="dxa"/>
              <w:left w:w="99" w:type="dxa"/>
              <w:bottom w:w="0" w:type="dxa"/>
              <w:right w:w="99" w:type="dxa"/>
            </w:tcMar>
          </w:tcPr>
          <w:p w:rsidR="00931357" w:rsidRPr="00B34B00" w:rsidRDefault="009547DD" w:rsidP="00B34B00">
            <w:r w:rsidRPr="00B34B00">
              <w:t xml:space="preserve">[Mandatory with capability </w:t>
            </w:r>
            <w:proofErr w:type="spellStart"/>
            <w:r w:rsidRPr="00B34B00">
              <w:t>signalling</w:t>
            </w:r>
            <w:proofErr w:type="spellEnd"/>
            <w:r w:rsidRPr="00B34B00">
              <w:t>]</w:t>
            </w:r>
          </w:p>
        </w:tc>
      </w:tr>
    </w:tbl>
    <w:p w:rsidR="00931357" w:rsidRPr="00B34B00" w:rsidRDefault="00931357" w:rsidP="00B34B00"/>
    <w:p w:rsidR="006F29A5" w:rsidRPr="00B34B00" w:rsidRDefault="009547DD" w:rsidP="00B34B00">
      <w:r w:rsidRPr="00B34B00">
        <w:rPr>
          <w:u w:val="single"/>
        </w:rPr>
        <w:t>Analysis</w:t>
      </w:r>
      <w:r w:rsidRPr="00B34B00">
        <w:t xml:space="preserve">: Type B is already mandated with capability </w:t>
      </w:r>
      <w:proofErr w:type="spellStart"/>
      <w:r w:rsidRPr="00B34B00">
        <w:t>signa</w:t>
      </w:r>
      <w:r w:rsidR="00514C30">
        <w:t>l</w:t>
      </w:r>
      <w:r w:rsidRPr="00B34B00">
        <w:t>ling</w:t>
      </w:r>
      <w:proofErr w:type="spellEnd"/>
      <w:r w:rsidRPr="00B34B00">
        <w:t xml:space="preserve">. Not having this </w:t>
      </w:r>
      <w:r w:rsidR="005B238B" w:rsidRPr="00B34B00">
        <w:t>5-6 as</w:t>
      </w:r>
      <w:r w:rsidRPr="00B34B00">
        <w:t xml:space="preserve"> mandatory would mean that the Base Station may never actually be able to schedule UEs requiring only a small amount of </w:t>
      </w:r>
      <w:r w:rsidR="005B238B" w:rsidRPr="00B34B00">
        <w:t xml:space="preserve">data within the first part of the </w:t>
      </w:r>
      <w:proofErr w:type="spellStart"/>
      <w:r w:rsidR="005B238B" w:rsidRPr="00B34B00">
        <w:t>subframe</w:t>
      </w:r>
      <w:proofErr w:type="spellEnd"/>
      <w:r w:rsidR="005B238B" w:rsidRPr="00B34B00">
        <w:t>, which would degrade spectrum efficiency. It could be discussed further whether all slot sizes from 2-6 symbols should be mandated.</w:t>
      </w:r>
    </w:p>
    <w:p w:rsidR="00CE0938" w:rsidRPr="00B34B00" w:rsidRDefault="005B238B" w:rsidP="00B34B00">
      <w:pPr>
        <w:rPr>
          <w:b/>
        </w:rPr>
      </w:pPr>
      <w:r w:rsidRPr="00B34B00">
        <w:rPr>
          <w:b/>
          <w:u w:val="single"/>
        </w:rPr>
        <w:t>Proposal</w:t>
      </w:r>
      <w:r w:rsidR="00CE0938" w:rsidRPr="00B34B00">
        <w:rPr>
          <w:b/>
          <w:u w:val="single"/>
        </w:rPr>
        <w:t xml:space="preserve"> 2</w:t>
      </w:r>
      <w:r w:rsidRPr="00B34B00">
        <w:rPr>
          <w:b/>
        </w:rPr>
        <w:t xml:space="preserve">: Remove the square brackets for </w:t>
      </w:r>
      <w:r w:rsidR="00CE0938" w:rsidRPr="00B34B00">
        <w:rPr>
          <w:b/>
        </w:rPr>
        <w:t xml:space="preserve">5-6 to be a mandatory feature with capability </w:t>
      </w:r>
      <w:proofErr w:type="spellStart"/>
      <w:r w:rsidR="00CE0938" w:rsidRPr="00B34B00">
        <w:rPr>
          <w:b/>
        </w:rPr>
        <w:t>signalling</w:t>
      </w:r>
      <w:proofErr w:type="spellEnd"/>
      <w:r w:rsidRPr="00B34B00">
        <w:rPr>
          <w:b/>
        </w:rPr>
        <w:t xml:space="preserve">. </w:t>
      </w:r>
    </w:p>
    <w:p w:rsidR="005B238B" w:rsidRPr="00B34B00" w:rsidRDefault="005B238B" w:rsidP="00B34B00"/>
    <w:tbl>
      <w:tblPr>
        <w:tblW w:w="5062" w:type="pct"/>
        <w:tblInd w:w="-1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65"/>
        <w:gridCol w:w="1378"/>
        <w:gridCol w:w="1307"/>
        <w:gridCol w:w="699"/>
        <w:gridCol w:w="586"/>
        <w:gridCol w:w="1134"/>
        <w:gridCol w:w="609"/>
        <w:gridCol w:w="2498"/>
      </w:tblGrid>
      <w:tr w:rsidR="00F87322" w:rsidRPr="00B34B00" w:rsidTr="00C86D4F">
        <w:trPr>
          <w:trHeight w:val="1165"/>
        </w:trPr>
        <w:tc>
          <w:tcPr>
            <w:tcW w:w="375" w:type="pct"/>
            <w:shd w:val="clear" w:color="auto" w:fill="FFFFFF"/>
            <w:tcMar>
              <w:top w:w="0" w:type="dxa"/>
              <w:left w:w="99" w:type="dxa"/>
              <w:bottom w:w="0" w:type="dxa"/>
              <w:right w:w="99" w:type="dxa"/>
            </w:tcMar>
            <w:hideMark/>
          </w:tcPr>
          <w:p w:rsidR="00F87322" w:rsidRPr="00B34B00" w:rsidRDefault="00F87322" w:rsidP="00B34B00">
            <w:pPr>
              <w:rPr>
                <w:rFonts w:eastAsiaTheme="minorHAnsi"/>
                <w:color w:val="auto"/>
                <w:lang w:val="en-GB" w:eastAsia="en-US"/>
              </w:rPr>
            </w:pPr>
            <w:r w:rsidRPr="00B34B00">
              <w:t>5-26</w:t>
            </w:r>
          </w:p>
        </w:tc>
        <w:tc>
          <w:tcPr>
            <w:tcW w:w="776" w:type="pct"/>
            <w:shd w:val="clear" w:color="auto" w:fill="FFFFFF"/>
            <w:tcMar>
              <w:top w:w="0" w:type="dxa"/>
              <w:left w:w="99" w:type="dxa"/>
              <w:bottom w:w="0" w:type="dxa"/>
              <w:right w:w="99" w:type="dxa"/>
            </w:tcMar>
            <w:hideMark/>
          </w:tcPr>
          <w:p w:rsidR="00F87322" w:rsidRPr="00B34B00" w:rsidRDefault="00F87322" w:rsidP="00B34B00">
            <w:pPr>
              <w:rPr>
                <w:rFonts w:eastAsiaTheme="minorHAnsi"/>
                <w:color w:val="auto"/>
                <w:lang w:val="en-GB" w:eastAsia="en-US"/>
              </w:rPr>
            </w:pPr>
            <w:r w:rsidRPr="00B34B00">
              <w:t>Semi-static rate-matching resource set configuration for DL</w:t>
            </w:r>
          </w:p>
        </w:tc>
        <w:tc>
          <w:tcPr>
            <w:tcW w:w="736" w:type="pct"/>
            <w:shd w:val="clear" w:color="auto" w:fill="FFFFFF"/>
            <w:tcMar>
              <w:top w:w="0" w:type="dxa"/>
              <w:left w:w="99" w:type="dxa"/>
              <w:bottom w:w="0" w:type="dxa"/>
              <w:right w:w="99" w:type="dxa"/>
            </w:tcMar>
            <w:vAlign w:val="center"/>
          </w:tcPr>
          <w:p w:rsidR="00F87322" w:rsidRPr="00B34B00" w:rsidRDefault="00F87322" w:rsidP="00B34B00">
            <w:r w:rsidRPr="00B34B00">
              <w:t>1) Bitmap 1/2/3</w:t>
            </w:r>
          </w:p>
        </w:tc>
        <w:tc>
          <w:tcPr>
            <w:tcW w:w="394" w:type="pct"/>
            <w:shd w:val="clear" w:color="auto" w:fill="FFFFFF"/>
            <w:tcMar>
              <w:top w:w="0" w:type="dxa"/>
              <w:left w:w="99" w:type="dxa"/>
              <w:bottom w:w="0" w:type="dxa"/>
              <w:right w:w="99" w:type="dxa"/>
            </w:tcMar>
          </w:tcPr>
          <w:p w:rsidR="00F87322" w:rsidRPr="00B34B00" w:rsidRDefault="00F87322" w:rsidP="00B34B00"/>
        </w:tc>
        <w:tc>
          <w:tcPr>
            <w:tcW w:w="330" w:type="pct"/>
            <w:shd w:val="clear" w:color="auto" w:fill="FFFFFF"/>
            <w:tcMar>
              <w:top w:w="0" w:type="dxa"/>
              <w:left w:w="99" w:type="dxa"/>
              <w:bottom w:w="0" w:type="dxa"/>
              <w:right w:w="99" w:type="dxa"/>
            </w:tcMar>
            <w:hideMark/>
          </w:tcPr>
          <w:p w:rsidR="00F87322" w:rsidRPr="00B34B00" w:rsidRDefault="00F87322" w:rsidP="00B34B00">
            <w:r w:rsidRPr="00B34B00">
              <w:t>Yes</w:t>
            </w:r>
          </w:p>
        </w:tc>
        <w:tc>
          <w:tcPr>
            <w:tcW w:w="639" w:type="pct"/>
            <w:shd w:val="clear" w:color="auto" w:fill="FFFFFF"/>
            <w:tcMar>
              <w:top w:w="0" w:type="dxa"/>
              <w:left w:w="99" w:type="dxa"/>
              <w:bottom w:w="0" w:type="dxa"/>
              <w:right w:w="99" w:type="dxa"/>
            </w:tcMar>
          </w:tcPr>
          <w:p w:rsidR="00F87322" w:rsidRPr="00B34B00" w:rsidRDefault="00F87322" w:rsidP="00B34B00"/>
        </w:tc>
        <w:tc>
          <w:tcPr>
            <w:tcW w:w="343" w:type="pct"/>
            <w:tcMar>
              <w:top w:w="0" w:type="dxa"/>
              <w:left w:w="99" w:type="dxa"/>
              <w:bottom w:w="0" w:type="dxa"/>
              <w:right w:w="99" w:type="dxa"/>
            </w:tcMar>
            <w:hideMark/>
          </w:tcPr>
          <w:p w:rsidR="00F87322" w:rsidRPr="00B34B00" w:rsidRDefault="00F87322" w:rsidP="00B34B00">
            <w:r w:rsidRPr="00B34B00">
              <w:t>Type 4</w:t>
            </w:r>
          </w:p>
        </w:tc>
        <w:tc>
          <w:tcPr>
            <w:tcW w:w="1407" w:type="pct"/>
            <w:shd w:val="clear" w:color="auto" w:fill="FFFFFF"/>
            <w:tcMar>
              <w:top w:w="0" w:type="dxa"/>
              <w:left w:w="99" w:type="dxa"/>
              <w:bottom w:w="0" w:type="dxa"/>
              <w:right w:w="99" w:type="dxa"/>
            </w:tcMar>
          </w:tcPr>
          <w:p w:rsidR="00F87322" w:rsidRPr="00B34B00" w:rsidRDefault="00F87322" w:rsidP="00B34B00"/>
        </w:tc>
      </w:tr>
      <w:tr w:rsidR="00F87322" w:rsidRPr="00B34B00" w:rsidTr="00C86D4F">
        <w:trPr>
          <w:trHeight w:val="1165"/>
        </w:trPr>
        <w:tc>
          <w:tcPr>
            <w:tcW w:w="375" w:type="pct"/>
            <w:shd w:val="clear" w:color="auto" w:fill="FFFFFF"/>
            <w:tcMar>
              <w:top w:w="0" w:type="dxa"/>
              <w:left w:w="99" w:type="dxa"/>
              <w:bottom w:w="0" w:type="dxa"/>
              <w:right w:w="99" w:type="dxa"/>
            </w:tcMar>
          </w:tcPr>
          <w:p w:rsidR="00F87322" w:rsidRPr="00B34B00" w:rsidRDefault="00F87322" w:rsidP="00B34B00">
            <w:r w:rsidRPr="00B34B00">
              <w:t>5-27</w:t>
            </w:r>
          </w:p>
        </w:tc>
        <w:tc>
          <w:tcPr>
            <w:tcW w:w="776" w:type="pct"/>
            <w:shd w:val="clear" w:color="auto" w:fill="FFFFFF"/>
            <w:tcMar>
              <w:top w:w="0" w:type="dxa"/>
              <w:left w:w="99" w:type="dxa"/>
              <w:bottom w:w="0" w:type="dxa"/>
              <w:right w:w="99" w:type="dxa"/>
            </w:tcMar>
          </w:tcPr>
          <w:p w:rsidR="00F87322" w:rsidRPr="00B34B00" w:rsidRDefault="00F87322" w:rsidP="00B34B00">
            <w:r w:rsidRPr="00B34B00">
              <w:t>Dynamic rate-matching resource set configuration for DL</w:t>
            </w:r>
          </w:p>
        </w:tc>
        <w:tc>
          <w:tcPr>
            <w:tcW w:w="736" w:type="pct"/>
            <w:shd w:val="clear" w:color="auto" w:fill="FFFFFF"/>
            <w:tcMar>
              <w:top w:w="0" w:type="dxa"/>
              <w:left w:w="99" w:type="dxa"/>
              <w:bottom w:w="0" w:type="dxa"/>
              <w:right w:w="99" w:type="dxa"/>
            </w:tcMar>
            <w:vAlign w:val="center"/>
          </w:tcPr>
          <w:p w:rsidR="00F87322" w:rsidRPr="00B34B00" w:rsidRDefault="00F87322" w:rsidP="00B34B00">
            <w:r w:rsidRPr="00B34B00">
              <w:t>1) Bitmap 1/2/3</w:t>
            </w:r>
          </w:p>
          <w:p w:rsidR="00F87322" w:rsidRPr="00B34B00" w:rsidRDefault="00F87322" w:rsidP="00B34B00"/>
        </w:tc>
        <w:tc>
          <w:tcPr>
            <w:tcW w:w="394" w:type="pct"/>
            <w:shd w:val="clear" w:color="auto" w:fill="FFFFFF"/>
            <w:tcMar>
              <w:top w:w="0" w:type="dxa"/>
              <w:left w:w="99" w:type="dxa"/>
              <w:bottom w:w="0" w:type="dxa"/>
              <w:right w:w="99" w:type="dxa"/>
            </w:tcMar>
          </w:tcPr>
          <w:p w:rsidR="00F87322" w:rsidRPr="00B34B00" w:rsidRDefault="00F87322" w:rsidP="00B34B00"/>
        </w:tc>
        <w:tc>
          <w:tcPr>
            <w:tcW w:w="330" w:type="pct"/>
            <w:shd w:val="clear" w:color="auto" w:fill="FFFFFF"/>
            <w:tcMar>
              <w:top w:w="0" w:type="dxa"/>
              <w:left w:w="99" w:type="dxa"/>
              <w:bottom w:w="0" w:type="dxa"/>
              <w:right w:w="99" w:type="dxa"/>
            </w:tcMar>
          </w:tcPr>
          <w:p w:rsidR="00F87322" w:rsidRPr="00B34B00" w:rsidRDefault="00F87322" w:rsidP="00B34B00">
            <w:r w:rsidRPr="00B34B00">
              <w:t>Yes</w:t>
            </w:r>
          </w:p>
        </w:tc>
        <w:tc>
          <w:tcPr>
            <w:tcW w:w="639" w:type="pct"/>
            <w:shd w:val="clear" w:color="auto" w:fill="FFFFFF"/>
            <w:tcMar>
              <w:top w:w="0" w:type="dxa"/>
              <w:left w:w="99" w:type="dxa"/>
              <w:bottom w:w="0" w:type="dxa"/>
              <w:right w:w="99" w:type="dxa"/>
            </w:tcMar>
          </w:tcPr>
          <w:p w:rsidR="00F87322" w:rsidRPr="00B34B00" w:rsidRDefault="00F87322" w:rsidP="00B34B00"/>
        </w:tc>
        <w:tc>
          <w:tcPr>
            <w:tcW w:w="343" w:type="pct"/>
            <w:tcMar>
              <w:top w:w="0" w:type="dxa"/>
              <w:left w:w="99" w:type="dxa"/>
              <w:bottom w:w="0" w:type="dxa"/>
              <w:right w:w="99" w:type="dxa"/>
            </w:tcMar>
          </w:tcPr>
          <w:p w:rsidR="00F87322" w:rsidRPr="00B34B00" w:rsidRDefault="00F87322" w:rsidP="00B34B00">
            <w:r w:rsidRPr="00B34B00">
              <w:t>Type 4</w:t>
            </w:r>
          </w:p>
        </w:tc>
        <w:tc>
          <w:tcPr>
            <w:tcW w:w="1407" w:type="pct"/>
            <w:shd w:val="clear" w:color="auto" w:fill="FFFFFF"/>
            <w:tcMar>
              <w:top w:w="0" w:type="dxa"/>
              <w:left w:w="99" w:type="dxa"/>
              <w:bottom w:w="0" w:type="dxa"/>
              <w:right w:w="99" w:type="dxa"/>
            </w:tcMar>
          </w:tcPr>
          <w:p w:rsidR="00F87322" w:rsidRPr="00B34B00" w:rsidRDefault="00F87322" w:rsidP="00B34B00"/>
        </w:tc>
      </w:tr>
    </w:tbl>
    <w:p w:rsidR="005B238B" w:rsidRPr="00B34B00" w:rsidRDefault="005B238B" w:rsidP="00B34B00"/>
    <w:p w:rsidR="00152E11" w:rsidRPr="00B34B00" w:rsidRDefault="00F87322" w:rsidP="00B34B00">
      <w:r w:rsidRPr="00B34B00">
        <w:rPr>
          <w:u w:val="single"/>
        </w:rPr>
        <w:t>Analysis</w:t>
      </w:r>
      <w:r w:rsidRPr="00B34B00">
        <w:t>: Rate matching as defined in 5-26 and 5-27 are specified to enable NB-</w:t>
      </w:r>
      <w:proofErr w:type="spellStart"/>
      <w:r w:rsidRPr="00B34B00">
        <w:t>IoT</w:t>
      </w:r>
      <w:proofErr w:type="spellEnd"/>
      <w:r w:rsidRPr="00B34B00">
        <w:t xml:space="preserve"> and </w:t>
      </w:r>
      <w:proofErr w:type="spellStart"/>
      <w:r w:rsidRPr="00B34B00">
        <w:t>eMTC</w:t>
      </w:r>
      <w:proofErr w:type="spellEnd"/>
      <w:r w:rsidRPr="00B34B00">
        <w:t xml:space="preserve"> to be deployed </w:t>
      </w:r>
      <w:proofErr w:type="spellStart"/>
      <w:r w:rsidRPr="00B34B00">
        <w:t>i</w:t>
      </w:r>
      <w:r w:rsidR="00152E11" w:rsidRPr="00B34B00">
        <w:t>nband</w:t>
      </w:r>
      <w:proofErr w:type="spellEnd"/>
      <w:r w:rsidR="00152E11" w:rsidRPr="00B34B00">
        <w:t xml:space="preserve"> within an NR channel. 5-26</w:t>
      </w:r>
      <w:r w:rsidRPr="00B34B00">
        <w:t xml:space="preserve"> is defined for the scenario where the </w:t>
      </w:r>
      <w:proofErr w:type="spellStart"/>
      <w:r w:rsidR="00152E11" w:rsidRPr="00B34B00">
        <w:t>the</w:t>
      </w:r>
      <w:proofErr w:type="spellEnd"/>
      <w:r w:rsidR="00152E11" w:rsidRPr="00B34B00">
        <w:t xml:space="preserve"> </w:t>
      </w:r>
      <w:proofErr w:type="spellStart"/>
      <w:r w:rsidR="00152E11" w:rsidRPr="00B34B00">
        <w:t>IoT</w:t>
      </w:r>
      <w:proofErr w:type="spellEnd"/>
      <w:r w:rsidR="00152E11" w:rsidRPr="00B34B00">
        <w:t xml:space="preserve"> channel is semi-static, and 5-27 is defined for the scenario where the </w:t>
      </w:r>
      <w:proofErr w:type="spellStart"/>
      <w:r w:rsidR="00152E11" w:rsidRPr="00B34B00">
        <w:t>IoT</w:t>
      </w:r>
      <w:proofErr w:type="spellEnd"/>
      <w:r w:rsidR="00152E11" w:rsidRPr="00B34B00">
        <w:t xml:space="preserve"> channel is frequency hopping. UEs not supporting this feature would not be able to use bands where NB-</w:t>
      </w:r>
      <w:proofErr w:type="spellStart"/>
      <w:r w:rsidR="00152E11" w:rsidRPr="00B34B00">
        <w:t>IoT</w:t>
      </w:r>
      <w:proofErr w:type="spellEnd"/>
      <w:r w:rsidR="00152E11" w:rsidRPr="00B34B00">
        <w:t xml:space="preserve"> or </w:t>
      </w:r>
      <w:proofErr w:type="spellStart"/>
      <w:r w:rsidR="00152E11" w:rsidRPr="00B34B00">
        <w:t>eMTC</w:t>
      </w:r>
      <w:proofErr w:type="spellEnd"/>
      <w:r w:rsidR="00152E11" w:rsidRPr="00B34B00">
        <w:t xml:space="preserve"> are deployed </w:t>
      </w:r>
      <w:proofErr w:type="spellStart"/>
      <w:r w:rsidR="00152E11" w:rsidRPr="00B34B00">
        <w:t>inband</w:t>
      </w:r>
      <w:proofErr w:type="spellEnd"/>
      <w:r w:rsidR="00152E11" w:rsidRPr="00B34B00">
        <w:t xml:space="preserve"> within the channel. </w:t>
      </w:r>
    </w:p>
    <w:p w:rsidR="00152E11" w:rsidRPr="00B34B00" w:rsidRDefault="00152E11" w:rsidP="00B34B00">
      <w:pPr>
        <w:rPr>
          <w:b/>
        </w:rPr>
      </w:pPr>
      <w:r w:rsidRPr="00B34B00">
        <w:rPr>
          <w:b/>
          <w:u w:val="single"/>
        </w:rPr>
        <w:t>Proposal</w:t>
      </w:r>
      <w:r w:rsidR="00CE0938" w:rsidRPr="00B34B00">
        <w:rPr>
          <w:b/>
          <w:u w:val="single"/>
        </w:rPr>
        <w:t xml:space="preserve"> 3</w:t>
      </w:r>
      <w:r w:rsidRPr="00B34B00">
        <w:rPr>
          <w:b/>
        </w:rPr>
        <w:t xml:space="preserve">: </w:t>
      </w:r>
      <w:r w:rsidR="00C863FC" w:rsidRPr="00B34B00">
        <w:rPr>
          <w:b/>
        </w:rPr>
        <w:t>T</w:t>
      </w:r>
      <w:r w:rsidRPr="00B34B00">
        <w:rPr>
          <w:b/>
        </w:rPr>
        <w:t xml:space="preserve">o maximize the NR UE </w:t>
      </w:r>
      <w:r w:rsidR="00C863FC" w:rsidRPr="00B34B00">
        <w:rPr>
          <w:b/>
        </w:rPr>
        <w:t>available data rate, and to ensure that NB-</w:t>
      </w:r>
      <w:proofErr w:type="spellStart"/>
      <w:r w:rsidR="00C863FC" w:rsidRPr="00B34B00">
        <w:rPr>
          <w:b/>
        </w:rPr>
        <w:t>IoT</w:t>
      </w:r>
      <w:proofErr w:type="spellEnd"/>
      <w:r w:rsidR="00C863FC" w:rsidRPr="00B34B00">
        <w:rPr>
          <w:b/>
        </w:rPr>
        <w:t xml:space="preserve"> and </w:t>
      </w:r>
      <w:proofErr w:type="spellStart"/>
      <w:r w:rsidR="00C863FC" w:rsidRPr="00B34B00">
        <w:rPr>
          <w:b/>
        </w:rPr>
        <w:t>eMTC</w:t>
      </w:r>
      <w:proofErr w:type="spellEnd"/>
      <w:r w:rsidR="00C863FC" w:rsidRPr="00B34B00">
        <w:rPr>
          <w:b/>
        </w:rPr>
        <w:t xml:space="preserve"> features do not become restricted in usability and </w:t>
      </w:r>
      <w:proofErr w:type="spellStart"/>
      <w:r w:rsidR="00C863FC" w:rsidRPr="00B34B00">
        <w:rPr>
          <w:b/>
        </w:rPr>
        <w:t>deployability</w:t>
      </w:r>
      <w:proofErr w:type="spellEnd"/>
      <w:r w:rsidR="00C863FC" w:rsidRPr="00B34B00">
        <w:rPr>
          <w:b/>
        </w:rPr>
        <w:t xml:space="preserve"> in the future, both 5-26 and 5-27 should be mandatory for the UE.</w:t>
      </w:r>
    </w:p>
    <w:p w:rsidR="007648F3" w:rsidRPr="00B34B00" w:rsidRDefault="00C863FC" w:rsidP="00B34B00">
      <w:pPr>
        <w:pStyle w:val="ListParagraph"/>
        <w:numPr>
          <w:ilvl w:val="0"/>
          <w:numId w:val="12"/>
        </w:numPr>
        <w:rPr>
          <w:b/>
        </w:rPr>
      </w:pPr>
      <w:r w:rsidRPr="00B34B00">
        <w:rPr>
          <w:b/>
        </w:rPr>
        <w:t xml:space="preserve">Mandatory with capability </w:t>
      </w:r>
      <w:proofErr w:type="spellStart"/>
      <w:r w:rsidRPr="00B34B00">
        <w:rPr>
          <w:b/>
        </w:rPr>
        <w:t>signalling</w:t>
      </w:r>
      <w:proofErr w:type="spellEnd"/>
      <w:r w:rsidRPr="00B34B00">
        <w:rPr>
          <w:b/>
        </w:rPr>
        <w:t xml:space="preserve"> is acceptable for the NSA NR UE</w:t>
      </w:r>
    </w:p>
    <w:p w:rsidR="00C90679" w:rsidRPr="00B34B00" w:rsidRDefault="00C863FC" w:rsidP="00B34B00">
      <w:pPr>
        <w:pStyle w:val="ListParagraph"/>
        <w:numPr>
          <w:ilvl w:val="0"/>
          <w:numId w:val="12"/>
        </w:numPr>
        <w:rPr>
          <w:b/>
        </w:rPr>
      </w:pPr>
      <w:r w:rsidRPr="00B34B00">
        <w:rPr>
          <w:b/>
        </w:rPr>
        <w:t>Mandatory as a basic feature will be required for the standalone NR UE accessing the cell from IDLE.</w:t>
      </w:r>
      <w:r w:rsidR="00C90679" w:rsidRPr="00B34B00">
        <w:rPr>
          <w:b/>
        </w:rPr>
        <w:t xml:space="preserve"> </w:t>
      </w:r>
    </w:p>
    <w:p w:rsidR="007648F3" w:rsidRPr="00B34B00" w:rsidRDefault="007648F3" w:rsidP="00B34B00">
      <w:pPr>
        <w:pStyle w:val="ListParagraph"/>
        <w:numPr>
          <w:ilvl w:val="0"/>
          <w:numId w:val="12"/>
        </w:numPr>
      </w:pPr>
      <w:r w:rsidRPr="00B34B00">
        <w:rPr>
          <w:b/>
        </w:rPr>
        <w:t>A RAN5 test case should be developed to ensure that this can be tested</w:t>
      </w:r>
      <w:r w:rsidR="006518C0" w:rsidRPr="00B34B00">
        <w:rPr>
          <w:b/>
        </w:rPr>
        <w:t xml:space="preserve"> before IODT is available</w:t>
      </w:r>
      <w:r w:rsidRPr="00B34B00">
        <w:rPr>
          <w:b/>
        </w:rPr>
        <w:t>.</w:t>
      </w:r>
    </w:p>
    <w:p w:rsidR="00C863FC" w:rsidRPr="00B34B00" w:rsidRDefault="00C863FC" w:rsidP="00B34B00"/>
    <w:tbl>
      <w:tblPr>
        <w:tblW w:w="5062" w:type="pct"/>
        <w:tblInd w:w="-1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65"/>
        <w:gridCol w:w="1378"/>
        <w:gridCol w:w="1307"/>
        <w:gridCol w:w="699"/>
        <w:gridCol w:w="586"/>
        <w:gridCol w:w="1134"/>
        <w:gridCol w:w="609"/>
        <w:gridCol w:w="2498"/>
      </w:tblGrid>
      <w:tr w:rsidR="00C863FC" w:rsidRPr="00B34B00" w:rsidTr="00C863FC">
        <w:trPr>
          <w:trHeight w:val="659"/>
        </w:trPr>
        <w:tc>
          <w:tcPr>
            <w:tcW w:w="375" w:type="pct"/>
            <w:shd w:val="clear" w:color="auto" w:fill="FFFFFF"/>
            <w:tcMar>
              <w:top w:w="0" w:type="dxa"/>
              <w:left w:w="99" w:type="dxa"/>
              <w:bottom w:w="0" w:type="dxa"/>
              <w:right w:w="99" w:type="dxa"/>
            </w:tcMar>
          </w:tcPr>
          <w:p w:rsidR="00C863FC" w:rsidRPr="00B34B00" w:rsidRDefault="00C863FC" w:rsidP="00B34B00">
            <w:r w:rsidRPr="00B34B00">
              <w:t>5-28</w:t>
            </w:r>
          </w:p>
        </w:tc>
        <w:tc>
          <w:tcPr>
            <w:tcW w:w="776" w:type="pct"/>
            <w:shd w:val="clear" w:color="auto" w:fill="FFFFFF"/>
            <w:tcMar>
              <w:top w:w="0" w:type="dxa"/>
              <w:left w:w="99" w:type="dxa"/>
              <w:bottom w:w="0" w:type="dxa"/>
              <w:right w:w="99" w:type="dxa"/>
            </w:tcMar>
          </w:tcPr>
          <w:p w:rsidR="00C863FC" w:rsidRPr="00B34B00" w:rsidRDefault="00C863FC" w:rsidP="00B34B00">
            <w:r w:rsidRPr="00B34B00">
              <w:t>Rate-matching around LTE CRS</w:t>
            </w:r>
          </w:p>
        </w:tc>
        <w:tc>
          <w:tcPr>
            <w:tcW w:w="736" w:type="pct"/>
            <w:shd w:val="clear" w:color="auto" w:fill="FFFFFF"/>
            <w:tcMar>
              <w:top w:w="0" w:type="dxa"/>
              <w:left w:w="99" w:type="dxa"/>
              <w:bottom w:w="0" w:type="dxa"/>
              <w:right w:w="99" w:type="dxa"/>
            </w:tcMar>
          </w:tcPr>
          <w:p w:rsidR="00C863FC" w:rsidRPr="00B34B00" w:rsidRDefault="00C863FC" w:rsidP="00B34B00"/>
        </w:tc>
        <w:tc>
          <w:tcPr>
            <w:tcW w:w="394" w:type="pct"/>
            <w:shd w:val="clear" w:color="auto" w:fill="FFFFFF"/>
            <w:tcMar>
              <w:top w:w="0" w:type="dxa"/>
              <w:left w:w="99" w:type="dxa"/>
              <w:bottom w:w="0" w:type="dxa"/>
              <w:right w:w="99" w:type="dxa"/>
            </w:tcMar>
          </w:tcPr>
          <w:p w:rsidR="00C863FC" w:rsidRPr="00B34B00" w:rsidRDefault="00C863FC" w:rsidP="00B34B00"/>
        </w:tc>
        <w:tc>
          <w:tcPr>
            <w:tcW w:w="330" w:type="pct"/>
            <w:shd w:val="clear" w:color="auto" w:fill="FFFFFF"/>
            <w:tcMar>
              <w:top w:w="0" w:type="dxa"/>
              <w:left w:w="99" w:type="dxa"/>
              <w:bottom w:w="0" w:type="dxa"/>
              <w:right w:w="99" w:type="dxa"/>
            </w:tcMar>
          </w:tcPr>
          <w:p w:rsidR="00C863FC" w:rsidRPr="00B34B00" w:rsidRDefault="00C863FC" w:rsidP="00B34B00">
            <w:r w:rsidRPr="00B34B00">
              <w:t>Yes</w:t>
            </w:r>
          </w:p>
        </w:tc>
        <w:tc>
          <w:tcPr>
            <w:tcW w:w="639" w:type="pct"/>
            <w:shd w:val="clear" w:color="auto" w:fill="FFFFFF"/>
            <w:tcMar>
              <w:top w:w="0" w:type="dxa"/>
              <w:left w:w="99" w:type="dxa"/>
              <w:bottom w:w="0" w:type="dxa"/>
              <w:right w:w="99" w:type="dxa"/>
            </w:tcMar>
          </w:tcPr>
          <w:p w:rsidR="00C863FC" w:rsidRPr="00B34B00" w:rsidRDefault="00C863FC" w:rsidP="00B34B00"/>
        </w:tc>
        <w:tc>
          <w:tcPr>
            <w:tcW w:w="343" w:type="pct"/>
            <w:tcMar>
              <w:top w:w="0" w:type="dxa"/>
              <w:left w:w="99" w:type="dxa"/>
              <w:bottom w:w="0" w:type="dxa"/>
              <w:right w:w="99" w:type="dxa"/>
            </w:tcMar>
          </w:tcPr>
          <w:p w:rsidR="00C863FC" w:rsidRPr="00B34B00" w:rsidRDefault="00C863FC" w:rsidP="00B34B00">
            <w:r w:rsidRPr="00B34B00">
              <w:t>Type 4</w:t>
            </w:r>
          </w:p>
        </w:tc>
        <w:tc>
          <w:tcPr>
            <w:tcW w:w="1407" w:type="pct"/>
            <w:shd w:val="clear" w:color="auto" w:fill="FFFFFF"/>
            <w:tcMar>
              <w:top w:w="0" w:type="dxa"/>
              <w:left w:w="99" w:type="dxa"/>
              <w:bottom w:w="0" w:type="dxa"/>
              <w:right w:w="99" w:type="dxa"/>
            </w:tcMar>
          </w:tcPr>
          <w:p w:rsidR="00C863FC" w:rsidRPr="00B34B00" w:rsidRDefault="00C863FC" w:rsidP="00B34B00"/>
        </w:tc>
      </w:tr>
    </w:tbl>
    <w:p w:rsidR="00623E39" w:rsidRPr="00B34B00" w:rsidRDefault="00623E39" w:rsidP="00B34B00"/>
    <w:p w:rsidR="00C863FC" w:rsidRPr="00B34B00" w:rsidRDefault="00C863FC" w:rsidP="00B34B00">
      <w:r w:rsidRPr="00B34B00">
        <w:rPr>
          <w:u w:val="single"/>
        </w:rPr>
        <w:t>Analysis</w:t>
      </w:r>
      <w:r w:rsidRPr="00B34B00">
        <w:t xml:space="preserve">: Rate matching as defined in 5-28 is specified to allow LTE-NR downlink dynamic coexistence in LTE </w:t>
      </w:r>
      <w:proofErr w:type="spellStart"/>
      <w:r w:rsidRPr="00B34B00">
        <w:t>refarming</w:t>
      </w:r>
      <w:proofErr w:type="spellEnd"/>
      <w:r w:rsidRPr="00B34B00">
        <w:t xml:space="preserve"> bands. UEs not supporting this feature would not be able to operate NR in a channel where LTE and NR are dynamically shared. This will restrict its ability to operate on such a band.</w:t>
      </w:r>
    </w:p>
    <w:p w:rsidR="00C863FC" w:rsidRPr="00B34B00" w:rsidRDefault="00C863FC" w:rsidP="00B34B00">
      <w:pPr>
        <w:rPr>
          <w:b/>
        </w:rPr>
      </w:pPr>
      <w:r w:rsidRPr="00B34B00">
        <w:rPr>
          <w:b/>
          <w:u w:val="single"/>
        </w:rPr>
        <w:t>Proposal</w:t>
      </w:r>
      <w:r w:rsidR="00CE0938" w:rsidRPr="00B34B00">
        <w:rPr>
          <w:b/>
          <w:u w:val="single"/>
        </w:rPr>
        <w:t xml:space="preserve"> 4</w:t>
      </w:r>
      <w:r w:rsidRPr="00B34B00">
        <w:rPr>
          <w:b/>
        </w:rPr>
        <w:t xml:space="preserve">: To ensure that the UE can operate on LTE </w:t>
      </w:r>
      <w:proofErr w:type="spellStart"/>
      <w:r w:rsidRPr="00B34B00">
        <w:rPr>
          <w:b/>
        </w:rPr>
        <w:t>refarming</w:t>
      </w:r>
      <w:proofErr w:type="spellEnd"/>
      <w:r w:rsidRPr="00B34B00">
        <w:rPr>
          <w:b/>
        </w:rPr>
        <w:t xml:space="preserve"> bands, and to ensure a smooth migration of operators’ networks to NR, 5-28 should be mandatory for UEs that support NR operation in existing defined LTE bands.</w:t>
      </w:r>
    </w:p>
    <w:p w:rsidR="00C863FC" w:rsidRPr="00B34B00" w:rsidRDefault="00C863FC" w:rsidP="00B34B00">
      <w:pPr>
        <w:pStyle w:val="ListParagraph"/>
        <w:numPr>
          <w:ilvl w:val="0"/>
          <w:numId w:val="12"/>
        </w:numPr>
        <w:rPr>
          <w:b/>
        </w:rPr>
      </w:pPr>
      <w:r w:rsidRPr="00B34B00">
        <w:rPr>
          <w:b/>
        </w:rPr>
        <w:t xml:space="preserve">Mandatory with capability </w:t>
      </w:r>
      <w:proofErr w:type="spellStart"/>
      <w:r w:rsidRPr="00B34B00">
        <w:rPr>
          <w:b/>
        </w:rPr>
        <w:t>signalling</w:t>
      </w:r>
      <w:proofErr w:type="spellEnd"/>
      <w:r w:rsidRPr="00B34B00">
        <w:rPr>
          <w:b/>
        </w:rPr>
        <w:t xml:space="preserve"> is acceptable for the UE supporting </w:t>
      </w:r>
      <w:r w:rsidR="0032219D" w:rsidRPr="00B34B00">
        <w:rPr>
          <w:b/>
        </w:rPr>
        <w:t>existing defined LTE</w:t>
      </w:r>
      <w:r w:rsidR="007648F3" w:rsidRPr="00B34B00">
        <w:rPr>
          <w:b/>
        </w:rPr>
        <w:t xml:space="preserve"> bands via NSA NR operation.</w:t>
      </w:r>
    </w:p>
    <w:p w:rsidR="00C863FC" w:rsidRPr="00B34B00" w:rsidRDefault="00C863FC" w:rsidP="00B34B00">
      <w:pPr>
        <w:pStyle w:val="ListParagraph"/>
        <w:numPr>
          <w:ilvl w:val="0"/>
          <w:numId w:val="12"/>
        </w:numPr>
        <w:rPr>
          <w:b/>
        </w:rPr>
      </w:pPr>
      <w:r w:rsidRPr="00B34B00">
        <w:rPr>
          <w:b/>
        </w:rPr>
        <w:t xml:space="preserve">Mandatory without UE capability </w:t>
      </w:r>
      <w:proofErr w:type="spellStart"/>
      <w:r w:rsidRPr="00B34B00">
        <w:rPr>
          <w:b/>
        </w:rPr>
        <w:t>signalling</w:t>
      </w:r>
      <w:proofErr w:type="spellEnd"/>
      <w:r w:rsidRPr="00B34B00">
        <w:rPr>
          <w:b/>
        </w:rPr>
        <w:t xml:space="preserve"> for the standalone NR UE</w:t>
      </w:r>
      <w:r w:rsidR="00CE0938" w:rsidRPr="00B34B00">
        <w:rPr>
          <w:b/>
        </w:rPr>
        <w:t>.</w:t>
      </w:r>
      <w:r w:rsidR="00C90679" w:rsidRPr="00B34B00">
        <w:rPr>
          <w:b/>
        </w:rPr>
        <w:t xml:space="preserve"> </w:t>
      </w:r>
    </w:p>
    <w:p w:rsidR="007648F3" w:rsidRPr="00B34B00" w:rsidRDefault="007648F3" w:rsidP="00B34B00">
      <w:pPr>
        <w:pStyle w:val="ListParagraph"/>
        <w:numPr>
          <w:ilvl w:val="0"/>
          <w:numId w:val="12"/>
        </w:numPr>
        <w:rPr>
          <w:b/>
        </w:rPr>
      </w:pPr>
      <w:r w:rsidRPr="00B34B00">
        <w:rPr>
          <w:b/>
        </w:rPr>
        <w:t>A RAN5 test case should be developed to ensure that this can be tested</w:t>
      </w:r>
      <w:r w:rsidR="006518C0" w:rsidRPr="00B34B00">
        <w:rPr>
          <w:b/>
        </w:rPr>
        <w:t xml:space="preserve"> before IODT is available</w:t>
      </w:r>
      <w:r w:rsidRPr="00B34B00">
        <w:rPr>
          <w:b/>
        </w:rPr>
        <w:t>.</w:t>
      </w:r>
    </w:p>
    <w:p w:rsidR="00CE0938" w:rsidRPr="00B34B00" w:rsidRDefault="00CE0938" w:rsidP="00B34B00"/>
    <w:tbl>
      <w:tblPr>
        <w:tblW w:w="5062" w:type="pct"/>
        <w:tblInd w:w="-1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65"/>
        <w:gridCol w:w="1378"/>
        <w:gridCol w:w="1307"/>
        <w:gridCol w:w="699"/>
        <w:gridCol w:w="586"/>
        <w:gridCol w:w="1134"/>
        <w:gridCol w:w="609"/>
        <w:gridCol w:w="2498"/>
      </w:tblGrid>
      <w:tr w:rsidR="00CE0938" w:rsidRPr="00B34B00" w:rsidTr="00CE0938">
        <w:trPr>
          <w:trHeight w:val="1165"/>
        </w:trPr>
        <w:tc>
          <w:tcPr>
            <w:tcW w:w="375" w:type="pct"/>
            <w:shd w:val="clear" w:color="auto" w:fill="FFFFFF"/>
            <w:tcMar>
              <w:top w:w="0" w:type="dxa"/>
              <w:left w:w="99" w:type="dxa"/>
              <w:bottom w:w="0" w:type="dxa"/>
              <w:right w:w="99" w:type="dxa"/>
            </w:tcMar>
            <w:hideMark/>
          </w:tcPr>
          <w:p w:rsidR="00CE0938" w:rsidRPr="00B34B00" w:rsidRDefault="00CE0938" w:rsidP="00B34B00">
            <w:pPr>
              <w:rPr>
                <w:rFonts w:eastAsiaTheme="minorHAnsi"/>
                <w:color w:val="auto"/>
                <w:lang w:val="en-GB" w:eastAsia="en-US"/>
              </w:rPr>
            </w:pPr>
            <w:r w:rsidRPr="00B34B00">
              <w:t>8-1</w:t>
            </w:r>
          </w:p>
        </w:tc>
        <w:tc>
          <w:tcPr>
            <w:tcW w:w="776" w:type="pct"/>
            <w:shd w:val="clear" w:color="auto" w:fill="FFFFFF"/>
            <w:tcMar>
              <w:top w:w="0" w:type="dxa"/>
              <w:left w:w="99" w:type="dxa"/>
              <w:bottom w:w="0" w:type="dxa"/>
              <w:right w:w="99" w:type="dxa"/>
            </w:tcMar>
            <w:hideMark/>
          </w:tcPr>
          <w:p w:rsidR="00CE0938" w:rsidRPr="00B34B00" w:rsidRDefault="00CE0938" w:rsidP="00B34B00">
            <w:r w:rsidRPr="00B34B00">
              <w:t>Dynamic power sharing for LTE-NR DC</w:t>
            </w:r>
          </w:p>
        </w:tc>
        <w:tc>
          <w:tcPr>
            <w:tcW w:w="736" w:type="pct"/>
            <w:shd w:val="clear" w:color="auto" w:fill="FFFFFF"/>
            <w:tcMar>
              <w:top w:w="0" w:type="dxa"/>
              <w:left w:w="99" w:type="dxa"/>
              <w:bottom w:w="0" w:type="dxa"/>
              <w:right w:w="99" w:type="dxa"/>
            </w:tcMar>
          </w:tcPr>
          <w:p w:rsidR="00CE0938" w:rsidRPr="00B34B00" w:rsidRDefault="00CE0938" w:rsidP="00B34B00">
            <w:r w:rsidRPr="00B34B00">
              <w:t xml:space="preserve">When total transmission power exceeds </w:t>
            </w:r>
            <w:proofErr w:type="spellStart"/>
            <w:r w:rsidRPr="00B34B00">
              <w:t>Pcmax</w:t>
            </w:r>
            <w:proofErr w:type="spellEnd"/>
            <w:r w:rsidRPr="00B34B00">
              <w:t>, UE scales NR transmission power.</w:t>
            </w:r>
          </w:p>
        </w:tc>
        <w:tc>
          <w:tcPr>
            <w:tcW w:w="394" w:type="pct"/>
            <w:shd w:val="clear" w:color="auto" w:fill="FFFFFF"/>
            <w:tcMar>
              <w:top w:w="0" w:type="dxa"/>
              <w:left w:w="99" w:type="dxa"/>
              <w:bottom w:w="0" w:type="dxa"/>
              <w:right w:w="99" w:type="dxa"/>
            </w:tcMar>
          </w:tcPr>
          <w:p w:rsidR="00CE0938" w:rsidRPr="00B34B00" w:rsidRDefault="00CE0938" w:rsidP="00B34B00">
            <w:r w:rsidRPr="00B34B00">
              <w:t>EN-DC</w:t>
            </w:r>
          </w:p>
        </w:tc>
        <w:tc>
          <w:tcPr>
            <w:tcW w:w="330" w:type="pct"/>
            <w:shd w:val="clear" w:color="auto" w:fill="FFFFFF"/>
            <w:tcMar>
              <w:top w:w="0" w:type="dxa"/>
              <w:left w:w="99" w:type="dxa"/>
              <w:bottom w:w="0" w:type="dxa"/>
              <w:right w:w="99" w:type="dxa"/>
            </w:tcMar>
            <w:hideMark/>
          </w:tcPr>
          <w:p w:rsidR="00CE0938" w:rsidRPr="00B34B00" w:rsidRDefault="00CE0938" w:rsidP="00B34B00">
            <w:r w:rsidRPr="00B34B00">
              <w:t>Yes</w:t>
            </w:r>
          </w:p>
        </w:tc>
        <w:tc>
          <w:tcPr>
            <w:tcW w:w="639" w:type="pct"/>
            <w:shd w:val="clear" w:color="auto" w:fill="FFFFFF"/>
            <w:tcMar>
              <w:top w:w="0" w:type="dxa"/>
              <w:left w:w="99" w:type="dxa"/>
              <w:bottom w:w="0" w:type="dxa"/>
              <w:right w:w="99" w:type="dxa"/>
            </w:tcMar>
          </w:tcPr>
          <w:p w:rsidR="00CE0938" w:rsidRPr="00B34B00" w:rsidRDefault="00CE0938" w:rsidP="00B34B00"/>
        </w:tc>
        <w:tc>
          <w:tcPr>
            <w:tcW w:w="343" w:type="pct"/>
            <w:tcMar>
              <w:top w:w="0" w:type="dxa"/>
              <w:left w:w="99" w:type="dxa"/>
              <w:bottom w:w="0" w:type="dxa"/>
              <w:right w:w="99" w:type="dxa"/>
            </w:tcMar>
            <w:hideMark/>
          </w:tcPr>
          <w:p w:rsidR="00CE0938" w:rsidRPr="00B34B00" w:rsidRDefault="00CE0938" w:rsidP="00B34B00">
            <w:r w:rsidRPr="00B34B00">
              <w:t>Type 4</w:t>
            </w:r>
          </w:p>
        </w:tc>
        <w:tc>
          <w:tcPr>
            <w:tcW w:w="1407" w:type="pct"/>
            <w:shd w:val="clear" w:color="auto" w:fill="FFFFFF"/>
            <w:tcMar>
              <w:top w:w="0" w:type="dxa"/>
              <w:left w:w="99" w:type="dxa"/>
              <w:bottom w:w="0" w:type="dxa"/>
              <w:right w:w="99" w:type="dxa"/>
            </w:tcMar>
          </w:tcPr>
          <w:p w:rsidR="00CE0938" w:rsidRPr="00B34B00" w:rsidRDefault="00CE0938" w:rsidP="00B34B00"/>
        </w:tc>
      </w:tr>
    </w:tbl>
    <w:p w:rsidR="00CE0938" w:rsidRPr="00B34B00" w:rsidRDefault="00CE0938" w:rsidP="00B34B00"/>
    <w:p w:rsidR="00C863FC" w:rsidRPr="00B34B00" w:rsidRDefault="00CE0938" w:rsidP="00B34B00">
      <w:r w:rsidRPr="00B34B00">
        <w:t xml:space="preserve">Analysis: This was discussed also at the last plenary where it was agreed that capability </w:t>
      </w:r>
      <w:proofErr w:type="spellStart"/>
      <w:r w:rsidRPr="00B34B00">
        <w:t>signalling</w:t>
      </w:r>
      <w:proofErr w:type="spellEnd"/>
      <w:r w:rsidRPr="00B34B00">
        <w:t xml:space="preserve"> would be required for this feature. For an optimal DC link budget (especially where only one RAT is transmitting user data, this feature really needs to be supported by all NSA devices. </w:t>
      </w:r>
    </w:p>
    <w:p w:rsidR="00CE0938" w:rsidRPr="00B34B00" w:rsidRDefault="00CE0938" w:rsidP="00B34B00">
      <w:pPr>
        <w:rPr>
          <w:b/>
        </w:rPr>
      </w:pPr>
      <w:r w:rsidRPr="00B34B00">
        <w:rPr>
          <w:b/>
          <w:u w:val="single"/>
        </w:rPr>
        <w:t>Proposal 5</w:t>
      </w:r>
      <w:r w:rsidRPr="00B34B00">
        <w:rPr>
          <w:b/>
        </w:rPr>
        <w:t xml:space="preserve">: Agree for 8-1 to be a mandatory UE feature with capability </w:t>
      </w:r>
      <w:proofErr w:type="spellStart"/>
      <w:r w:rsidRPr="00B34B00">
        <w:rPr>
          <w:b/>
        </w:rPr>
        <w:t>signalling</w:t>
      </w:r>
      <w:proofErr w:type="spellEnd"/>
      <w:r w:rsidR="007648F3" w:rsidRPr="00B34B00">
        <w:rPr>
          <w:b/>
        </w:rPr>
        <w:t>.</w:t>
      </w:r>
    </w:p>
    <w:p w:rsidR="00CE0938" w:rsidRPr="00B34B00" w:rsidRDefault="00CE0938" w:rsidP="00B34B00"/>
    <w:tbl>
      <w:tblPr>
        <w:tblW w:w="4988" w:type="pct"/>
        <w:tblInd w:w="-1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6"/>
      </w:tblGrid>
      <w:tr w:rsidR="000D7C72" w:rsidRPr="00B34B00" w:rsidTr="000D7C72">
        <w:trPr>
          <w:trHeight w:val="565"/>
        </w:trPr>
        <w:tc>
          <w:tcPr>
            <w:tcW w:w="5000" w:type="pct"/>
            <w:shd w:val="clear" w:color="auto" w:fill="FFFFFF"/>
            <w:tcMar>
              <w:top w:w="0" w:type="dxa"/>
              <w:left w:w="99" w:type="dxa"/>
              <w:bottom w:w="0" w:type="dxa"/>
              <w:right w:w="99" w:type="dxa"/>
            </w:tcMar>
          </w:tcPr>
          <w:p w:rsidR="000D7C72" w:rsidRPr="00B34B00" w:rsidRDefault="000D7C72" w:rsidP="00DE4415">
            <w:pPr>
              <w:jc w:val="center"/>
              <w:rPr>
                <w:rFonts w:eastAsiaTheme="minorHAnsi"/>
                <w:color w:val="auto"/>
                <w:lang w:eastAsia="en-US"/>
              </w:rPr>
            </w:pPr>
            <w:bookmarkStart w:id="1" w:name="_GoBack" w:colFirst="0" w:colLast="0"/>
            <w:r w:rsidRPr="00B34B00">
              <w:t>60kHz SCS for FR1</w:t>
            </w:r>
          </w:p>
        </w:tc>
      </w:tr>
      <w:bookmarkEnd w:id="1"/>
    </w:tbl>
    <w:p w:rsidR="0032219D" w:rsidRPr="00B34B00" w:rsidRDefault="0032219D" w:rsidP="00B34B00"/>
    <w:p w:rsidR="0032219D" w:rsidRPr="00B34B00" w:rsidRDefault="0032219D" w:rsidP="00B34B00">
      <w:r w:rsidRPr="00B34B00">
        <w:rPr>
          <w:u w:val="single"/>
        </w:rPr>
        <w:t>Analysis</w:t>
      </w:r>
      <w:r w:rsidRPr="00B34B00">
        <w:t xml:space="preserve">: </w:t>
      </w:r>
      <w:r w:rsidR="00BC1A0C">
        <w:t>I</w:t>
      </w:r>
      <w:r w:rsidR="00845797" w:rsidRPr="00B34B00">
        <w:t>n case e.g.</w:t>
      </w:r>
      <w:r w:rsidR="00BC1A0C">
        <w:t xml:space="preserve"> extreme low latency requires a 60kHz SCS to be operated for a subset of UEs, then resources would need to be partitioned if not all UEs support 60kHz SCS, which would lead to spectrum inefficiency. Therefore, ensuring that as many UEs as possible support 60kHz SCS, for </w:t>
      </w:r>
      <w:r w:rsidR="00845797" w:rsidRPr="00B34B00">
        <w:t>when 60kHz SCS deployments become available</w:t>
      </w:r>
      <w:r w:rsidR="00BC1A0C">
        <w:t>,</w:t>
      </w:r>
      <w:r w:rsidR="00845797" w:rsidRPr="00B34B00">
        <w:t xml:space="preserve"> would prevent this issue</w:t>
      </w:r>
      <w:r w:rsidRPr="00B34B00">
        <w:t>.</w:t>
      </w:r>
    </w:p>
    <w:p w:rsidR="0032219D" w:rsidRPr="00B34B00" w:rsidRDefault="0032219D" w:rsidP="00B34B00">
      <w:pPr>
        <w:rPr>
          <w:b/>
        </w:rPr>
      </w:pPr>
      <w:r w:rsidRPr="00B34B00">
        <w:rPr>
          <w:b/>
          <w:u w:val="single"/>
        </w:rPr>
        <w:t>Proposal 6</w:t>
      </w:r>
      <w:r w:rsidRPr="00B34B00">
        <w:rPr>
          <w:b/>
        </w:rPr>
        <w:t xml:space="preserve">: </w:t>
      </w:r>
      <w:r w:rsidR="00845797" w:rsidRPr="00B34B00">
        <w:rPr>
          <w:b/>
        </w:rPr>
        <w:t>Agree for 60kHz SCS to be a m</w:t>
      </w:r>
      <w:r w:rsidRPr="00B34B00">
        <w:rPr>
          <w:b/>
        </w:rPr>
        <w:t xml:space="preserve">andatory </w:t>
      </w:r>
      <w:r w:rsidR="00845797" w:rsidRPr="00B34B00">
        <w:rPr>
          <w:b/>
        </w:rPr>
        <w:t xml:space="preserve">UE feature </w:t>
      </w:r>
      <w:r w:rsidRPr="00B34B00">
        <w:rPr>
          <w:b/>
        </w:rPr>
        <w:t xml:space="preserve">with capability </w:t>
      </w:r>
      <w:proofErr w:type="spellStart"/>
      <w:r w:rsidRPr="00B34B00">
        <w:rPr>
          <w:b/>
        </w:rPr>
        <w:t>signalling</w:t>
      </w:r>
      <w:proofErr w:type="spellEnd"/>
      <w:r w:rsidRPr="00B34B00">
        <w:rPr>
          <w:b/>
        </w:rPr>
        <w:t>.</w:t>
      </w:r>
    </w:p>
    <w:p w:rsidR="0032219D" w:rsidRDefault="0032219D" w:rsidP="00B34B00"/>
    <w:p w:rsidR="00CE0938" w:rsidRPr="0032219D" w:rsidRDefault="00CE0938" w:rsidP="00B34B00">
      <w:pPr>
        <w:pStyle w:val="Heading1"/>
        <w:numPr>
          <w:ilvl w:val="0"/>
          <w:numId w:val="1"/>
        </w:numPr>
      </w:pPr>
      <w:r w:rsidRPr="0032219D">
        <w:t xml:space="preserve">How to handle the mandatory with capability </w:t>
      </w:r>
      <w:proofErr w:type="spellStart"/>
      <w:r w:rsidRPr="0032219D">
        <w:t>signalling</w:t>
      </w:r>
      <w:proofErr w:type="spellEnd"/>
      <w:r w:rsidRPr="0032219D">
        <w:t xml:space="preserve"> concept?</w:t>
      </w:r>
    </w:p>
    <w:p w:rsidR="00C90679" w:rsidRDefault="00C90679" w:rsidP="00B34B00">
      <w:pPr>
        <w:pStyle w:val="Heading2"/>
      </w:pPr>
      <w:r>
        <w:t>3.1</w:t>
      </w:r>
      <w:r>
        <w:tab/>
      </w:r>
      <w:r w:rsidRPr="00C90679">
        <w:t>Concept</w:t>
      </w:r>
    </w:p>
    <w:p w:rsidR="008A09A4" w:rsidRDefault="008A09A4" w:rsidP="00B34B00">
      <w:r>
        <w:t xml:space="preserve">The “mandatory with UE capability </w:t>
      </w:r>
      <w:proofErr w:type="spellStart"/>
      <w:r>
        <w:t>signalling</w:t>
      </w:r>
      <w:proofErr w:type="spellEnd"/>
      <w:r>
        <w:t>” will cater for the situation that:</w:t>
      </w:r>
    </w:p>
    <w:p w:rsidR="008A09A4" w:rsidRDefault="008A09A4" w:rsidP="00B34B00">
      <w:pPr>
        <w:pStyle w:val="ListParagraph"/>
        <w:numPr>
          <w:ilvl w:val="0"/>
          <w:numId w:val="12"/>
        </w:numPr>
      </w:pPr>
      <w:r>
        <w:t>Time-to-market for initial NR devices suggests that not all UEs may support such features, and tests not defined by 3GPP/GCF to verify support without networks.</w:t>
      </w:r>
    </w:p>
    <w:p w:rsidR="008A09A4" w:rsidRDefault="008A09A4" w:rsidP="00B34B00">
      <w:pPr>
        <w:pStyle w:val="ListParagraph"/>
        <w:numPr>
          <w:ilvl w:val="0"/>
          <w:numId w:val="12"/>
        </w:numPr>
      </w:pPr>
      <w:r>
        <w:t>For later NR devices, once testing is available, it shall be required for these features to be supported and tested by all devices</w:t>
      </w:r>
      <w:r w:rsidR="00C90679">
        <w:t xml:space="preserve"> to be 3GPP compliant</w:t>
      </w:r>
      <w:r>
        <w:t>.</w:t>
      </w:r>
    </w:p>
    <w:p w:rsidR="00C90679" w:rsidRPr="00C90679" w:rsidRDefault="00C90679" w:rsidP="00B34B00">
      <w:pPr>
        <w:pStyle w:val="Heading2"/>
      </w:pPr>
      <w:r>
        <w:t>3.2</w:t>
      </w:r>
      <w:r>
        <w:tab/>
      </w:r>
      <w:r w:rsidRPr="00C90679">
        <w:t>Imp</w:t>
      </w:r>
      <w:r>
        <w:t>lementation into specifications</w:t>
      </w:r>
    </w:p>
    <w:p w:rsidR="00CE0938" w:rsidRPr="000D7C72" w:rsidRDefault="00CE0938" w:rsidP="00B34B00">
      <w:pPr>
        <w:rPr>
          <w:rFonts w:ascii="Calibri" w:eastAsia="Times New Roman" w:hAnsi="Calibri" w:cs="Calibri"/>
          <w:color w:val="auto"/>
          <w:lang w:val="en-GB" w:eastAsia="en-GB"/>
        </w:rPr>
      </w:pPr>
      <w:r w:rsidRPr="0032219D">
        <w:t xml:space="preserve">In LTE, we </w:t>
      </w:r>
      <w:r w:rsidR="0032219D">
        <w:t>agreed</w:t>
      </w:r>
      <w:r w:rsidRPr="0032219D">
        <w:t xml:space="preserve"> the “FGI” mechanism for indicating whether functionality in the UE had been interoperability tested with networks.</w:t>
      </w:r>
      <w:r w:rsidR="003C6D00">
        <w:t xml:space="preserve"> Later on, the capability in 36.306 could be marked as mandatory with the sentence “</w:t>
      </w:r>
      <w:r w:rsidR="003C6D00" w:rsidRPr="000D7C72">
        <w:rPr>
          <w:szCs w:val="20"/>
          <w:lang w:eastAsia="ja-JP"/>
        </w:rPr>
        <w:t>It is mandatory for UEs of this release of the specification</w:t>
      </w:r>
      <w:r w:rsidR="003C6D00">
        <w:t>”</w:t>
      </w:r>
      <w:r w:rsidRPr="0032219D">
        <w:t xml:space="preserve"> </w:t>
      </w:r>
      <w:r w:rsidR="0032219D" w:rsidRPr="0032219D">
        <w:t>In principle the same concept could be applied here</w:t>
      </w:r>
      <w:r w:rsidR="003C6D00">
        <w:t>.</w:t>
      </w:r>
    </w:p>
    <w:p w:rsidR="00C90679" w:rsidRPr="00B34B00" w:rsidRDefault="00C90679" w:rsidP="00B34B00">
      <w:pPr>
        <w:rPr>
          <w:b/>
        </w:rPr>
      </w:pPr>
      <w:r w:rsidRPr="00B34B00">
        <w:rPr>
          <w:b/>
          <w:u w:val="single"/>
        </w:rPr>
        <w:t>Proposal 7</w:t>
      </w:r>
      <w:r w:rsidRPr="00B34B00">
        <w:rPr>
          <w:b/>
        </w:rPr>
        <w:t xml:space="preserve">: TSG RAN to agree </w:t>
      </w:r>
      <w:r w:rsidR="003C6D00" w:rsidRPr="00B34B00">
        <w:rPr>
          <w:b/>
        </w:rPr>
        <w:t>to</w:t>
      </w:r>
      <w:r w:rsidR="000D7C72" w:rsidRPr="00B34B00">
        <w:rPr>
          <w:b/>
        </w:rPr>
        <w:t xml:space="preserve"> </w:t>
      </w:r>
      <w:r w:rsidR="003C6D00" w:rsidRPr="00B34B00">
        <w:rPr>
          <w:b/>
        </w:rPr>
        <w:t>re</w:t>
      </w:r>
      <w:r w:rsidR="000D7C72" w:rsidRPr="00B34B00">
        <w:rPr>
          <w:b/>
        </w:rPr>
        <w:t>-</w:t>
      </w:r>
      <w:r w:rsidR="003C6D00" w:rsidRPr="00B34B00">
        <w:rPr>
          <w:b/>
        </w:rPr>
        <w:t>use</w:t>
      </w:r>
      <w:r w:rsidRPr="00B34B00">
        <w:rPr>
          <w:b/>
        </w:rPr>
        <w:t xml:space="preserve"> UE capability mechanism for indicating whether the feature is properly supported in the UE</w:t>
      </w:r>
      <w:r w:rsidR="00F50D88" w:rsidRPr="00B34B00">
        <w:rPr>
          <w:b/>
        </w:rPr>
        <w:t xml:space="preserve"> and task RAN WG2 to develop the corresponding </w:t>
      </w:r>
      <w:proofErr w:type="spellStart"/>
      <w:r w:rsidR="00F50D88" w:rsidRPr="00B34B00">
        <w:rPr>
          <w:b/>
        </w:rPr>
        <w:t>signalling</w:t>
      </w:r>
      <w:proofErr w:type="spellEnd"/>
      <w:r w:rsidR="003C6D00" w:rsidRPr="00B34B00">
        <w:rPr>
          <w:b/>
        </w:rPr>
        <w:t>/specification support</w:t>
      </w:r>
      <w:r w:rsidR="00F50D88" w:rsidRPr="00B34B00">
        <w:rPr>
          <w:b/>
        </w:rPr>
        <w:t xml:space="preserve"> </w:t>
      </w:r>
    </w:p>
    <w:p w:rsidR="00C90679" w:rsidRPr="00C90679" w:rsidRDefault="00C90679" w:rsidP="00B34B00">
      <w:pPr>
        <w:pStyle w:val="Heading2"/>
      </w:pPr>
      <w:r>
        <w:t>3.3</w:t>
      </w:r>
      <w:r>
        <w:tab/>
      </w:r>
      <w:r w:rsidRPr="00C90679">
        <w:t xml:space="preserve">Process for requiring the indication to be set to </w:t>
      </w:r>
      <w:r>
        <w:t>“</w:t>
      </w:r>
      <w:r w:rsidRPr="00C90679">
        <w:rPr>
          <w:i/>
        </w:rPr>
        <w:t>YES/TRUE</w:t>
      </w:r>
      <w:r>
        <w:rPr>
          <w:i/>
        </w:rPr>
        <w:t>”</w:t>
      </w:r>
      <w:r w:rsidRPr="00C90679">
        <w:t xml:space="preserve"> for </w:t>
      </w:r>
      <w:r w:rsidR="00F50D88">
        <w:t>3</w:t>
      </w:r>
      <w:r w:rsidRPr="00C90679">
        <w:t>GPP compliance</w:t>
      </w:r>
    </w:p>
    <w:p w:rsidR="0032219D" w:rsidRDefault="0032219D" w:rsidP="00B34B00">
      <w:r w:rsidRPr="0032219D">
        <w:t xml:space="preserve">In terms of the process for all features that are mandatory with capability </w:t>
      </w:r>
      <w:proofErr w:type="spellStart"/>
      <w:r w:rsidRPr="0032219D">
        <w:t>signalling</w:t>
      </w:r>
      <w:proofErr w:type="spellEnd"/>
      <w:r w:rsidRPr="0032219D">
        <w:t xml:space="preserve">, </w:t>
      </w:r>
      <w:r>
        <w:t xml:space="preserve">it is proposed (similarly to the LTE FGI process) that, </w:t>
      </w:r>
      <w:r w:rsidRPr="0032219D">
        <w:t xml:space="preserve">once at least 2 networks are available for IODT of the feature, then 3GPP (and GCF device certification) shall require that the feature is indicated as supported by the UE. </w:t>
      </w:r>
    </w:p>
    <w:p w:rsidR="00C863FC" w:rsidRPr="00B34B00" w:rsidRDefault="008A09A4" w:rsidP="00B34B00">
      <w:pPr>
        <w:rPr>
          <w:b/>
        </w:rPr>
      </w:pPr>
      <w:r w:rsidRPr="00B34B00">
        <w:rPr>
          <w:b/>
          <w:u w:val="single"/>
        </w:rPr>
        <w:t>Proposal 8</w:t>
      </w:r>
      <w:r w:rsidRPr="00B34B00">
        <w:rPr>
          <w:b/>
        </w:rPr>
        <w:t xml:space="preserve">: For all features that are mandatory with capability </w:t>
      </w:r>
      <w:proofErr w:type="spellStart"/>
      <w:r w:rsidRPr="00B34B00">
        <w:rPr>
          <w:b/>
        </w:rPr>
        <w:t>signalling</w:t>
      </w:r>
      <w:proofErr w:type="spellEnd"/>
      <w:r w:rsidRPr="00B34B00">
        <w:rPr>
          <w:b/>
        </w:rPr>
        <w:t xml:space="preserve">, once at least 2 networks are available for IODT of the feature, then 3GPP (and GCF device certification) shall require that the </w:t>
      </w:r>
      <w:r w:rsidRPr="00B34B00">
        <w:rPr>
          <w:b/>
        </w:rPr>
        <w:lastRenderedPageBreak/>
        <w:t xml:space="preserve">feature is indicated as supported by the UE. </w:t>
      </w:r>
    </w:p>
    <w:p w:rsidR="000D7C72" w:rsidRDefault="000D7C72" w:rsidP="00B34B00"/>
    <w:p w:rsidR="007648F3" w:rsidRDefault="000D7C72" w:rsidP="00B34B00">
      <w:pPr>
        <w:pStyle w:val="Heading1"/>
      </w:pPr>
      <w:r>
        <w:t>4.</w:t>
      </w:r>
      <w:r>
        <w:tab/>
      </w:r>
      <w:r w:rsidR="007648F3">
        <w:t>Verifying basic feature support</w:t>
      </w:r>
    </w:p>
    <w:p w:rsidR="007648F3" w:rsidRDefault="007648F3" w:rsidP="00B34B00">
      <w:r>
        <w:t>Some of the basic configurations agreed would require lots of potential configurations to be supported. One such configuration set relates to TDDUL/DL configurations. There are lots of configurations possible, both semi-statically allocated and dynamically allocated, and different slot formats. In order to make sure that TDD configurations can be modified in future for all UEs, test cases will need to be defined to ensure support of all such configurations.</w:t>
      </w:r>
    </w:p>
    <w:p w:rsidR="001D6628" w:rsidRPr="00B34B00" w:rsidRDefault="001D6628" w:rsidP="00B34B00">
      <w:pPr>
        <w:rPr>
          <w:i/>
        </w:rPr>
      </w:pPr>
      <w:r w:rsidRPr="00B34B00">
        <w:rPr>
          <w:i/>
        </w:rPr>
        <w:t>Question: Is it planned to develop such test cases? And are all UEs actually going to support all configurations?</w:t>
      </w:r>
    </w:p>
    <w:p w:rsidR="007648F3" w:rsidRPr="00B34B00" w:rsidRDefault="001D6628" w:rsidP="00B34B00">
      <w:pPr>
        <w:rPr>
          <w:b/>
        </w:rPr>
      </w:pPr>
      <w:r w:rsidRPr="00B34B00">
        <w:rPr>
          <w:b/>
          <w:u w:val="single"/>
        </w:rPr>
        <w:t>Observation 1</w:t>
      </w:r>
      <w:r w:rsidRPr="00B34B00">
        <w:rPr>
          <w:b/>
        </w:rPr>
        <w:t xml:space="preserve">: Finding out later on that UEs do not support the flexibility to </w:t>
      </w:r>
      <w:r w:rsidR="00B34B00" w:rsidRPr="00B34B00">
        <w:rPr>
          <w:b/>
        </w:rPr>
        <w:t xml:space="preserve">at least </w:t>
      </w:r>
      <w:r w:rsidRPr="00B34B00">
        <w:rPr>
          <w:b/>
        </w:rPr>
        <w:t xml:space="preserve">semi-statically </w:t>
      </w:r>
      <w:r w:rsidR="00B34B00" w:rsidRPr="00B34B00">
        <w:rPr>
          <w:b/>
        </w:rPr>
        <w:t>support</w:t>
      </w:r>
      <w:r w:rsidRPr="00B34B00">
        <w:rPr>
          <w:b/>
        </w:rPr>
        <w:t xml:space="preserve"> TDD configurations beyond those </w:t>
      </w:r>
      <w:r w:rsidR="00B34B00" w:rsidRPr="00B34B00">
        <w:rPr>
          <w:b/>
        </w:rPr>
        <w:t xml:space="preserve">configurations </w:t>
      </w:r>
      <w:r w:rsidRPr="00B34B00">
        <w:rPr>
          <w:b/>
        </w:rPr>
        <w:t xml:space="preserve">used in the first </w:t>
      </w:r>
      <w:r w:rsidR="00B34B00" w:rsidRPr="00B34B00">
        <w:rPr>
          <w:b/>
        </w:rPr>
        <w:t>deployments</w:t>
      </w:r>
      <w:r w:rsidRPr="00B34B00">
        <w:rPr>
          <w:b/>
        </w:rPr>
        <w:t xml:space="preserve"> would be </w:t>
      </w:r>
      <w:r w:rsidRPr="00B34B00">
        <w:rPr>
          <w:b/>
          <w:color w:val="000000" w:themeColor="text1"/>
        </w:rPr>
        <w:t xml:space="preserve">severely restricting </w:t>
      </w:r>
      <w:r w:rsidRPr="00B34B00">
        <w:rPr>
          <w:b/>
        </w:rPr>
        <w:t>for the NR system, as it would likely mean that the TDD UL/DL configuration cannot actually be modified. Therefore, some clarity on this is appreciated.</w:t>
      </w:r>
    </w:p>
    <w:p w:rsidR="007648F3" w:rsidRDefault="007648F3" w:rsidP="00B34B00"/>
    <w:p w:rsidR="000D7C72" w:rsidRPr="007648F3" w:rsidRDefault="007648F3" w:rsidP="00B34B00">
      <w:pPr>
        <w:pStyle w:val="Heading1"/>
      </w:pPr>
      <w:r>
        <w:t>5.</w:t>
      </w:r>
      <w:r>
        <w:tab/>
      </w:r>
      <w:r w:rsidR="000D7C72" w:rsidRPr="007648F3">
        <w:t>Proposal</w:t>
      </w:r>
    </w:p>
    <w:p w:rsidR="006518C0" w:rsidRDefault="006518C0" w:rsidP="00B34B00">
      <w:r>
        <w:t>The following is proposed:</w:t>
      </w:r>
    </w:p>
    <w:p w:rsidR="007648F3" w:rsidRPr="007648F3" w:rsidRDefault="007648F3" w:rsidP="00B34B00">
      <w:pPr>
        <w:pStyle w:val="ListParagraph"/>
        <w:numPr>
          <w:ilvl w:val="0"/>
          <w:numId w:val="12"/>
        </w:numPr>
      </w:pPr>
      <w:r w:rsidRPr="007648F3">
        <w:t>Agree the specific proposals in section 2 relating to how to handle the new features.</w:t>
      </w:r>
    </w:p>
    <w:p w:rsidR="007648F3" w:rsidRPr="007648F3" w:rsidRDefault="007648F3" w:rsidP="00B34B00">
      <w:pPr>
        <w:pStyle w:val="ListParagraph"/>
        <w:numPr>
          <w:ilvl w:val="0"/>
          <w:numId w:val="12"/>
        </w:numPr>
      </w:pPr>
      <w:r w:rsidRPr="007648F3">
        <w:t xml:space="preserve">Agree the proposals in section 3 that propose to re-use the process from LTE for mandatory features with capability </w:t>
      </w:r>
      <w:proofErr w:type="spellStart"/>
      <w:r w:rsidRPr="007648F3">
        <w:t>signalling</w:t>
      </w:r>
      <w:proofErr w:type="spellEnd"/>
      <w:r w:rsidRPr="007648F3">
        <w:t>.</w:t>
      </w:r>
    </w:p>
    <w:p w:rsidR="007648F3" w:rsidRPr="007648F3" w:rsidRDefault="001D6628" w:rsidP="00B34B00">
      <w:pPr>
        <w:pStyle w:val="ListParagraph"/>
        <w:numPr>
          <w:ilvl w:val="0"/>
          <w:numId w:val="12"/>
        </w:numPr>
      </w:pPr>
      <w:r>
        <w:t xml:space="preserve">Feedback from </w:t>
      </w:r>
      <w:r w:rsidR="006518C0">
        <w:t>3GPP members</w:t>
      </w:r>
      <w:r>
        <w:t xml:space="preserve"> is requested on the basic features agreed in section 4, in particular for TDD UL/DL configuration support by the UE</w:t>
      </w:r>
      <w:r w:rsidR="007648F3" w:rsidRPr="007648F3">
        <w:t>.</w:t>
      </w:r>
    </w:p>
    <w:p w:rsidR="000D7C72" w:rsidRDefault="000D7C72" w:rsidP="00B34B00"/>
    <w:p w:rsidR="000D7C72" w:rsidRDefault="007648F3" w:rsidP="00B34B00">
      <w:pPr>
        <w:pStyle w:val="Heading1"/>
      </w:pPr>
      <w:r>
        <w:t>6</w:t>
      </w:r>
      <w:r w:rsidR="000D7C72">
        <w:t>.</w:t>
      </w:r>
      <w:r w:rsidR="000D7C72">
        <w:tab/>
        <w:t>References</w:t>
      </w:r>
    </w:p>
    <w:p w:rsidR="000D7C72" w:rsidRPr="000D7C72" w:rsidRDefault="000D7C72" w:rsidP="00B34B00">
      <w:r w:rsidRPr="000D7C72">
        <w:t>[</w:t>
      </w:r>
      <w:r w:rsidR="007648F3">
        <w:t>1</w:t>
      </w:r>
      <w:r w:rsidRPr="000D7C72">
        <w:t>]</w:t>
      </w:r>
      <w:r w:rsidRPr="000D7C72">
        <w:tab/>
        <w:t>R1-1803480</w:t>
      </w:r>
      <w:r w:rsidR="007648F3">
        <w:t xml:space="preserve">, LS </w:t>
      </w:r>
      <w:r w:rsidR="006518C0">
        <w:t xml:space="preserve">on NR UE feature list, </w:t>
      </w:r>
      <w:r w:rsidR="006518C0" w:rsidRPr="006518C0">
        <w:rPr>
          <w:i/>
        </w:rPr>
        <w:t>RAN WG1</w:t>
      </w:r>
    </w:p>
    <w:sectPr w:rsidR="000D7C72" w:rsidRPr="000D7C72"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D80995"/>
    <w:multiLevelType w:val="hybridMultilevel"/>
    <w:tmpl w:val="2842F48C"/>
    <w:lvl w:ilvl="0" w:tplc="34FC12E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1574B4"/>
    <w:multiLevelType w:val="hybridMultilevel"/>
    <w:tmpl w:val="BF2ED71A"/>
    <w:lvl w:ilvl="0" w:tplc="9102793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C634A15"/>
    <w:multiLevelType w:val="hybridMultilevel"/>
    <w:tmpl w:val="9954A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AB3714F"/>
    <w:multiLevelType w:val="hybridMultilevel"/>
    <w:tmpl w:val="04569C82"/>
    <w:lvl w:ilvl="0" w:tplc="7306434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7"/>
  </w:num>
  <w:num w:numId="4">
    <w:abstractNumId w:val="6"/>
  </w:num>
  <w:num w:numId="5">
    <w:abstractNumId w:val="5"/>
  </w:num>
  <w:num w:numId="6">
    <w:abstractNumId w:val="0"/>
  </w:num>
  <w:num w:numId="7">
    <w:abstractNumId w:val="1"/>
  </w:num>
  <w:num w:numId="8">
    <w:abstractNumId w:val="4"/>
  </w:num>
  <w:num w:numId="9">
    <w:abstractNumId w:val="12"/>
  </w:num>
  <w:num w:numId="10">
    <w:abstractNumId w:val="8"/>
  </w:num>
  <w:num w:numId="11">
    <w:abstractNumId w:val="11"/>
  </w:num>
  <w:num w:numId="12">
    <w:abstractNumId w:val="14"/>
  </w:num>
  <w:num w:numId="13">
    <w:abstractNumId w:val="3"/>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D7C72"/>
    <w:rsid w:val="000E77D5"/>
    <w:rsid w:val="00133A31"/>
    <w:rsid w:val="00147BA6"/>
    <w:rsid w:val="00152E11"/>
    <w:rsid w:val="001D6628"/>
    <w:rsid w:val="00237828"/>
    <w:rsid w:val="00245669"/>
    <w:rsid w:val="00256686"/>
    <w:rsid w:val="002E65DF"/>
    <w:rsid w:val="002F2EC7"/>
    <w:rsid w:val="0032219D"/>
    <w:rsid w:val="003A6905"/>
    <w:rsid w:val="003C6D00"/>
    <w:rsid w:val="00413D47"/>
    <w:rsid w:val="00463ABD"/>
    <w:rsid w:val="00465ED3"/>
    <w:rsid w:val="004814C2"/>
    <w:rsid w:val="00514C30"/>
    <w:rsid w:val="005B238B"/>
    <w:rsid w:val="00615AD7"/>
    <w:rsid w:val="00623E39"/>
    <w:rsid w:val="006518C0"/>
    <w:rsid w:val="006E48AE"/>
    <w:rsid w:val="006F29A5"/>
    <w:rsid w:val="00722E9B"/>
    <w:rsid w:val="00727638"/>
    <w:rsid w:val="0073439A"/>
    <w:rsid w:val="007648F3"/>
    <w:rsid w:val="0079063A"/>
    <w:rsid w:val="007E5CE0"/>
    <w:rsid w:val="0081089F"/>
    <w:rsid w:val="00810A79"/>
    <w:rsid w:val="00825D45"/>
    <w:rsid w:val="00845797"/>
    <w:rsid w:val="00864B3A"/>
    <w:rsid w:val="0088321A"/>
    <w:rsid w:val="00885662"/>
    <w:rsid w:val="008A09A4"/>
    <w:rsid w:val="008B7A3F"/>
    <w:rsid w:val="00931357"/>
    <w:rsid w:val="00946524"/>
    <w:rsid w:val="009547DD"/>
    <w:rsid w:val="009711D6"/>
    <w:rsid w:val="009B4500"/>
    <w:rsid w:val="00A23121"/>
    <w:rsid w:val="00AA31C7"/>
    <w:rsid w:val="00B11D15"/>
    <w:rsid w:val="00B34B00"/>
    <w:rsid w:val="00B401D3"/>
    <w:rsid w:val="00B87B72"/>
    <w:rsid w:val="00BC1A0C"/>
    <w:rsid w:val="00BF537F"/>
    <w:rsid w:val="00C3597D"/>
    <w:rsid w:val="00C528E8"/>
    <w:rsid w:val="00C863FC"/>
    <w:rsid w:val="00C877BE"/>
    <w:rsid w:val="00C90679"/>
    <w:rsid w:val="00CA2C57"/>
    <w:rsid w:val="00CE0938"/>
    <w:rsid w:val="00D31F13"/>
    <w:rsid w:val="00D33C60"/>
    <w:rsid w:val="00D97B93"/>
    <w:rsid w:val="00DE4415"/>
    <w:rsid w:val="00E07DF7"/>
    <w:rsid w:val="00E266D3"/>
    <w:rsid w:val="00E65925"/>
    <w:rsid w:val="00E82F90"/>
    <w:rsid w:val="00EA16AF"/>
    <w:rsid w:val="00EC1DD9"/>
    <w:rsid w:val="00EC2E19"/>
    <w:rsid w:val="00F3704B"/>
    <w:rsid w:val="00F50D88"/>
    <w:rsid w:val="00F87322"/>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A716"/>
  <w15:docId w15:val="{5F62A934-B668-46B1-A7E9-3665B0BC8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34B00"/>
    <w:pPr>
      <w:widowControl w:val="0"/>
      <w:snapToGrid w:val="0"/>
      <w:spacing w:after="120"/>
      <w:jc w:val="left"/>
    </w:pPr>
    <w:rPr>
      <w:rFonts w:ascii="Times New Roman" w:eastAsia="SimSun" w:hAnsi="Times New Roman" w:cs="Times New Roman"/>
      <w:bCs/>
      <w:iCs/>
      <w:color w:val="000000"/>
      <w:sz w:val="20"/>
      <w:lang w:val="en-US" w:eastAsia="zh-CN"/>
    </w:rPr>
  </w:style>
  <w:style w:type="paragraph" w:styleId="Heading1">
    <w:name w:val="heading 1"/>
    <w:basedOn w:val="Normal"/>
    <w:next w:val="Normal"/>
    <w:link w:val="Heading1Char"/>
    <w:uiPriority w:val="9"/>
    <w:qFormat/>
    <w:rsid w:val="0079063A"/>
    <w:pPr>
      <w:pBdr>
        <w:top w:val="single" w:sz="8" w:space="1" w:color="auto"/>
      </w:pBdr>
      <w:outlineLvl w:val="0"/>
    </w:pPr>
    <w:rPr>
      <w:rFonts w:ascii="Arial" w:hAnsi="Arial"/>
      <w:bCs w:val="0"/>
      <w:sz w:val="32"/>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79063A"/>
    <w:rPr>
      <w:rFonts w:ascii="Arial" w:eastAsia="SimSun" w:hAnsi="Arial" w:cs="Times New Roman"/>
      <w:bCs/>
      <w:iCs/>
      <w:color w:val="000000"/>
      <w:sz w:val="32"/>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val="0"/>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1126">
      <w:bodyDiv w:val="1"/>
      <w:marLeft w:val="0"/>
      <w:marRight w:val="0"/>
      <w:marTop w:val="0"/>
      <w:marBottom w:val="0"/>
      <w:divBdr>
        <w:top w:val="none" w:sz="0" w:space="0" w:color="auto"/>
        <w:left w:val="none" w:sz="0" w:space="0" w:color="auto"/>
        <w:bottom w:val="none" w:sz="0" w:space="0" w:color="auto"/>
        <w:right w:val="none" w:sz="0" w:space="0" w:color="auto"/>
      </w:divBdr>
    </w:div>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8749613">
      <w:bodyDiv w:val="1"/>
      <w:marLeft w:val="0"/>
      <w:marRight w:val="0"/>
      <w:marTop w:val="0"/>
      <w:marBottom w:val="0"/>
      <w:divBdr>
        <w:top w:val="none" w:sz="0" w:space="0" w:color="auto"/>
        <w:left w:val="none" w:sz="0" w:space="0" w:color="auto"/>
        <w:bottom w:val="none" w:sz="0" w:space="0" w:color="auto"/>
        <w:right w:val="none" w:sz="0" w:space="0" w:color="auto"/>
      </w:divBdr>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556963749">
      <w:bodyDiv w:val="1"/>
      <w:marLeft w:val="0"/>
      <w:marRight w:val="0"/>
      <w:marTop w:val="0"/>
      <w:marBottom w:val="0"/>
      <w:divBdr>
        <w:top w:val="none" w:sz="0" w:space="0" w:color="auto"/>
        <w:left w:val="none" w:sz="0" w:space="0" w:color="auto"/>
        <w:bottom w:val="none" w:sz="0" w:space="0" w:color="auto"/>
        <w:right w:val="none" w:sz="0" w:space="0" w:color="auto"/>
      </w:divBdr>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740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Frost, Tim, Vodafone Group</cp:lastModifiedBy>
  <cp:revision>13</cp:revision>
  <dcterms:created xsi:type="dcterms:W3CDTF">2018-03-12T17:44:00Z</dcterms:created>
  <dcterms:modified xsi:type="dcterms:W3CDTF">2018-03-12T21:30:00Z</dcterms:modified>
</cp:coreProperties>
</file>