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515253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bookmarkStart w:id="0" w:name="_GoBack"/>
      <w:bookmarkEnd w:id="0"/>
      <w:r w:rsidRPr="00515253">
        <w:rPr>
          <w:noProof w:val="0"/>
          <w:sz w:val="24"/>
          <w:szCs w:val="24"/>
        </w:rPr>
        <w:t>3GPP T</w:t>
      </w:r>
      <w:bookmarkStart w:id="1" w:name="_Ref452454252"/>
      <w:bookmarkEnd w:id="1"/>
      <w:r w:rsidR="00614E33">
        <w:rPr>
          <w:noProof w:val="0"/>
          <w:sz w:val="24"/>
          <w:szCs w:val="24"/>
        </w:rPr>
        <w:t>SG-RAN</w:t>
      </w:r>
      <w:r w:rsidR="004006E8" w:rsidRPr="00515253">
        <w:rPr>
          <w:noProof w:val="0"/>
          <w:sz w:val="24"/>
          <w:szCs w:val="24"/>
        </w:rPr>
        <w:t>#</w:t>
      </w:r>
      <w:r w:rsidR="00070707">
        <w:rPr>
          <w:noProof w:val="0"/>
          <w:sz w:val="24"/>
          <w:szCs w:val="24"/>
        </w:rPr>
        <w:t>78</w:t>
      </w:r>
      <w:r w:rsidRPr="00515253">
        <w:rPr>
          <w:bCs/>
          <w:noProof w:val="0"/>
          <w:sz w:val="24"/>
          <w:szCs w:val="24"/>
        </w:rPr>
        <w:tab/>
      </w:r>
      <w:r w:rsidRPr="00515253">
        <w:rPr>
          <w:noProof w:val="0"/>
          <w:sz w:val="24"/>
          <w:szCs w:val="24"/>
        </w:rPr>
        <w:t>R</w:t>
      </w:r>
      <w:r w:rsidR="00C6266F" w:rsidRPr="00515253">
        <w:rPr>
          <w:noProof w:val="0"/>
          <w:sz w:val="24"/>
          <w:szCs w:val="24"/>
        </w:rPr>
        <w:t>P</w:t>
      </w:r>
      <w:r w:rsidRPr="00515253">
        <w:rPr>
          <w:noProof w:val="0"/>
          <w:sz w:val="24"/>
          <w:szCs w:val="24"/>
        </w:rPr>
        <w:t>-</w:t>
      </w:r>
      <w:r w:rsidR="00733281" w:rsidRPr="00515253">
        <w:rPr>
          <w:noProof w:val="0"/>
          <w:sz w:val="24"/>
          <w:szCs w:val="24"/>
        </w:rPr>
        <w:t>17</w:t>
      </w:r>
      <w:r w:rsidR="00733281">
        <w:rPr>
          <w:noProof w:val="0"/>
          <w:sz w:val="24"/>
          <w:szCs w:val="24"/>
        </w:rPr>
        <w:t>2562</w:t>
      </w:r>
    </w:p>
    <w:p w:rsidR="00CD4C7B" w:rsidRPr="00515253" w:rsidRDefault="00070707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Lisbon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Portugal, 18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December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2017</w:t>
      </w:r>
    </w:p>
    <w:p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:rsidR="00CD4C7B" w:rsidRPr="00515253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515253">
        <w:rPr>
          <w:rFonts w:cs="Arial"/>
          <w:b/>
          <w:bCs/>
          <w:sz w:val="24"/>
          <w:szCs w:val="24"/>
        </w:rPr>
        <w:t>Agenda item:</w:t>
      </w:r>
      <w:r w:rsidRPr="00515253">
        <w:rPr>
          <w:rFonts w:cs="Arial"/>
          <w:b/>
          <w:bCs/>
          <w:sz w:val="24"/>
        </w:rPr>
        <w:tab/>
      </w:r>
      <w:r w:rsidR="00771584">
        <w:rPr>
          <w:rFonts w:cs="Arial"/>
          <w:b/>
          <w:bCs/>
          <w:sz w:val="24"/>
          <w:szCs w:val="24"/>
          <w:lang w:eastAsia="ja-JP"/>
        </w:rPr>
        <w:t>9.2.1</w:t>
      </w:r>
    </w:p>
    <w:p w:rsidR="00CD4C7B" w:rsidRPr="0051525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Source:</w:t>
      </w:r>
      <w:r w:rsidRPr="00515253">
        <w:rPr>
          <w:rFonts w:ascii="Arial" w:hAnsi="Arial" w:cs="Arial"/>
          <w:b/>
          <w:bCs/>
          <w:sz w:val="24"/>
        </w:rPr>
        <w:tab/>
      </w:r>
      <w:r w:rsidR="001741A0" w:rsidRPr="00515253">
        <w:rPr>
          <w:rFonts w:ascii="Arial" w:hAnsi="Arial" w:cs="Arial"/>
          <w:b/>
          <w:bCs/>
          <w:sz w:val="24"/>
          <w:szCs w:val="24"/>
        </w:rPr>
        <w:t>Nokia</w:t>
      </w:r>
      <w:r w:rsidR="00090468" w:rsidRPr="00515253">
        <w:rPr>
          <w:rFonts w:ascii="Arial" w:hAnsi="Arial" w:cs="Arial"/>
          <w:b/>
          <w:bCs/>
          <w:sz w:val="24"/>
          <w:szCs w:val="24"/>
        </w:rPr>
        <w:t xml:space="preserve">, </w:t>
      </w:r>
      <w:r w:rsidR="00325AE3" w:rsidRPr="00515253">
        <w:rPr>
          <w:rFonts w:ascii="Arial" w:hAnsi="Arial" w:cs="Arial"/>
          <w:b/>
          <w:bCs/>
          <w:sz w:val="24"/>
          <w:szCs w:val="24"/>
        </w:rPr>
        <w:t>Nokia</w:t>
      </w:r>
      <w:r w:rsidR="00090468" w:rsidRPr="00515253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:rsidR="00CD4C7B" w:rsidRPr="0051525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Title:</w:t>
      </w:r>
      <w:r w:rsidRPr="00515253">
        <w:rPr>
          <w:rFonts w:ascii="Arial" w:hAnsi="Arial" w:cs="Arial"/>
          <w:b/>
          <w:bCs/>
          <w:sz w:val="24"/>
        </w:rPr>
        <w:tab/>
      </w:r>
      <w:r w:rsidR="00DA75C5">
        <w:rPr>
          <w:rFonts w:ascii="Arial" w:hAnsi="Arial" w:cs="Arial"/>
          <w:b/>
          <w:bCs/>
          <w:sz w:val="24"/>
          <w:szCs w:val="24"/>
        </w:rPr>
        <w:t>Rel</w:t>
      </w:r>
      <w:r w:rsidR="006A1B43">
        <w:rPr>
          <w:rFonts w:ascii="Arial" w:hAnsi="Arial" w:cs="Arial"/>
          <w:b/>
          <w:bCs/>
          <w:sz w:val="24"/>
          <w:szCs w:val="24"/>
        </w:rPr>
        <w:t>ease 15 NR Work</w:t>
      </w:r>
      <w:r w:rsidR="00070707">
        <w:rPr>
          <w:rFonts w:ascii="Arial" w:hAnsi="Arial" w:cs="Arial"/>
          <w:b/>
          <w:bCs/>
          <w:sz w:val="24"/>
          <w:szCs w:val="24"/>
        </w:rPr>
        <w:t xml:space="preserve"> for the architecture option </w:t>
      </w:r>
      <w:r w:rsidR="00D74257">
        <w:rPr>
          <w:rFonts w:ascii="Arial" w:hAnsi="Arial" w:cs="Arial"/>
          <w:b/>
          <w:bCs/>
          <w:sz w:val="24"/>
          <w:szCs w:val="24"/>
        </w:rPr>
        <w:t>4</w:t>
      </w:r>
    </w:p>
    <w:p w:rsidR="00CD4C7B" w:rsidRPr="0051525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Document for:</w:t>
      </w:r>
      <w:r w:rsidRPr="00515253">
        <w:rPr>
          <w:rFonts w:ascii="Arial" w:hAnsi="Arial" w:cs="Arial"/>
          <w:b/>
          <w:bCs/>
          <w:sz w:val="24"/>
        </w:rPr>
        <w:tab/>
      </w:r>
      <w:r w:rsidRPr="00515253">
        <w:rPr>
          <w:rFonts w:ascii="Arial" w:hAnsi="Arial" w:cs="Arial"/>
          <w:b/>
          <w:bCs/>
          <w:sz w:val="24"/>
          <w:szCs w:val="24"/>
        </w:rPr>
        <w:t>Discussion and Decision</w:t>
      </w:r>
    </w:p>
    <w:p w:rsidR="00CD4C7B" w:rsidRPr="00515253" w:rsidRDefault="00CD4C7B" w:rsidP="00CD4C7B">
      <w:pPr>
        <w:pStyle w:val="Heading1"/>
      </w:pPr>
      <w:r w:rsidRPr="00515253">
        <w:t>1</w:t>
      </w:r>
      <w:r w:rsidRPr="00515253">
        <w:tab/>
      </w:r>
      <w:r w:rsidR="0056573F" w:rsidRPr="00515253">
        <w:t>Introduction</w:t>
      </w:r>
    </w:p>
    <w:p w:rsidR="00CD4C7B" w:rsidRPr="00515253" w:rsidRDefault="00D00E15" w:rsidP="5A7F95BF">
      <w:r>
        <w:t xml:space="preserve">This contribution </w:t>
      </w:r>
      <w:r w:rsidR="00070707">
        <w:t>discuss</w:t>
      </w:r>
      <w:r w:rsidR="008E3DFF">
        <w:t>es</w:t>
      </w:r>
      <w:r w:rsidR="00070707">
        <w:t xml:space="preserve"> the expected work needed for the architecture option 4, on top of </w:t>
      </w:r>
      <w:r w:rsidR="008E3DFF">
        <w:t xml:space="preserve">the </w:t>
      </w:r>
      <w:r w:rsidR="00070707">
        <w:t>architecture options 3 and 2, and handling of</w:t>
      </w:r>
      <w:r w:rsidR="008E3DFF">
        <w:t xml:space="preserve"> the</w:t>
      </w:r>
      <w:r w:rsidR="00070707">
        <w:t xml:space="preserve"> architecture option </w:t>
      </w:r>
      <w:r w:rsidR="003F6C2F">
        <w:t>4 in Release 15</w:t>
      </w:r>
      <w:r w:rsidR="00AC7620">
        <w:t>.</w:t>
      </w:r>
    </w:p>
    <w:p w:rsidR="00CD4C7B" w:rsidRDefault="00CD4C7B" w:rsidP="5A7F95BF">
      <w:pPr>
        <w:pStyle w:val="Heading1"/>
      </w:pPr>
      <w:r w:rsidRPr="00515253">
        <w:t>2</w:t>
      </w:r>
      <w:r w:rsidRPr="00515253">
        <w:tab/>
      </w:r>
      <w:r w:rsidR="00070707">
        <w:t>Option 4 required work</w:t>
      </w:r>
    </w:p>
    <w:p w:rsidR="00070707" w:rsidRDefault="00070707" w:rsidP="006A1B43">
      <w:r>
        <w:t xml:space="preserve">The current work has been focusing on </w:t>
      </w:r>
      <w:r w:rsidR="008E3DFF">
        <w:t xml:space="preserve">the </w:t>
      </w:r>
      <w:r>
        <w:t>architecture option 3, with the first full set of specifications expected to be approved in this meeting. Afterwards the focus will be in option 2, as discussed in RAN#77.</w:t>
      </w:r>
    </w:p>
    <w:p w:rsidR="00070707" w:rsidRDefault="00070707" w:rsidP="006A1B43">
      <w:r>
        <w:t xml:space="preserve">For the option 4, on top of architecture option 2. the following </w:t>
      </w:r>
      <w:r w:rsidR="00D50CAE">
        <w:t xml:space="preserve">additions would </w:t>
      </w:r>
      <w:r>
        <w:t xml:space="preserve">be </w:t>
      </w:r>
      <w:r w:rsidR="00D50CAE">
        <w:t>needed</w:t>
      </w:r>
      <w:r w:rsidR="008E3DFF">
        <w:t>:</w:t>
      </w:r>
    </w:p>
    <w:p w:rsidR="00070707" w:rsidRDefault="00070707" w:rsidP="00070707">
      <w:pPr>
        <w:pStyle w:val="ListParagraph"/>
        <w:numPr>
          <w:ilvl w:val="0"/>
          <w:numId w:val="10"/>
        </w:numPr>
      </w:pPr>
      <w:r>
        <w:t>For the interface between gNB and NG-Core, there seems no additional work to be needed</w:t>
      </w:r>
    </w:p>
    <w:p w:rsidR="00070707" w:rsidRDefault="00070707" w:rsidP="00070707">
      <w:pPr>
        <w:pStyle w:val="ListParagraph"/>
        <w:numPr>
          <w:ilvl w:val="0"/>
          <w:numId w:val="10"/>
        </w:numPr>
      </w:pPr>
      <w:r>
        <w:t>For the L1 between UE and gNB, there seems no additional work to be needed</w:t>
      </w:r>
    </w:p>
    <w:p w:rsidR="00070707" w:rsidRDefault="00D50CAE" w:rsidP="00070707">
      <w:pPr>
        <w:pStyle w:val="ListParagraph"/>
        <w:numPr>
          <w:ilvl w:val="0"/>
          <w:numId w:val="10"/>
        </w:numPr>
      </w:pPr>
      <w:r>
        <w:t>For the RRC signalling</w:t>
      </w:r>
      <w:r w:rsidR="00070707">
        <w:t xml:space="preserve"> between UE and gNB, the additional elements would seem to be:</w:t>
      </w:r>
    </w:p>
    <w:p w:rsidR="00070707" w:rsidRDefault="00070707" w:rsidP="00070707">
      <w:pPr>
        <w:pStyle w:val="ListParagraph"/>
        <w:numPr>
          <w:ilvl w:val="1"/>
          <w:numId w:val="10"/>
        </w:numPr>
      </w:pPr>
      <w:r>
        <w:t>UE capability (informing the UE is capable of dual connectivity with LTE</w:t>
      </w:r>
      <w:r w:rsidR="00D50CAE">
        <w:t>, RAN2 work</w:t>
      </w:r>
      <w:r>
        <w:t>)</w:t>
      </w:r>
    </w:p>
    <w:p w:rsidR="00070707" w:rsidRDefault="00D50CAE" w:rsidP="00070707">
      <w:pPr>
        <w:pStyle w:val="ListParagraph"/>
        <w:numPr>
          <w:ilvl w:val="1"/>
          <w:numId w:val="10"/>
        </w:numPr>
      </w:pPr>
      <w:r>
        <w:t>Providing UE the LTE parameters (in a container, with parameters well known from the LTE specifications already beforehand, RAN2 work)</w:t>
      </w:r>
    </w:p>
    <w:p w:rsidR="00D50CAE" w:rsidRDefault="00D50CAE" w:rsidP="00D50CAE">
      <w:pPr>
        <w:pStyle w:val="ListParagraph"/>
        <w:numPr>
          <w:ilvl w:val="0"/>
          <w:numId w:val="10"/>
        </w:numPr>
      </w:pPr>
      <w:r>
        <w:t>The dual connectivity procedures would need to be checked, if there would be some changes needed for the details introduced for the option 3 case (RAN2 &amp; RAN3 work)</w:t>
      </w:r>
    </w:p>
    <w:p w:rsidR="00D50CAE" w:rsidRDefault="00D50CAE" w:rsidP="006A1B43"/>
    <w:p w:rsidR="00DC6DE2" w:rsidRDefault="00DC6DE2" w:rsidP="00DC6DE2">
      <w:pPr>
        <w:jc w:val="center"/>
      </w:pPr>
    </w:p>
    <w:p w:rsidR="00C37A01" w:rsidRDefault="00C37A01" w:rsidP="00DC6DE2">
      <w:pPr>
        <w:jc w:val="center"/>
      </w:pPr>
      <w:r w:rsidRPr="00C37A01">
        <w:lastRenderedPageBreak/>
        <w:drawing>
          <wp:inline distT="0" distB="0" distL="0" distR="0">
            <wp:extent cx="2571750" cy="36290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DE2" w:rsidRDefault="00DC6DE2" w:rsidP="00DC6DE2">
      <w:pPr>
        <w:jc w:val="center"/>
      </w:pPr>
      <w:r>
        <w:t>Figure 1. Options 2 and 4.</w:t>
      </w:r>
    </w:p>
    <w:p w:rsidR="00DC6DE2" w:rsidRDefault="00DC6DE2" w:rsidP="006A1B43"/>
    <w:p w:rsidR="006A1B43" w:rsidRDefault="006A1B43" w:rsidP="006A1B43">
      <w:r w:rsidRPr="006A1B43">
        <w:rPr>
          <w:b/>
        </w:rPr>
        <w:t>Observation 1:</w:t>
      </w:r>
      <w:r>
        <w:t xml:space="preserve"> In our view</w:t>
      </w:r>
      <w:r w:rsidR="008E3DFF">
        <w:t>,</w:t>
      </w:r>
      <w:r>
        <w:t xml:space="preserve"> </w:t>
      </w:r>
      <w:r w:rsidR="00D50CAE">
        <w:t xml:space="preserve">the extra effort for </w:t>
      </w:r>
      <w:r w:rsidR="008E3DFF">
        <w:t xml:space="preserve">the </w:t>
      </w:r>
      <w:r w:rsidR="00D50CAE">
        <w:t xml:space="preserve">option 4 (on top of </w:t>
      </w:r>
      <w:r w:rsidR="008E3DFF">
        <w:t xml:space="preserve">the </w:t>
      </w:r>
      <w:r w:rsidR="00D50CAE">
        <w:t>option 2) needed is straightforward and relatively limited</w:t>
      </w:r>
      <w:r>
        <w:t>.</w:t>
      </w:r>
    </w:p>
    <w:p w:rsidR="00D50CAE" w:rsidRDefault="00D50CAE" w:rsidP="006A1B43">
      <w:r>
        <w:t xml:space="preserve">With this being the case, and once </w:t>
      </w:r>
      <w:r w:rsidR="008E3DFF">
        <w:t xml:space="preserve">the </w:t>
      </w:r>
      <w:r>
        <w:t xml:space="preserve">option 2 work progresses during </w:t>
      </w:r>
      <w:r w:rsidR="00030FF4">
        <w:t>Q1/</w:t>
      </w:r>
      <w:r>
        <w:t>2018, it is suggested to further evaluat</w:t>
      </w:r>
      <w:r w:rsidR="008E3DFF">
        <w:t>e</w:t>
      </w:r>
      <w:r>
        <w:t xml:space="preserve"> in TSG RAN#79 if </w:t>
      </w:r>
      <w:r w:rsidR="008E3DFF">
        <w:t xml:space="preserve">the </w:t>
      </w:r>
      <w:r>
        <w:t>option 4 could be</w:t>
      </w:r>
      <w:r w:rsidR="00030FF4">
        <w:t>:</w:t>
      </w:r>
    </w:p>
    <w:p w:rsidR="00D50CAE" w:rsidRDefault="00D50CAE" w:rsidP="00D50CAE">
      <w:pPr>
        <w:pStyle w:val="ListParagraph"/>
        <w:numPr>
          <w:ilvl w:val="0"/>
          <w:numId w:val="11"/>
        </w:numPr>
      </w:pPr>
      <w:r>
        <w:t>Considered to be covered in connection with</w:t>
      </w:r>
      <w:r w:rsidR="008E3DFF">
        <w:t xml:space="preserve"> the</w:t>
      </w:r>
      <w:r>
        <w:t xml:space="preserve"> option 2 finalization June/September 2018.</w:t>
      </w:r>
    </w:p>
    <w:p w:rsidR="00D50CAE" w:rsidRDefault="00D50CAE" w:rsidP="00030FF4">
      <w:pPr>
        <w:pStyle w:val="ListParagraph"/>
      </w:pPr>
    </w:p>
    <w:p w:rsidR="00D50CAE" w:rsidRPr="00D50CAE" w:rsidRDefault="00D50CAE" w:rsidP="006A1B43">
      <w:pPr>
        <w:rPr>
          <w:b/>
        </w:rPr>
      </w:pPr>
      <w:r w:rsidRPr="00D50CAE">
        <w:rPr>
          <w:b/>
        </w:rPr>
        <w:t>Proposal 1</w:t>
      </w:r>
      <w:r w:rsidR="008E3DFF">
        <w:rPr>
          <w:b/>
        </w:rPr>
        <w:t>:</w:t>
      </w:r>
    </w:p>
    <w:p w:rsidR="00067C50" w:rsidRDefault="00D50CAE" w:rsidP="006A1B43">
      <w:r>
        <w:t xml:space="preserve">Reconsider the option 4 </w:t>
      </w:r>
      <w:r w:rsidR="00E20BC3">
        <w:t>priority</w:t>
      </w:r>
      <w:r>
        <w:t xml:space="preserve"> to allow progress immediately after the corresponding areas of option 2 have been completed, with evaluation of the progress in TSG RAN#79 in March 2018. </w:t>
      </w:r>
    </w:p>
    <w:p w:rsidR="00CD4C7B" w:rsidRPr="00515253" w:rsidRDefault="0051154F" w:rsidP="00E20BC3">
      <w:pPr>
        <w:pStyle w:val="Heading1"/>
        <w:ind w:left="0" w:firstLine="0"/>
      </w:pPr>
      <w:r w:rsidRPr="00515253">
        <w:t xml:space="preserve"> </w:t>
      </w:r>
    </w:p>
    <w:p w:rsidR="00CD4C7B" w:rsidRPr="00515253" w:rsidRDefault="00AD1C9D" w:rsidP="5A7F95BF">
      <w:pPr>
        <w:pStyle w:val="Heading1"/>
      </w:pPr>
      <w:r>
        <w:t>3</w:t>
      </w:r>
      <w:r w:rsidR="00CD4C7B" w:rsidRPr="00515253">
        <w:tab/>
      </w:r>
      <w:r>
        <w:t>Conclusion</w:t>
      </w:r>
    </w:p>
    <w:p w:rsidR="00CD4C7B" w:rsidRDefault="00246E8D" w:rsidP="5A7F95BF">
      <w:r>
        <w:t xml:space="preserve">In order to maximise the </w:t>
      </w:r>
      <w:r w:rsidR="00DA64EA">
        <w:t>practical performance of the Release 15 5G, it is proposed to</w:t>
      </w:r>
      <w:r w:rsidR="004E7B6A">
        <w:t>:</w:t>
      </w:r>
    </w:p>
    <w:p w:rsidR="00DA64EA" w:rsidRDefault="00DA64EA" w:rsidP="00DA64EA">
      <w:pPr>
        <w:rPr>
          <w:b/>
        </w:rPr>
      </w:pPr>
      <w:r w:rsidRPr="00DA64EA">
        <w:rPr>
          <w:b/>
        </w:rPr>
        <w:t xml:space="preserve">Reconsider the option 4 priority to allow </w:t>
      </w:r>
      <w:r w:rsidR="00FF6F9B">
        <w:rPr>
          <w:b/>
        </w:rPr>
        <w:t xml:space="preserve">it </w:t>
      </w:r>
      <w:r w:rsidRPr="00DA64EA">
        <w:rPr>
          <w:b/>
        </w:rPr>
        <w:t>progress</w:t>
      </w:r>
      <w:r w:rsidR="00DD679D">
        <w:rPr>
          <w:b/>
        </w:rPr>
        <w:t>ing</w:t>
      </w:r>
      <w:r w:rsidRPr="00DA64EA">
        <w:rPr>
          <w:b/>
        </w:rPr>
        <w:t xml:space="preserve"> immediately after the corresponding areas of option 2 have been completed, with evaluation of the progress in TSG RAN#79 in March 2018. </w:t>
      </w:r>
    </w:p>
    <w:sectPr w:rsidR="00DA64EA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5DB" w:rsidRDefault="004025DB">
      <w:r>
        <w:separator/>
      </w:r>
    </w:p>
  </w:endnote>
  <w:endnote w:type="continuationSeparator" w:id="0">
    <w:p w:rsidR="004025DB" w:rsidRDefault="004025DB">
      <w:r>
        <w:continuationSeparator/>
      </w:r>
    </w:p>
  </w:endnote>
  <w:endnote w:type="continuationNotice" w:id="1">
    <w:p w:rsidR="004025DB" w:rsidRDefault="004025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5DB" w:rsidRDefault="004025DB">
      <w:r>
        <w:separator/>
      </w:r>
    </w:p>
  </w:footnote>
  <w:footnote w:type="continuationSeparator" w:id="0">
    <w:p w:rsidR="004025DB" w:rsidRDefault="004025DB">
      <w:r>
        <w:continuationSeparator/>
      </w:r>
    </w:p>
  </w:footnote>
  <w:footnote w:type="continuationNotice" w:id="1">
    <w:p w:rsidR="004025DB" w:rsidRDefault="004025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 w15:restartNumberingAfterBreak="0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9"/>
  </w:num>
  <w:num w:numId="9">
    <w:abstractNumId w:val="3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BD8"/>
    <w:rsid w:val="00012AC0"/>
    <w:rsid w:val="00022284"/>
    <w:rsid w:val="00030FF4"/>
    <w:rsid w:val="00032DFC"/>
    <w:rsid w:val="00033397"/>
    <w:rsid w:val="00035CDF"/>
    <w:rsid w:val="00040095"/>
    <w:rsid w:val="00042F07"/>
    <w:rsid w:val="00067C50"/>
    <w:rsid w:val="00070707"/>
    <w:rsid w:val="00080512"/>
    <w:rsid w:val="00090468"/>
    <w:rsid w:val="000960D2"/>
    <w:rsid w:val="0009628D"/>
    <w:rsid w:val="00096968"/>
    <w:rsid w:val="000B7BCF"/>
    <w:rsid w:val="000C522B"/>
    <w:rsid w:val="000D58AB"/>
    <w:rsid w:val="000F466B"/>
    <w:rsid w:val="001000A2"/>
    <w:rsid w:val="001009AE"/>
    <w:rsid w:val="0010183C"/>
    <w:rsid w:val="00110055"/>
    <w:rsid w:val="00110B81"/>
    <w:rsid w:val="001118DA"/>
    <w:rsid w:val="00112F1A"/>
    <w:rsid w:val="0011537F"/>
    <w:rsid w:val="00120271"/>
    <w:rsid w:val="00120C3B"/>
    <w:rsid w:val="00143283"/>
    <w:rsid w:val="00145075"/>
    <w:rsid w:val="00173A39"/>
    <w:rsid w:val="001741A0"/>
    <w:rsid w:val="001812A9"/>
    <w:rsid w:val="00194CD0"/>
    <w:rsid w:val="001A3F19"/>
    <w:rsid w:val="001A53E7"/>
    <w:rsid w:val="001A5476"/>
    <w:rsid w:val="001B257F"/>
    <w:rsid w:val="001B49C9"/>
    <w:rsid w:val="001C0B48"/>
    <w:rsid w:val="001C4F79"/>
    <w:rsid w:val="001D5E27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2606D"/>
    <w:rsid w:val="00230A1B"/>
    <w:rsid w:val="00233493"/>
    <w:rsid w:val="00236C36"/>
    <w:rsid w:val="00237985"/>
    <w:rsid w:val="002410E3"/>
    <w:rsid w:val="00246E8D"/>
    <w:rsid w:val="00256A7A"/>
    <w:rsid w:val="00264090"/>
    <w:rsid w:val="002708BF"/>
    <w:rsid w:val="002747EC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C42BC"/>
    <w:rsid w:val="002C7D14"/>
    <w:rsid w:val="002D049B"/>
    <w:rsid w:val="002D5EB5"/>
    <w:rsid w:val="002F0CEC"/>
    <w:rsid w:val="002F0D22"/>
    <w:rsid w:val="003058E9"/>
    <w:rsid w:val="00310439"/>
    <w:rsid w:val="003172DC"/>
    <w:rsid w:val="00325AE3"/>
    <w:rsid w:val="00326069"/>
    <w:rsid w:val="00331559"/>
    <w:rsid w:val="00332AC1"/>
    <w:rsid w:val="00333166"/>
    <w:rsid w:val="003410D7"/>
    <w:rsid w:val="00345098"/>
    <w:rsid w:val="00353D1F"/>
    <w:rsid w:val="0035462D"/>
    <w:rsid w:val="0036147B"/>
    <w:rsid w:val="003742D4"/>
    <w:rsid w:val="0039049C"/>
    <w:rsid w:val="00396BB3"/>
    <w:rsid w:val="003A1967"/>
    <w:rsid w:val="003A2153"/>
    <w:rsid w:val="003A2E85"/>
    <w:rsid w:val="003A53CD"/>
    <w:rsid w:val="003B40AD"/>
    <w:rsid w:val="003B5581"/>
    <w:rsid w:val="003C4E37"/>
    <w:rsid w:val="003D44E5"/>
    <w:rsid w:val="003E0D14"/>
    <w:rsid w:val="003E16BE"/>
    <w:rsid w:val="003E4554"/>
    <w:rsid w:val="003F0741"/>
    <w:rsid w:val="003F4691"/>
    <w:rsid w:val="003F6C2F"/>
    <w:rsid w:val="004006E8"/>
    <w:rsid w:val="00401855"/>
    <w:rsid w:val="004025DB"/>
    <w:rsid w:val="00403B9A"/>
    <w:rsid w:val="00410280"/>
    <w:rsid w:val="004173FB"/>
    <w:rsid w:val="00417D84"/>
    <w:rsid w:val="00421F81"/>
    <w:rsid w:val="0043026D"/>
    <w:rsid w:val="00434EDA"/>
    <w:rsid w:val="004362F0"/>
    <w:rsid w:val="00445B38"/>
    <w:rsid w:val="004502A1"/>
    <w:rsid w:val="004568DA"/>
    <w:rsid w:val="00463BAD"/>
    <w:rsid w:val="00471A93"/>
    <w:rsid w:val="00477455"/>
    <w:rsid w:val="0048046E"/>
    <w:rsid w:val="00484B83"/>
    <w:rsid w:val="004906C8"/>
    <w:rsid w:val="00492C50"/>
    <w:rsid w:val="00495FA8"/>
    <w:rsid w:val="004A7594"/>
    <w:rsid w:val="004C2033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5000F1"/>
    <w:rsid w:val="00503171"/>
    <w:rsid w:val="00506C28"/>
    <w:rsid w:val="0051154F"/>
    <w:rsid w:val="00515253"/>
    <w:rsid w:val="00527C13"/>
    <w:rsid w:val="00531B0A"/>
    <w:rsid w:val="00534DA0"/>
    <w:rsid w:val="0054110C"/>
    <w:rsid w:val="00543E6C"/>
    <w:rsid w:val="00546675"/>
    <w:rsid w:val="00547140"/>
    <w:rsid w:val="00565087"/>
    <w:rsid w:val="0056573F"/>
    <w:rsid w:val="00566641"/>
    <w:rsid w:val="0057552B"/>
    <w:rsid w:val="00583F64"/>
    <w:rsid w:val="005B1EF8"/>
    <w:rsid w:val="005E1DD4"/>
    <w:rsid w:val="00604F8F"/>
    <w:rsid w:val="00611566"/>
    <w:rsid w:val="00613174"/>
    <w:rsid w:val="00614E33"/>
    <w:rsid w:val="00616DA8"/>
    <w:rsid w:val="0063417E"/>
    <w:rsid w:val="006431F5"/>
    <w:rsid w:val="00646D99"/>
    <w:rsid w:val="00651F6B"/>
    <w:rsid w:val="00656910"/>
    <w:rsid w:val="00665543"/>
    <w:rsid w:val="00683504"/>
    <w:rsid w:val="006A1B43"/>
    <w:rsid w:val="006A5259"/>
    <w:rsid w:val="006C66D8"/>
    <w:rsid w:val="006D00EB"/>
    <w:rsid w:val="006D1E24"/>
    <w:rsid w:val="006D6E48"/>
    <w:rsid w:val="006E1417"/>
    <w:rsid w:val="006E4EF7"/>
    <w:rsid w:val="006F14EA"/>
    <w:rsid w:val="006F4258"/>
    <w:rsid w:val="006F4F29"/>
    <w:rsid w:val="006F6A2C"/>
    <w:rsid w:val="00710201"/>
    <w:rsid w:val="00724702"/>
    <w:rsid w:val="007318A8"/>
    <w:rsid w:val="00731BA5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6720"/>
    <w:rsid w:val="007577D8"/>
    <w:rsid w:val="00757D40"/>
    <w:rsid w:val="00764677"/>
    <w:rsid w:val="00771584"/>
    <w:rsid w:val="007811A7"/>
    <w:rsid w:val="00781F0F"/>
    <w:rsid w:val="00786EC7"/>
    <w:rsid w:val="0078727C"/>
    <w:rsid w:val="00790415"/>
    <w:rsid w:val="0079049D"/>
    <w:rsid w:val="007A1CF2"/>
    <w:rsid w:val="007A60F9"/>
    <w:rsid w:val="007B039C"/>
    <w:rsid w:val="007B0540"/>
    <w:rsid w:val="007B18D8"/>
    <w:rsid w:val="007C095F"/>
    <w:rsid w:val="007C2B10"/>
    <w:rsid w:val="007D514C"/>
    <w:rsid w:val="007F480E"/>
    <w:rsid w:val="008028A4"/>
    <w:rsid w:val="008047DA"/>
    <w:rsid w:val="00805729"/>
    <w:rsid w:val="00813245"/>
    <w:rsid w:val="008255C8"/>
    <w:rsid w:val="008278A9"/>
    <w:rsid w:val="00836F3D"/>
    <w:rsid w:val="00840FE2"/>
    <w:rsid w:val="00843CF6"/>
    <w:rsid w:val="00851E5D"/>
    <w:rsid w:val="008567C6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5CC3"/>
    <w:rsid w:val="008A68A6"/>
    <w:rsid w:val="008B5306"/>
    <w:rsid w:val="008D3E9F"/>
    <w:rsid w:val="008D5E25"/>
    <w:rsid w:val="008E1380"/>
    <w:rsid w:val="008E3DFF"/>
    <w:rsid w:val="008E3E52"/>
    <w:rsid w:val="008F0EC1"/>
    <w:rsid w:val="008F2B9B"/>
    <w:rsid w:val="0090271F"/>
    <w:rsid w:val="00902DB9"/>
    <w:rsid w:val="0090466A"/>
    <w:rsid w:val="00906980"/>
    <w:rsid w:val="00921575"/>
    <w:rsid w:val="00936071"/>
    <w:rsid w:val="00940212"/>
    <w:rsid w:val="00942EC2"/>
    <w:rsid w:val="00943417"/>
    <w:rsid w:val="0094440C"/>
    <w:rsid w:val="0094499A"/>
    <w:rsid w:val="00956BA6"/>
    <w:rsid w:val="00960CE5"/>
    <w:rsid w:val="00961B32"/>
    <w:rsid w:val="0096740F"/>
    <w:rsid w:val="00970DB3"/>
    <w:rsid w:val="00974BB0"/>
    <w:rsid w:val="0097756F"/>
    <w:rsid w:val="00986342"/>
    <w:rsid w:val="0099369A"/>
    <w:rsid w:val="009A0AF3"/>
    <w:rsid w:val="009A407D"/>
    <w:rsid w:val="009B07CD"/>
    <w:rsid w:val="009C19E9"/>
    <w:rsid w:val="009C4414"/>
    <w:rsid w:val="009D01F9"/>
    <w:rsid w:val="009D2296"/>
    <w:rsid w:val="009D416A"/>
    <w:rsid w:val="009D74A6"/>
    <w:rsid w:val="009F1197"/>
    <w:rsid w:val="00A07F3B"/>
    <w:rsid w:val="00A10F02"/>
    <w:rsid w:val="00A204CA"/>
    <w:rsid w:val="00A21E37"/>
    <w:rsid w:val="00A31C20"/>
    <w:rsid w:val="00A320FC"/>
    <w:rsid w:val="00A43364"/>
    <w:rsid w:val="00A53724"/>
    <w:rsid w:val="00A603BB"/>
    <w:rsid w:val="00A62816"/>
    <w:rsid w:val="00A82346"/>
    <w:rsid w:val="00A84E14"/>
    <w:rsid w:val="00A86647"/>
    <w:rsid w:val="00A9671C"/>
    <w:rsid w:val="00AA1553"/>
    <w:rsid w:val="00AA7572"/>
    <w:rsid w:val="00AB1878"/>
    <w:rsid w:val="00AB5E7A"/>
    <w:rsid w:val="00AC1C8D"/>
    <w:rsid w:val="00AC7620"/>
    <w:rsid w:val="00AD1C9D"/>
    <w:rsid w:val="00AE58EC"/>
    <w:rsid w:val="00B0415E"/>
    <w:rsid w:val="00B112A5"/>
    <w:rsid w:val="00B15449"/>
    <w:rsid w:val="00B1778E"/>
    <w:rsid w:val="00B259B4"/>
    <w:rsid w:val="00B3144D"/>
    <w:rsid w:val="00B47FD1"/>
    <w:rsid w:val="00B516BB"/>
    <w:rsid w:val="00B84F58"/>
    <w:rsid w:val="00BA1087"/>
    <w:rsid w:val="00BA50D3"/>
    <w:rsid w:val="00BA620C"/>
    <w:rsid w:val="00BC2FCD"/>
    <w:rsid w:val="00BC68A2"/>
    <w:rsid w:val="00BD0A2F"/>
    <w:rsid w:val="00BD7305"/>
    <w:rsid w:val="00BD7AB8"/>
    <w:rsid w:val="00BE3427"/>
    <w:rsid w:val="00BE3C41"/>
    <w:rsid w:val="00C1237F"/>
    <w:rsid w:val="00C12B51"/>
    <w:rsid w:val="00C1497D"/>
    <w:rsid w:val="00C21883"/>
    <w:rsid w:val="00C24650"/>
    <w:rsid w:val="00C300E7"/>
    <w:rsid w:val="00C30D6C"/>
    <w:rsid w:val="00C33079"/>
    <w:rsid w:val="00C3423B"/>
    <w:rsid w:val="00C37A01"/>
    <w:rsid w:val="00C43FFE"/>
    <w:rsid w:val="00C57E06"/>
    <w:rsid w:val="00C6266F"/>
    <w:rsid w:val="00C83A13"/>
    <w:rsid w:val="00C9068C"/>
    <w:rsid w:val="00C92967"/>
    <w:rsid w:val="00CA3D0C"/>
    <w:rsid w:val="00CA654B"/>
    <w:rsid w:val="00CA7DA6"/>
    <w:rsid w:val="00CB6BF1"/>
    <w:rsid w:val="00CC0104"/>
    <w:rsid w:val="00CC4B17"/>
    <w:rsid w:val="00CD48C5"/>
    <w:rsid w:val="00CD4C7B"/>
    <w:rsid w:val="00D00E15"/>
    <w:rsid w:val="00D018DF"/>
    <w:rsid w:val="00D162FE"/>
    <w:rsid w:val="00D17A5E"/>
    <w:rsid w:val="00D323CA"/>
    <w:rsid w:val="00D375A1"/>
    <w:rsid w:val="00D42C14"/>
    <w:rsid w:val="00D44064"/>
    <w:rsid w:val="00D50CAE"/>
    <w:rsid w:val="00D67D24"/>
    <w:rsid w:val="00D738D6"/>
    <w:rsid w:val="00D74257"/>
    <w:rsid w:val="00D80795"/>
    <w:rsid w:val="00D854BE"/>
    <w:rsid w:val="00D87CDC"/>
    <w:rsid w:val="00D87E00"/>
    <w:rsid w:val="00D912F6"/>
    <w:rsid w:val="00D9134D"/>
    <w:rsid w:val="00D946CD"/>
    <w:rsid w:val="00D96D11"/>
    <w:rsid w:val="00D97208"/>
    <w:rsid w:val="00D97C75"/>
    <w:rsid w:val="00DA34C8"/>
    <w:rsid w:val="00DA42FD"/>
    <w:rsid w:val="00DA64EA"/>
    <w:rsid w:val="00DA75C5"/>
    <w:rsid w:val="00DA7A03"/>
    <w:rsid w:val="00DA7A2B"/>
    <w:rsid w:val="00DB1818"/>
    <w:rsid w:val="00DB21E4"/>
    <w:rsid w:val="00DC309B"/>
    <w:rsid w:val="00DC4DA2"/>
    <w:rsid w:val="00DC6DE2"/>
    <w:rsid w:val="00DD679D"/>
    <w:rsid w:val="00DD760C"/>
    <w:rsid w:val="00DE15C5"/>
    <w:rsid w:val="00DE35EE"/>
    <w:rsid w:val="00DF06D0"/>
    <w:rsid w:val="00E06C0F"/>
    <w:rsid w:val="00E07E69"/>
    <w:rsid w:val="00E138A4"/>
    <w:rsid w:val="00E16137"/>
    <w:rsid w:val="00E20BC3"/>
    <w:rsid w:val="00E20C53"/>
    <w:rsid w:val="00E43A98"/>
    <w:rsid w:val="00E62835"/>
    <w:rsid w:val="00E644D9"/>
    <w:rsid w:val="00E64FB8"/>
    <w:rsid w:val="00E659D3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352C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2026E"/>
    <w:rsid w:val="00F215F7"/>
    <w:rsid w:val="00F2210A"/>
    <w:rsid w:val="00F34EE0"/>
    <w:rsid w:val="00F353B7"/>
    <w:rsid w:val="00F37743"/>
    <w:rsid w:val="00F54A3D"/>
    <w:rsid w:val="00F54CB0"/>
    <w:rsid w:val="00F653B8"/>
    <w:rsid w:val="00F65FDB"/>
    <w:rsid w:val="00F71B89"/>
    <w:rsid w:val="00F7353C"/>
    <w:rsid w:val="00F76341"/>
    <w:rsid w:val="00F76F8F"/>
    <w:rsid w:val="00F96E16"/>
    <w:rsid w:val="00F97817"/>
    <w:rsid w:val="00FA1266"/>
    <w:rsid w:val="00FA767F"/>
    <w:rsid w:val="00FB0AA9"/>
    <w:rsid w:val="00FB36FA"/>
    <w:rsid w:val="00FC1192"/>
    <w:rsid w:val="00FC1390"/>
    <w:rsid w:val="00FC394A"/>
    <w:rsid w:val="00FC4A23"/>
    <w:rsid w:val="00FD7411"/>
    <w:rsid w:val="00FF431E"/>
    <w:rsid w:val="00FF6F9B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498D0A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A80F9D-A68B-4F3E-B786-00BE1E06B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251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2289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Toskala, Antti (Nokia - FI/Espoo)</cp:lastModifiedBy>
  <cp:revision>3</cp:revision>
  <dcterms:created xsi:type="dcterms:W3CDTF">2017-12-11T14:32:00Z</dcterms:created>
  <dcterms:modified xsi:type="dcterms:W3CDTF">2017-12-11T14:34:00Z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