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1D01B9">
      <w:pPr>
        <w:pStyle w:val="CRCoverPage"/>
        <w:tabs>
          <w:tab w:val="right" w:pos="9639"/>
          <w:tab w:val="right" w:pos="13323"/>
        </w:tabs>
        <w:spacing w:after="0"/>
        <w:rPr>
          <w:rFonts w:cs="Arial"/>
          <w:b/>
          <w:noProof/>
          <w:sz w:val="24"/>
          <w:szCs w:val="24"/>
        </w:rPr>
      </w:pPr>
      <w:r>
        <w:rPr>
          <w:rFonts w:cs="Arial"/>
          <w:b/>
          <w:noProof/>
          <w:sz w:val="24"/>
          <w:szCs w:val="24"/>
        </w:rPr>
        <w:t>3GPP TSG RAN Meeting #</w:t>
      </w:r>
      <w:r w:rsidR="00C85D12">
        <w:rPr>
          <w:rFonts w:cs="Arial"/>
          <w:b/>
          <w:noProof/>
          <w:sz w:val="24"/>
          <w:szCs w:val="24"/>
        </w:rPr>
        <w:t>72</w:t>
      </w:r>
      <w:r>
        <w:rPr>
          <w:rFonts w:cs="Arial"/>
          <w:b/>
          <w:noProof/>
          <w:sz w:val="24"/>
          <w:szCs w:val="24"/>
        </w:rPr>
        <w:tab/>
      </w:r>
      <w:r w:rsidR="00C02D41">
        <w:rPr>
          <w:rFonts w:cs="Arial"/>
          <w:b/>
          <w:noProof/>
          <w:sz w:val="24"/>
          <w:szCs w:val="24"/>
        </w:rPr>
        <w:t>RP-16</w:t>
      </w:r>
      <w:r w:rsidR="00AF1477">
        <w:rPr>
          <w:rFonts w:cs="Arial"/>
          <w:b/>
          <w:noProof/>
          <w:sz w:val="24"/>
          <w:szCs w:val="24"/>
        </w:rPr>
        <w:t>0815</w:t>
      </w:r>
      <w:bookmarkStart w:id="0" w:name="_GoBack"/>
      <w:bookmarkEnd w:id="0"/>
    </w:p>
    <w:p w:rsidR="001D01B9" w:rsidRDefault="00C85D12" w:rsidP="001D01B9">
      <w:pPr>
        <w:pStyle w:val="CRCoverPage"/>
        <w:tabs>
          <w:tab w:val="right" w:pos="9639"/>
          <w:tab w:val="right" w:pos="13323"/>
        </w:tabs>
        <w:spacing w:after="0"/>
        <w:jc w:val="right"/>
        <w:rPr>
          <w:rFonts w:cs="Arial"/>
          <w:b/>
          <w:noProof/>
          <w:sz w:val="24"/>
          <w:szCs w:val="24"/>
        </w:rPr>
      </w:pPr>
      <w:r>
        <w:rPr>
          <w:rFonts w:cs="Arial"/>
          <w:b/>
          <w:noProof/>
          <w:sz w:val="24"/>
          <w:szCs w:val="24"/>
        </w:rPr>
        <w:t>Busan</w:t>
      </w:r>
      <w:r w:rsidR="00C02D41">
        <w:rPr>
          <w:rFonts w:cs="Arial"/>
          <w:b/>
          <w:noProof/>
          <w:sz w:val="24"/>
          <w:szCs w:val="24"/>
        </w:rPr>
        <w:t xml:space="preserve">, </w:t>
      </w:r>
      <w:r>
        <w:rPr>
          <w:rFonts w:cs="Arial"/>
          <w:b/>
          <w:noProof/>
          <w:sz w:val="24"/>
          <w:szCs w:val="24"/>
        </w:rPr>
        <w:t>Korea</w:t>
      </w:r>
      <w:r w:rsidR="001D01B9" w:rsidRPr="0033775D">
        <w:rPr>
          <w:rFonts w:cs="Arial"/>
          <w:b/>
          <w:noProof/>
          <w:sz w:val="24"/>
          <w:szCs w:val="24"/>
        </w:rPr>
        <w:t xml:space="preserve">, </w:t>
      </w:r>
      <w:r>
        <w:rPr>
          <w:rFonts w:cs="Arial"/>
          <w:b/>
          <w:noProof/>
          <w:sz w:val="24"/>
          <w:szCs w:val="24"/>
        </w:rPr>
        <w:t>13</w:t>
      </w:r>
      <w:r w:rsidR="001D01B9" w:rsidRPr="008B769D">
        <w:rPr>
          <w:rFonts w:cs="Arial"/>
          <w:b/>
          <w:noProof/>
          <w:sz w:val="24"/>
          <w:szCs w:val="24"/>
          <w:vertAlign w:val="superscript"/>
        </w:rPr>
        <w:t>th</w:t>
      </w:r>
      <w:r w:rsidR="001D01B9" w:rsidRPr="0033775D">
        <w:rPr>
          <w:rFonts w:cs="Arial"/>
          <w:b/>
          <w:noProof/>
          <w:sz w:val="24"/>
          <w:szCs w:val="24"/>
        </w:rPr>
        <w:t xml:space="preserve"> – </w:t>
      </w:r>
      <w:r w:rsidR="00C02D41">
        <w:rPr>
          <w:rFonts w:cs="Arial"/>
          <w:b/>
          <w:noProof/>
          <w:sz w:val="24"/>
          <w:szCs w:val="24"/>
        </w:rPr>
        <w:t>1</w:t>
      </w:r>
      <w:r>
        <w:rPr>
          <w:rFonts w:cs="Arial"/>
          <w:b/>
          <w:noProof/>
          <w:sz w:val="24"/>
          <w:szCs w:val="24"/>
        </w:rPr>
        <w:t>6</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June</w:t>
      </w:r>
      <w:r w:rsidR="00E70DFF">
        <w:rPr>
          <w:rFonts w:cs="Arial"/>
          <w:b/>
          <w:noProof/>
          <w:sz w:val="24"/>
          <w:szCs w:val="24"/>
        </w:rPr>
        <w:t>,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C85D12">
        <w:rPr>
          <w:rFonts w:ascii="Arial" w:hAnsi="Arial" w:cs="Arial"/>
          <w:sz w:val="24"/>
          <w:szCs w:val="24"/>
        </w:rPr>
        <w:t>Antenna assumptions for 5G-NR</w:t>
      </w:r>
      <w:r w:rsidR="00A02759" w:rsidRPr="00A02759">
        <w:rPr>
          <w:rFonts w:ascii="Arial" w:hAnsi="Arial" w:cs="Arial"/>
          <w:sz w:val="24"/>
          <w:szCs w:val="24"/>
        </w:rPr>
        <w:t>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C85D12">
        <w:rPr>
          <w:rFonts w:ascii="Arial" w:hAnsi="Arial"/>
          <w:sz w:val="24"/>
        </w:rPr>
        <w:t>9</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86BE4">
        <w:rPr>
          <w:rFonts w:ascii="Arial" w:hAnsi="Arial"/>
          <w:sz w:val="24"/>
        </w:rPr>
        <w:t>Discussion</w:t>
      </w:r>
    </w:p>
    <w:p w:rsidR="001D01B9" w:rsidRPr="00CC27F5" w:rsidRDefault="001D01B9" w:rsidP="001D01B9">
      <w:pPr>
        <w:pStyle w:val="Heading1"/>
        <w:jc w:val="both"/>
      </w:pPr>
      <w:r>
        <w:t>1</w:t>
      </w:r>
      <w:r>
        <w:tab/>
        <w:t>Introduction</w:t>
      </w:r>
    </w:p>
    <w:p w:rsidR="001D01B9" w:rsidRDefault="00617ECD" w:rsidP="001D01B9">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In the last quarter of RAN1 </w:t>
      </w:r>
      <w:r w:rsidR="00862EE8">
        <w:rPr>
          <w:rFonts w:ascii="Times New Roman" w:hAnsi="Times New Roman"/>
          <w:b w:val="0"/>
          <w:noProof w:val="0"/>
          <w:sz w:val="20"/>
          <w:lang w:val="en-GB"/>
        </w:rPr>
        <w:t xml:space="preserve">and RAN4 </w:t>
      </w:r>
      <w:r>
        <w:rPr>
          <w:rFonts w:ascii="Times New Roman" w:hAnsi="Times New Roman"/>
          <w:b w:val="0"/>
          <w:noProof w:val="0"/>
          <w:sz w:val="20"/>
          <w:lang w:val="en-GB"/>
        </w:rPr>
        <w:t>meetings, there have been discussions (triggered by RAN plenary) to discuss further the working assumptions taken by RAN plenary on the number of antenna elements in the Base Station and UE to be used for NR system evaluation purposes. This document discusses more generically the antenna element maximum limits with respect to the NR design.</w:t>
      </w:r>
    </w:p>
    <w:p w:rsidR="00986BE4" w:rsidRPr="003A738E" w:rsidRDefault="00986BE4" w:rsidP="001D01B9">
      <w:pPr>
        <w:pStyle w:val="Header"/>
        <w:jc w:val="both"/>
        <w:rPr>
          <w:rFonts w:ascii="Times New Roman" w:hAnsi="Times New Roman"/>
          <w:b w:val="0"/>
          <w:noProof w:val="0"/>
          <w:sz w:val="6"/>
          <w:szCs w:val="6"/>
          <w:lang w:val="en-GB"/>
        </w:rPr>
      </w:pPr>
    </w:p>
    <w:p w:rsidR="00986BE4" w:rsidRDefault="00986BE4" w:rsidP="00986BE4">
      <w:pPr>
        <w:pStyle w:val="Heading1"/>
        <w:jc w:val="both"/>
      </w:pPr>
      <w:r>
        <w:t>2</w:t>
      </w:r>
      <w:r>
        <w:tab/>
      </w:r>
      <w:r w:rsidR="00617ECD">
        <w:t>Discussion</w:t>
      </w:r>
    </w:p>
    <w:p w:rsidR="005A7BD7" w:rsidRPr="005A7BD7" w:rsidRDefault="005A7BD7" w:rsidP="005A7BD7">
      <w:pPr>
        <w:pStyle w:val="Heading2"/>
      </w:pPr>
      <w:r>
        <w:t xml:space="preserve">2.1 </w:t>
      </w:r>
      <w:r w:rsidR="00523771">
        <w:t>Lack of rationale for</w:t>
      </w:r>
      <w:r w:rsidR="000C094E">
        <w:t xml:space="preserve"> number of </w:t>
      </w:r>
      <w:r w:rsidR="00523771">
        <w:t xml:space="preserve">max </w:t>
      </w:r>
      <w:r w:rsidR="000C094E">
        <w:t>Base Station antenna elements</w:t>
      </w:r>
    </w:p>
    <w:p w:rsidR="00617ECD" w:rsidRDefault="00617ECD" w:rsidP="005E5D7C">
      <w:pPr>
        <w:jc w:val="both"/>
      </w:pPr>
      <w:r>
        <w:t>The agreement as an outcome of RAN1#85 is basically to confirm the current working assumption taken by RAN plenary for the number of antenna elements to consider in the BS and UE</w:t>
      </w:r>
      <w:r w:rsidR="005A7BD7">
        <w:t xml:space="preserve"> for 700MHz</w:t>
      </w:r>
      <w:r w:rsidR="00E71A64">
        <w:t xml:space="preserve"> and</w:t>
      </w:r>
      <w:r w:rsidR="005A7BD7">
        <w:t xml:space="preserve"> 4GHz, </w:t>
      </w:r>
      <w:r>
        <w:t xml:space="preserve">with an open issue on whether to increase the number of </w:t>
      </w:r>
      <w:r w:rsidR="005A7BD7">
        <w:t xml:space="preserve">BS </w:t>
      </w:r>
      <w:r>
        <w:t xml:space="preserve">antenna elements for </w:t>
      </w:r>
      <w:r w:rsidR="00E71A64">
        <w:t>30GHz, and it seems it was agreed to increase the numb</w:t>
      </w:r>
      <w:r w:rsidR="000163E8">
        <w:t xml:space="preserve">er of elements for </w:t>
      </w:r>
      <w:r>
        <w:t xml:space="preserve">70GHz to 1024, based on larger </w:t>
      </w:r>
      <w:r w:rsidR="005A7BD7">
        <w:t xml:space="preserve">physical </w:t>
      </w:r>
      <w:r w:rsidR="00186941">
        <w:t xml:space="preserve">panel array </w:t>
      </w:r>
      <w:r w:rsidR="005A7BD7">
        <w:t>size being potentially possible</w:t>
      </w:r>
      <w:r>
        <w:t>.</w:t>
      </w:r>
      <w:r w:rsidR="00862EE8">
        <w:t xml:space="preserve"> RAN4 has then agreed to re-use the agreements from RAN1 without any discussion (which seems a bit strange considering that they are developing active antenna requirements for the Base Station).</w:t>
      </w:r>
    </w:p>
    <w:p w:rsidR="00C20605" w:rsidRDefault="00C20605" w:rsidP="005E5D7C">
      <w:pPr>
        <w:jc w:val="both"/>
      </w:pPr>
      <w:r>
        <w:t xml:space="preserve">Table 1 is taken from [1] </w:t>
      </w:r>
      <w:r w:rsidR="00862EE8">
        <w:t xml:space="preserve">which was submitted to RAN1, </w:t>
      </w:r>
      <w:r>
        <w:t>and makes some calculations for the overall panel array size for the different number of antenna elements proposed for each frequency range.</w:t>
      </w:r>
    </w:p>
    <w:p w:rsidR="00C20605" w:rsidRPr="000163E8" w:rsidRDefault="00C20605" w:rsidP="00C20605">
      <w:pPr>
        <w:spacing w:before="60" w:after="60" w:line="288" w:lineRule="auto"/>
        <w:ind w:firstLine="454"/>
        <w:jc w:val="center"/>
        <w:rPr>
          <w:rFonts w:eastAsia="Malgun Gothic"/>
          <w:b/>
        </w:rPr>
      </w:pPr>
      <w:r w:rsidRPr="000163E8">
        <w:rPr>
          <w:rFonts w:eastAsia="Malgun Gothic" w:hint="eastAsia"/>
          <w:b/>
        </w:rPr>
        <w:t>Table 1</w:t>
      </w:r>
      <w:r w:rsidR="000163E8">
        <w:rPr>
          <w:rFonts w:eastAsia="Malgun Gothic"/>
          <w:b/>
        </w:rPr>
        <w:t>:</w:t>
      </w:r>
      <w:r w:rsidRPr="000163E8">
        <w:rPr>
          <w:rFonts w:eastAsia="Malgun Gothic" w:hint="eastAsia"/>
          <w:b/>
        </w:rPr>
        <w:t xml:space="preserve"> Aperture size and (El, </w:t>
      </w:r>
      <w:proofErr w:type="spellStart"/>
      <w:proofErr w:type="gramStart"/>
      <w:r w:rsidRPr="000163E8">
        <w:rPr>
          <w:rFonts w:eastAsia="Malgun Gothic" w:hint="eastAsia"/>
          <w:b/>
        </w:rPr>
        <w:t>Az</w:t>
      </w:r>
      <w:proofErr w:type="spellEnd"/>
      <w:proofErr w:type="gramEnd"/>
      <w:r w:rsidRPr="000163E8">
        <w:rPr>
          <w:rFonts w:eastAsia="Malgun Gothic" w:hint="eastAsia"/>
          <w:b/>
        </w:rPr>
        <w:t xml:space="preserve">) </w:t>
      </w:r>
      <w:proofErr w:type="spellStart"/>
      <w:r w:rsidRPr="000163E8">
        <w:rPr>
          <w:rFonts w:eastAsia="Malgun Gothic" w:hint="eastAsia"/>
          <w:b/>
        </w:rPr>
        <w:t>beamwidth</w:t>
      </w:r>
      <w:proofErr w:type="spellEnd"/>
      <w:r w:rsidRPr="000163E8">
        <w:rPr>
          <w:rFonts w:eastAsia="Malgun Gothic" w:hint="eastAsia"/>
          <w:b/>
        </w:rPr>
        <w:t xml:space="preserve"> as a function of the carrier frequency</w:t>
      </w:r>
    </w:p>
    <w:tbl>
      <w:tblPr>
        <w:tblStyle w:val="TableGrid"/>
        <w:tblW w:w="9651" w:type="dxa"/>
        <w:tblLook w:val="04A0" w:firstRow="1" w:lastRow="0" w:firstColumn="1" w:lastColumn="0" w:noHBand="0" w:noVBand="1"/>
      </w:tblPr>
      <w:tblGrid>
        <w:gridCol w:w="1455"/>
        <w:gridCol w:w="1508"/>
        <w:gridCol w:w="1508"/>
        <w:gridCol w:w="1657"/>
        <w:gridCol w:w="1654"/>
        <w:gridCol w:w="1869"/>
      </w:tblGrid>
      <w:tr w:rsidR="00C20605" w:rsidTr="00C477AA">
        <w:tc>
          <w:tcPr>
            <w:tcW w:w="1455" w:type="dxa"/>
          </w:tcPr>
          <w:p w:rsidR="00C20605" w:rsidRDefault="00C20605" w:rsidP="00C477AA">
            <w:pPr>
              <w:spacing w:before="60" w:after="60" w:line="288" w:lineRule="auto"/>
              <w:jc w:val="center"/>
              <w:rPr>
                <w:rFonts w:eastAsia="Malgun Gothic"/>
              </w:rPr>
            </w:pPr>
            <w:r>
              <w:rPr>
                <w:rFonts w:eastAsia="Malgun Gothic" w:hint="eastAsia"/>
              </w:rPr>
              <w:t>C</w:t>
            </w:r>
            <w:r>
              <w:rPr>
                <w:rFonts w:eastAsia="Malgun Gothic"/>
              </w:rPr>
              <w:t>a</w:t>
            </w:r>
            <w:r>
              <w:rPr>
                <w:rFonts w:eastAsia="Malgun Gothic" w:hint="eastAsia"/>
              </w:rPr>
              <w:t>rrier frequency</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Max # of TRP elements</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Wavelength (</w:t>
            </w:r>
            <w:r>
              <w:rPr>
                <w:rFonts w:eastAsia="Malgun Gothic"/>
              </w:rPr>
              <w:t>λ</w:t>
            </w:r>
            <w:r>
              <w:rPr>
                <w:rFonts w:eastAsia="Malgun Gothic" w:hint="eastAsia"/>
              </w:rPr>
              <w:t>)</w:t>
            </w:r>
          </w:p>
        </w:tc>
        <w:tc>
          <w:tcPr>
            <w:tcW w:w="1657" w:type="dxa"/>
          </w:tcPr>
          <w:p w:rsidR="00C20605" w:rsidRPr="00D503AA" w:rsidRDefault="00C20605" w:rsidP="00C477AA">
            <w:pPr>
              <w:spacing w:before="60" w:after="60" w:line="288" w:lineRule="auto"/>
              <w:jc w:val="center"/>
              <w:rPr>
                <w:rFonts w:eastAsia="Malgun Gothic"/>
              </w:rPr>
            </w:pPr>
            <w:r w:rsidRPr="00FB41E4">
              <w:t>(</w:t>
            </w:r>
            <w:r w:rsidRPr="00FB41E4">
              <w:rPr>
                <w:i/>
              </w:rPr>
              <w:t>M, N, P</w:t>
            </w:r>
            <w:r w:rsidRPr="00FB41E4">
              <w:t xml:space="preserve">) </w:t>
            </w:r>
            <w:r>
              <w:rPr>
                <w:rFonts w:eastAsia="Malgun Gothic" w:hint="eastAsia"/>
              </w:rPr>
              <w:t>with</w:t>
            </w:r>
          </w:p>
          <w:p w:rsidR="00C20605" w:rsidRDefault="00C20605" w:rsidP="00C477AA">
            <w:pPr>
              <w:spacing w:before="60" w:after="60" w:line="288" w:lineRule="auto"/>
              <w:jc w:val="center"/>
              <w:rPr>
                <w:rFonts w:eastAsia="Malgun Gothic"/>
              </w:rPr>
            </w:pPr>
            <w:r w:rsidRPr="00FB41E4">
              <w:t>(</w:t>
            </w:r>
            <w:proofErr w:type="spellStart"/>
            <w:r w:rsidRPr="00FB41E4">
              <w:rPr>
                <w:i/>
              </w:rPr>
              <w:t>d</w:t>
            </w:r>
            <w:r w:rsidRPr="00FB41E4">
              <w:rPr>
                <w:i/>
                <w:vertAlign w:val="subscript"/>
              </w:rPr>
              <w:t>H</w:t>
            </w:r>
            <w:proofErr w:type="spellEnd"/>
            <w:r w:rsidRPr="00FB41E4">
              <w:t xml:space="preserve">, </w:t>
            </w:r>
            <w:proofErr w:type="spellStart"/>
            <w:r w:rsidRPr="00FB41E4">
              <w:rPr>
                <w:i/>
              </w:rPr>
              <w:t>d</w:t>
            </w:r>
            <w:r w:rsidRPr="00FB41E4">
              <w:rPr>
                <w:i/>
                <w:vertAlign w:val="subscript"/>
              </w:rPr>
              <w:t>V</w:t>
            </w:r>
            <w:proofErr w:type="spellEnd"/>
            <w:r w:rsidRPr="00FB41E4">
              <w:t>)</w:t>
            </w:r>
            <w:r>
              <w:rPr>
                <w:rFonts w:eastAsia="Malgun Gothic" w:hint="eastAsia"/>
              </w:rPr>
              <w:t xml:space="preserve"> = (0.5, 0.8)</w:t>
            </w:r>
            <w:r>
              <w:rPr>
                <w:rFonts w:eastAsia="Malgun Gothic"/>
              </w:rPr>
              <w:t>λ</w:t>
            </w:r>
          </w:p>
          <w:p w:rsidR="00C20605" w:rsidRPr="003F37EC" w:rsidRDefault="00C20605" w:rsidP="00C477AA">
            <w:pPr>
              <w:spacing w:before="60" w:after="60" w:line="288" w:lineRule="auto"/>
              <w:jc w:val="center"/>
              <w:rPr>
                <w:rFonts w:eastAsia="Malgun Gothic"/>
              </w:rPr>
            </w:pPr>
            <w:r w:rsidRPr="00FB41E4">
              <w:rPr>
                <w:i/>
              </w:rPr>
              <w:t>M</w:t>
            </w:r>
            <w:r w:rsidRPr="00FB41E4">
              <w:rPr>
                <w:i/>
                <w:vertAlign w:val="subscript"/>
              </w:rPr>
              <w:t>g</w:t>
            </w:r>
            <w:r>
              <w:rPr>
                <w:rFonts w:eastAsia="Malgun Gothic" w:hint="eastAsia"/>
                <w:i/>
                <w:vertAlign w:val="subscript"/>
              </w:rPr>
              <w:t xml:space="preserve"> </w:t>
            </w:r>
            <w:r>
              <w:rPr>
                <w:rFonts w:eastAsia="Malgun Gothic" w:hint="eastAsia"/>
              </w:rPr>
              <w:t xml:space="preserve">= </w:t>
            </w:r>
            <w:r w:rsidRPr="00FB41E4">
              <w:rPr>
                <w:i/>
              </w:rPr>
              <w:t>N</w:t>
            </w:r>
            <w:r w:rsidRPr="00FB41E4">
              <w:rPr>
                <w:i/>
                <w:vertAlign w:val="subscript"/>
              </w:rPr>
              <w:t>g</w:t>
            </w:r>
            <w:r>
              <w:rPr>
                <w:rFonts w:eastAsia="Malgun Gothic" w:hint="eastAsia"/>
              </w:rPr>
              <w:t xml:space="preserve"> = 1</w:t>
            </w:r>
          </w:p>
        </w:tc>
        <w:tc>
          <w:tcPr>
            <w:tcW w:w="1654" w:type="dxa"/>
          </w:tcPr>
          <w:p w:rsidR="00C20605" w:rsidRDefault="00C20605" w:rsidP="00C477AA">
            <w:pPr>
              <w:spacing w:before="60" w:after="60" w:line="288" w:lineRule="auto"/>
              <w:jc w:val="center"/>
              <w:rPr>
                <w:rFonts w:eastAsia="Malgun Gothic"/>
              </w:rPr>
            </w:pPr>
            <w:r>
              <w:rPr>
                <w:rFonts w:eastAsia="Malgun Gothic" w:hint="eastAsia"/>
              </w:rPr>
              <w:t>Panel (or aperture) size</w:t>
            </w:r>
          </w:p>
        </w:tc>
        <w:tc>
          <w:tcPr>
            <w:tcW w:w="1869" w:type="dxa"/>
          </w:tcPr>
          <w:p w:rsidR="00C20605" w:rsidRDefault="00C20605" w:rsidP="00C477AA">
            <w:pPr>
              <w:spacing w:before="60" w:after="60" w:line="288" w:lineRule="auto"/>
              <w:jc w:val="center"/>
              <w:rPr>
                <w:rFonts w:eastAsia="Malgun Gothic"/>
              </w:rPr>
            </w:pPr>
            <w:r>
              <w:rPr>
                <w:rFonts w:eastAsia="Malgun Gothic" w:hint="eastAsia"/>
              </w:rPr>
              <w:t xml:space="preserve">(El, </w:t>
            </w:r>
            <w:proofErr w:type="spellStart"/>
            <w:r>
              <w:rPr>
                <w:rFonts w:eastAsia="Malgun Gothic" w:hint="eastAsia"/>
              </w:rPr>
              <w:t>Az</w:t>
            </w:r>
            <w:proofErr w:type="spellEnd"/>
            <w:r>
              <w:rPr>
                <w:rFonts w:eastAsia="Malgun Gothic" w:hint="eastAsia"/>
              </w:rPr>
              <w:t xml:space="preserve">) </w:t>
            </w:r>
          </w:p>
          <w:p w:rsidR="00C20605" w:rsidRDefault="00C20605" w:rsidP="00C477AA">
            <w:pPr>
              <w:spacing w:before="60" w:after="60" w:line="288" w:lineRule="auto"/>
              <w:jc w:val="center"/>
              <w:rPr>
                <w:rFonts w:eastAsia="Malgun Gothic"/>
              </w:rPr>
            </w:pPr>
            <w:r>
              <w:rPr>
                <w:rFonts w:eastAsia="Malgun Gothic" w:hint="eastAsia"/>
              </w:rPr>
              <w:t xml:space="preserve">Minimum </w:t>
            </w:r>
            <w:proofErr w:type="spellStart"/>
            <w:r>
              <w:rPr>
                <w:rFonts w:eastAsia="Malgun Gothic" w:hint="eastAsia"/>
              </w:rPr>
              <w:t>beamwidth</w:t>
            </w:r>
            <w:proofErr w:type="spellEnd"/>
          </w:p>
        </w:tc>
      </w:tr>
      <w:tr w:rsidR="00C20605" w:rsidTr="00C477AA">
        <w:tc>
          <w:tcPr>
            <w:tcW w:w="1455" w:type="dxa"/>
          </w:tcPr>
          <w:p w:rsidR="00C20605" w:rsidRDefault="00C20605" w:rsidP="00C477AA">
            <w:pPr>
              <w:spacing w:before="60" w:after="60" w:line="288" w:lineRule="auto"/>
              <w:jc w:val="center"/>
              <w:rPr>
                <w:rFonts w:eastAsia="Malgun Gothic"/>
              </w:rPr>
            </w:pPr>
            <w:r>
              <w:rPr>
                <w:rFonts w:eastAsia="Malgun Gothic" w:hint="eastAsia"/>
              </w:rPr>
              <w:t>700 MHz</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64</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43 cm</w:t>
            </w:r>
          </w:p>
        </w:tc>
        <w:tc>
          <w:tcPr>
            <w:tcW w:w="1657" w:type="dxa"/>
          </w:tcPr>
          <w:p w:rsidR="00C20605" w:rsidRDefault="00C20605" w:rsidP="00C477AA">
            <w:pPr>
              <w:spacing w:before="60" w:after="60" w:line="288" w:lineRule="auto"/>
              <w:jc w:val="center"/>
              <w:rPr>
                <w:rFonts w:eastAsia="Malgun Gothic"/>
              </w:rPr>
            </w:pPr>
            <w:r>
              <w:rPr>
                <w:rFonts w:eastAsia="Malgun Gothic" w:hint="eastAsia"/>
              </w:rPr>
              <w:t>(8, 4, 2)</w:t>
            </w:r>
          </w:p>
        </w:tc>
        <w:tc>
          <w:tcPr>
            <w:tcW w:w="1654" w:type="dxa"/>
          </w:tcPr>
          <w:p w:rsidR="00C20605" w:rsidRDefault="00C20605" w:rsidP="00C477AA">
            <w:pPr>
              <w:spacing w:before="60" w:after="60" w:line="288" w:lineRule="auto"/>
              <w:jc w:val="center"/>
              <w:rPr>
                <w:rFonts w:eastAsia="Malgun Gothic"/>
              </w:rPr>
            </w:pPr>
            <w:r>
              <w:rPr>
                <w:rFonts w:eastAsia="Malgun Gothic" w:hint="eastAsia"/>
              </w:rPr>
              <w:t>(2.7m, 0.85m)</w:t>
            </w:r>
          </w:p>
        </w:tc>
        <w:tc>
          <w:tcPr>
            <w:tcW w:w="1869" w:type="dxa"/>
          </w:tcPr>
          <w:p w:rsidR="00C20605" w:rsidRDefault="00C20605" w:rsidP="00C477AA">
            <w:pPr>
              <w:spacing w:before="60" w:after="60" w:line="288" w:lineRule="auto"/>
              <w:jc w:val="center"/>
              <w:rPr>
                <w:rFonts w:eastAsia="Malgun Gothic"/>
              </w:rPr>
            </w:pPr>
            <w:r>
              <w:rPr>
                <w:rFonts w:eastAsia="Malgun Gothic" w:hint="eastAsia"/>
              </w:rPr>
              <w:t>~ (10</w:t>
            </w:r>
            <w:r>
              <w:rPr>
                <w:rFonts w:eastAsia="Malgun Gothic"/>
              </w:rPr>
              <w:t>°</w:t>
            </w:r>
            <w:r>
              <w:rPr>
                <w:rFonts w:eastAsia="Malgun Gothic" w:hint="eastAsia"/>
              </w:rPr>
              <w:t>, 20</w:t>
            </w:r>
            <w:r>
              <w:rPr>
                <w:rFonts w:eastAsia="Malgun Gothic"/>
              </w:rPr>
              <w:t>°</w:t>
            </w:r>
            <w:r>
              <w:rPr>
                <w:rFonts w:eastAsia="Malgun Gothic" w:hint="eastAsia"/>
              </w:rPr>
              <w:t>)</w:t>
            </w:r>
          </w:p>
        </w:tc>
      </w:tr>
      <w:tr w:rsidR="00C20605" w:rsidTr="00C477AA">
        <w:tc>
          <w:tcPr>
            <w:tcW w:w="1455" w:type="dxa"/>
          </w:tcPr>
          <w:p w:rsidR="00C20605" w:rsidRDefault="00C20605" w:rsidP="00C477AA">
            <w:pPr>
              <w:spacing w:before="60" w:after="60" w:line="288" w:lineRule="auto"/>
              <w:jc w:val="center"/>
              <w:rPr>
                <w:rFonts w:eastAsia="Malgun Gothic"/>
              </w:rPr>
            </w:pPr>
            <w:r>
              <w:rPr>
                <w:rFonts w:eastAsia="Malgun Gothic" w:hint="eastAsia"/>
              </w:rPr>
              <w:t>4 GHz</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256</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7.5 cm</w:t>
            </w:r>
          </w:p>
        </w:tc>
        <w:tc>
          <w:tcPr>
            <w:tcW w:w="1657" w:type="dxa"/>
          </w:tcPr>
          <w:p w:rsidR="00C20605" w:rsidRDefault="00C20605" w:rsidP="00C477AA">
            <w:pPr>
              <w:spacing w:before="60" w:after="60" w:line="288" w:lineRule="auto"/>
              <w:jc w:val="center"/>
              <w:rPr>
                <w:rFonts w:eastAsia="Malgun Gothic"/>
              </w:rPr>
            </w:pPr>
            <w:r>
              <w:rPr>
                <w:rFonts w:eastAsia="Malgun Gothic" w:hint="eastAsia"/>
              </w:rPr>
              <w:t>(16, 8, 2)</w:t>
            </w:r>
          </w:p>
        </w:tc>
        <w:tc>
          <w:tcPr>
            <w:tcW w:w="1654" w:type="dxa"/>
          </w:tcPr>
          <w:p w:rsidR="00C20605" w:rsidRDefault="00C20605" w:rsidP="00C477AA">
            <w:pPr>
              <w:spacing w:before="60" w:after="60" w:line="288" w:lineRule="auto"/>
              <w:jc w:val="center"/>
              <w:rPr>
                <w:rFonts w:eastAsia="Malgun Gothic"/>
              </w:rPr>
            </w:pPr>
            <w:r>
              <w:rPr>
                <w:rFonts w:eastAsia="Malgun Gothic" w:hint="eastAsia"/>
              </w:rPr>
              <w:t>(96cm, 30cm)</w:t>
            </w:r>
          </w:p>
        </w:tc>
        <w:tc>
          <w:tcPr>
            <w:tcW w:w="1869" w:type="dxa"/>
          </w:tcPr>
          <w:p w:rsidR="00C20605" w:rsidRDefault="00C20605" w:rsidP="00C477AA">
            <w:pPr>
              <w:spacing w:before="60" w:after="60" w:line="288" w:lineRule="auto"/>
              <w:jc w:val="center"/>
              <w:rPr>
                <w:rFonts w:eastAsia="Malgun Gothic"/>
              </w:rPr>
            </w:pPr>
            <w:r>
              <w:rPr>
                <w:rFonts w:eastAsia="Malgun Gothic" w:hint="eastAsia"/>
              </w:rPr>
              <w:t>~ (5</w:t>
            </w:r>
            <w:r>
              <w:rPr>
                <w:rFonts w:eastAsia="Malgun Gothic"/>
              </w:rPr>
              <w:t>°</w:t>
            </w:r>
            <w:r>
              <w:rPr>
                <w:rFonts w:eastAsia="Malgun Gothic" w:hint="eastAsia"/>
              </w:rPr>
              <w:t>, 10</w:t>
            </w:r>
            <w:r>
              <w:rPr>
                <w:rFonts w:eastAsia="Malgun Gothic"/>
              </w:rPr>
              <w:t>°</w:t>
            </w:r>
            <w:r>
              <w:rPr>
                <w:rFonts w:eastAsia="Malgun Gothic" w:hint="eastAsia"/>
              </w:rPr>
              <w:t>)</w:t>
            </w:r>
          </w:p>
        </w:tc>
      </w:tr>
      <w:tr w:rsidR="00C20605" w:rsidTr="00C477AA">
        <w:tc>
          <w:tcPr>
            <w:tcW w:w="1455" w:type="dxa"/>
          </w:tcPr>
          <w:p w:rsidR="00C20605" w:rsidRDefault="00C20605" w:rsidP="00C477AA">
            <w:pPr>
              <w:spacing w:before="60" w:after="60" w:line="288" w:lineRule="auto"/>
              <w:jc w:val="center"/>
              <w:rPr>
                <w:rFonts w:eastAsia="Malgun Gothic"/>
              </w:rPr>
            </w:pPr>
            <w:r>
              <w:rPr>
                <w:rFonts w:eastAsia="Malgun Gothic" w:hint="eastAsia"/>
              </w:rPr>
              <w:t>30 GHz</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256</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1 cm</w:t>
            </w:r>
          </w:p>
        </w:tc>
        <w:tc>
          <w:tcPr>
            <w:tcW w:w="1657" w:type="dxa"/>
          </w:tcPr>
          <w:p w:rsidR="00C20605" w:rsidRDefault="00C20605" w:rsidP="00C477AA">
            <w:pPr>
              <w:spacing w:before="60" w:after="60" w:line="288" w:lineRule="auto"/>
              <w:jc w:val="center"/>
              <w:rPr>
                <w:rFonts w:eastAsia="Malgun Gothic"/>
              </w:rPr>
            </w:pPr>
            <w:r>
              <w:rPr>
                <w:rFonts w:eastAsia="Malgun Gothic" w:hint="eastAsia"/>
              </w:rPr>
              <w:t>(16, 8, 2)</w:t>
            </w:r>
          </w:p>
        </w:tc>
        <w:tc>
          <w:tcPr>
            <w:tcW w:w="1654" w:type="dxa"/>
          </w:tcPr>
          <w:p w:rsidR="00C20605" w:rsidRDefault="00C20605" w:rsidP="00C477AA">
            <w:pPr>
              <w:spacing w:before="60" w:after="60" w:line="288" w:lineRule="auto"/>
              <w:jc w:val="center"/>
              <w:rPr>
                <w:rFonts w:eastAsia="Malgun Gothic"/>
              </w:rPr>
            </w:pPr>
            <w:r>
              <w:rPr>
                <w:rFonts w:eastAsia="Malgun Gothic" w:hint="eastAsia"/>
              </w:rPr>
              <w:t xml:space="preserve">(13cm, 4.0cm) </w:t>
            </w:r>
          </w:p>
        </w:tc>
        <w:tc>
          <w:tcPr>
            <w:tcW w:w="1869" w:type="dxa"/>
          </w:tcPr>
          <w:p w:rsidR="00C20605" w:rsidRDefault="00C20605" w:rsidP="00C477AA">
            <w:pPr>
              <w:spacing w:before="60" w:after="60" w:line="288" w:lineRule="auto"/>
              <w:jc w:val="center"/>
              <w:rPr>
                <w:rFonts w:eastAsia="Malgun Gothic"/>
              </w:rPr>
            </w:pPr>
            <w:r>
              <w:rPr>
                <w:rFonts w:eastAsia="Malgun Gothic" w:hint="eastAsia"/>
              </w:rPr>
              <w:t>~ (5</w:t>
            </w:r>
            <w:r>
              <w:rPr>
                <w:rFonts w:eastAsia="Malgun Gothic"/>
              </w:rPr>
              <w:t>°</w:t>
            </w:r>
            <w:r>
              <w:rPr>
                <w:rFonts w:eastAsia="Malgun Gothic" w:hint="eastAsia"/>
              </w:rPr>
              <w:t>, 10</w:t>
            </w:r>
            <w:r>
              <w:rPr>
                <w:rFonts w:eastAsia="Malgun Gothic"/>
              </w:rPr>
              <w:t>°</w:t>
            </w:r>
            <w:r>
              <w:rPr>
                <w:rFonts w:eastAsia="Malgun Gothic" w:hint="eastAsia"/>
              </w:rPr>
              <w:t>)</w:t>
            </w:r>
          </w:p>
        </w:tc>
      </w:tr>
      <w:tr w:rsidR="00C20605" w:rsidTr="00C477AA">
        <w:tc>
          <w:tcPr>
            <w:tcW w:w="1455" w:type="dxa"/>
          </w:tcPr>
          <w:p w:rsidR="00C20605" w:rsidRDefault="00C20605" w:rsidP="00C477AA">
            <w:pPr>
              <w:spacing w:before="60" w:after="60" w:line="288" w:lineRule="auto"/>
              <w:jc w:val="center"/>
              <w:rPr>
                <w:rFonts w:eastAsia="Malgun Gothic"/>
              </w:rPr>
            </w:pPr>
            <w:r>
              <w:rPr>
                <w:rFonts w:eastAsia="Malgun Gothic" w:hint="eastAsia"/>
              </w:rPr>
              <w:t>70 GHz</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1024</w:t>
            </w:r>
          </w:p>
        </w:tc>
        <w:tc>
          <w:tcPr>
            <w:tcW w:w="1508" w:type="dxa"/>
          </w:tcPr>
          <w:p w:rsidR="00C20605" w:rsidRDefault="00C20605" w:rsidP="00C477AA">
            <w:pPr>
              <w:spacing w:before="60" w:after="60" w:line="288" w:lineRule="auto"/>
              <w:jc w:val="center"/>
              <w:rPr>
                <w:rFonts w:eastAsia="Malgun Gothic"/>
              </w:rPr>
            </w:pPr>
            <w:r>
              <w:rPr>
                <w:rFonts w:eastAsia="Malgun Gothic" w:hint="eastAsia"/>
              </w:rPr>
              <w:t>0.43 cm</w:t>
            </w:r>
          </w:p>
        </w:tc>
        <w:tc>
          <w:tcPr>
            <w:tcW w:w="1657" w:type="dxa"/>
          </w:tcPr>
          <w:p w:rsidR="00C20605" w:rsidRDefault="00C20605" w:rsidP="00C477AA">
            <w:pPr>
              <w:spacing w:before="60" w:after="60" w:line="288" w:lineRule="auto"/>
              <w:jc w:val="center"/>
              <w:rPr>
                <w:rFonts w:eastAsia="Malgun Gothic"/>
              </w:rPr>
            </w:pPr>
            <w:r>
              <w:rPr>
                <w:rFonts w:eastAsia="Malgun Gothic" w:hint="eastAsia"/>
              </w:rPr>
              <w:t>(32, 16, 2)</w:t>
            </w:r>
          </w:p>
        </w:tc>
        <w:tc>
          <w:tcPr>
            <w:tcW w:w="1654" w:type="dxa"/>
          </w:tcPr>
          <w:p w:rsidR="00C20605" w:rsidRDefault="00C20605" w:rsidP="00C477AA">
            <w:pPr>
              <w:spacing w:before="60" w:after="60" w:line="288" w:lineRule="auto"/>
              <w:jc w:val="center"/>
              <w:rPr>
                <w:rFonts w:eastAsia="Malgun Gothic"/>
              </w:rPr>
            </w:pPr>
            <w:r>
              <w:rPr>
                <w:rFonts w:eastAsia="Malgun Gothic" w:hint="eastAsia"/>
              </w:rPr>
              <w:t>(11cm, 3.4cm)</w:t>
            </w:r>
          </w:p>
        </w:tc>
        <w:tc>
          <w:tcPr>
            <w:tcW w:w="1869" w:type="dxa"/>
          </w:tcPr>
          <w:p w:rsidR="00C20605" w:rsidRDefault="00C20605" w:rsidP="00C477AA">
            <w:pPr>
              <w:spacing w:before="60" w:after="60" w:line="288" w:lineRule="auto"/>
              <w:jc w:val="center"/>
              <w:rPr>
                <w:rFonts w:eastAsia="Malgun Gothic"/>
              </w:rPr>
            </w:pPr>
            <w:r>
              <w:rPr>
                <w:rFonts w:eastAsia="Malgun Gothic" w:hint="eastAsia"/>
              </w:rPr>
              <w:t>~ (3</w:t>
            </w:r>
            <w:r>
              <w:rPr>
                <w:rFonts w:eastAsia="Malgun Gothic"/>
              </w:rPr>
              <w:t>°</w:t>
            </w:r>
            <w:r>
              <w:rPr>
                <w:rFonts w:eastAsia="Malgun Gothic" w:hint="eastAsia"/>
              </w:rPr>
              <w:t>, 5</w:t>
            </w:r>
            <w:r>
              <w:rPr>
                <w:rFonts w:eastAsia="Malgun Gothic"/>
              </w:rPr>
              <w:t>°</w:t>
            </w:r>
            <w:r>
              <w:rPr>
                <w:rFonts w:eastAsia="Malgun Gothic" w:hint="eastAsia"/>
              </w:rPr>
              <w:t>)</w:t>
            </w:r>
          </w:p>
        </w:tc>
      </w:tr>
    </w:tbl>
    <w:p w:rsidR="00C20605" w:rsidRDefault="00186941" w:rsidP="00C20605">
      <w:pPr>
        <w:spacing w:before="60" w:after="60" w:line="288" w:lineRule="auto"/>
        <w:ind w:firstLine="454"/>
        <w:rPr>
          <w:rFonts w:eastAsia="Malgun Gothic"/>
        </w:rPr>
      </w:pPr>
      <w:r>
        <w:rPr>
          <w:rFonts w:eastAsia="Malgun Gothic"/>
        </w:rPr>
        <w:t xml:space="preserve">NOTE: </w:t>
      </w:r>
      <w:r w:rsidR="007927ED">
        <w:rPr>
          <w:rFonts w:eastAsia="Malgun Gothic"/>
        </w:rPr>
        <w:t xml:space="preserve">Whether to go from 256 to </w:t>
      </w:r>
      <w:r>
        <w:rPr>
          <w:rFonts w:eastAsia="Malgun Gothic"/>
        </w:rPr>
        <w:t xml:space="preserve">1024 elements </w:t>
      </w:r>
      <w:r w:rsidR="000C094E">
        <w:rPr>
          <w:rFonts w:eastAsia="Malgun Gothic"/>
        </w:rPr>
        <w:t xml:space="preserve">for </w:t>
      </w:r>
      <w:r w:rsidR="00E71A64">
        <w:rPr>
          <w:rFonts w:eastAsia="Malgun Gothic"/>
        </w:rPr>
        <w:t>3</w:t>
      </w:r>
      <w:r w:rsidR="000C094E">
        <w:rPr>
          <w:rFonts w:eastAsia="Malgun Gothic"/>
        </w:rPr>
        <w:t>0GHz</w:t>
      </w:r>
      <w:r w:rsidR="007927ED">
        <w:rPr>
          <w:rFonts w:eastAsia="Malgun Gothic"/>
        </w:rPr>
        <w:t xml:space="preserve"> is still </w:t>
      </w:r>
      <w:r>
        <w:rPr>
          <w:rFonts w:eastAsia="Malgun Gothic"/>
        </w:rPr>
        <w:t>an open issue.</w:t>
      </w:r>
    </w:p>
    <w:p w:rsidR="000163E8" w:rsidRDefault="000163E8" w:rsidP="005E5D7C">
      <w:pPr>
        <w:jc w:val="both"/>
      </w:pPr>
    </w:p>
    <w:p w:rsidR="00C20605" w:rsidRDefault="00C20605" w:rsidP="005E5D7C">
      <w:pPr>
        <w:jc w:val="both"/>
      </w:pPr>
      <w:r>
        <w:t>I</w:t>
      </w:r>
      <w:r w:rsidR="006962C5">
        <w:t xml:space="preserve">f we use the same panel array </w:t>
      </w:r>
      <w:r w:rsidR="001B6501">
        <w:t xml:space="preserve">size </w:t>
      </w:r>
      <w:r w:rsidR="006962C5">
        <w:t xml:space="preserve">that </w:t>
      </w:r>
      <w:r w:rsidR="001B6501">
        <w:t>was</w:t>
      </w:r>
      <w:r w:rsidR="006962C5">
        <w:t xml:space="preserve"> used to </w:t>
      </w:r>
      <w:r w:rsidR="001B6501">
        <w:t>assume</w:t>
      </w:r>
      <w:r w:rsidR="006962C5">
        <w:t xml:space="preserve"> 64 elements for 700MHz</w:t>
      </w:r>
      <w:r w:rsidR="00186941">
        <w:t xml:space="preserve"> in Table 1</w:t>
      </w:r>
      <w:r w:rsidR="006962C5">
        <w:t xml:space="preserve">, </w:t>
      </w:r>
      <w:r>
        <w:t xml:space="preserve">and the same method to generate the number of antenna elements, </w:t>
      </w:r>
      <w:r w:rsidR="006962C5">
        <w:t xml:space="preserve">then we could </w:t>
      </w:r>
      <w:r w:rsidR="001B6501">
        <w:t xml:space="preserve">in theory </w:t>
      </w:r>
      <w:r w:rsidR="006962C5">
        <w:t xml:space="preserve">arrive at </w:t>
      </w:r>
      <w:r w:rsidR="00E71A64">
        <w:t>~</w:t>
      </w:r>
      <w:r w:rsidR="001B6501">
        <w:t>1990 antenna elements using the same assumptions to generate the number of elements for 4GHz</w:t>
      </w:r>
      <w:r>
        <w:t xml:space="preserve">, and </w:t>
      </w:r>
      <w:r w:rsidR="00E71A64">
        <w:t>~</w:t>
      </w:r>
      <w:r>
        <w:t>112000 antenna elements for 30GHz, which are both much larger than th</w:t>
      </w:r>
      <w:r w:rsidR="00A71B8D">
        <w:t xml:space="preserve">e agreed </w:t>
      </w:r>
      <w:r>
        <w:t>256 element limit</w:t>
      </w:r>
      <w:r w:rsidR="00A71B8D">
        <w:t xml:space="preserve"> for those bands</w:t>
      </w:r>
      <w:r w:rsidR="001B6501">
        <w:t>.</w:t>
      </w:r>
      <w:r w:rsidR="00A71B8D">
        <w:t xml:space="preserve"> </w:t>
      </w:r>
    </w:p>
    <w:p w:rsidR="000C094E" w:rsidRDefault="000C094E" w:rsidP="005E5D7C">
      <w:pPr>
        <w:jc w:val="both"/>
      </w:pPr>
      <w:r>
        <w:lastRenderedPageBreak/>
        <w:t>B</w:t>
      </w:r>
      <w:r w:rsidR="0045334A">
        <w:t xml:space="preserve">eing able to narrow the beam-width </w:t>
      </w:r>
      <w:r>
        <w:t>“</w:t>
      </w:r>
      <w:r w:rsidR="0045334A">
        <w:t xml:space="preserve">in </w:t>
      </w:r>
      <w:r w:rsidR="000163E8">
        <w:t>principle</w:t>
      </w:r>
      <w:r>
        <w:t>”</w:t>
      </w:r>
      <w:r w:rsidR="0045334A">
        <w:t xml:space="preserve"> should lead to better </w:t>
      </w:r>
      <w:r w:rsidR="0045334A" w:rsidRPr="0045334A">
        <w:rPr>
          <w:u w:val="single"/>
        </w:rPr>
        <w:t>average and 5%-</w:t>
      </w:r>
      <w:proofErr w:type="spellStart"/>
      <w:r w:rsidR="0045334A" w:rsidRPr="0045334A">
        <w:rPr>
          <w:u w:val="single"/>
        </w:rPr>
        <w:t>ile</w:t>
      </w:r>
      <w:proofErr w:type="spellEnd"/>
      <w:r w:rsidR="0045334A" w:rsidRPr="0045334A">
        <w:rPr>
          <w:u w:val="single"/>
        </w:rPr>
        <w:t xml:space="preserve"> s</w:t>
      </w:r>
      <w:r w:rsidR="0045334A">
        <w:rPr>
          <w:u w:val="single"/>
        </w:rPr>
        <w:t>pectrum efficiency</w:t>
      </w:r>
      <w:r w:rsidR="0045334A">
        <w:t xml:space="preserve"> due to higher spatial reuse and reduced inter-cell interference, and potential </w:t>
      </w:r>
      <w:r w:rsidRPr="000C094E">
        <w:rPr>
          <w:u w:val="single"/>
        </w:rPr>
        <w:t>Base Station</w:t>
      </w:r>
      <w:r>
        <w:t xml:space="preserve"> </w:t>
      </w:r>
      <w:r w:rsidR="0045334A" w:rsidRPr="0045334A">
        <w:rPr>
          <w:u w:val="single"/>
        </w:rPr>
        <w:t>energy savings</w:t>
      </w:r>
      <w:r w:rsidR="0045334A">
        <w:t xml:space="preserve"> due lower power needed to reach a given throughput. </w:t>
      </w:r>
    </w:p>
    <w:p w:rsidR="00186941" w:rsidRDefault="00186941" w:rsidP="005E5D7C">
      <w:pPr>
        <w:jc w:val="both"/>
      </w:pPr>
      <w:r>
        <w:t>Some of the potential reasons for limiting to 256 elements are:</w:t>
      </w:r>
    </w:p>
    <w:p w:rsidR="0045334A" w:rsidRDefault="0045334A" w:rsidP="00186941">
      <w:pPr>
        <w:pStyle w:val="ListParagraph"/>
        <w:numPr>
          <w:ilvl w:val="0"/>
          <w:numId w:val="8"/>
        </w:numPr>
        <w:jc w:val="both"/>
      </w:pPr>
      <w:r>
        <w:t>Assumption that this is what we need to meet 3xIMT-A performance</w:t>
      </w:r>
      <w:r w:rsidR="000C094E">
        <w:t xml:space="preserve"> that seems to match IMT-2020 requirements</w:t>
      </w:r>
      <w:r>
        <w:t>.</w:t>
      </w:r>
    </w:p>
    <w:p w:rsidR="00186941" w:rsidRDefault="00186941" w:rsidP="00186941">
      <w:pPr>
        <w:pStyle w:val="ListParagraph"/>
        <w:numPr>
          <w:ilvl w:val="0"/>
          <w:numId w:val="8"/>
        </w:numPr>
        <w:jc w:val="both"/>
      </w:pPr>
      <w:r>
        <w:t xml:space="preserve">Assumption </w:t>
      </w:r>
      <w:r w:rsidR="0045334A">
        <w:t>on the target deployment scenarios for Base Stations operating in particular frequency ranges, e.g. dense small cells for 30GHz.</w:t>
      </w:r>
    </w:p>
    <w:p w:rsidR="00186941" w:rsidRDefault="004871E3" w:rsidP="00186941">
      <w:pPr>
        <w:pStyle w:val="ListParagraph"/>
        <w:numPr>
          <w:ilvl w:val="0"/>
          <w:numId w:val="8"/>
        </w:numPr>
        <w:jc w:val="both"/>
      </w:pPr>
      <w:r>
        <w:t>The reduction in beam</w:t>
      </w:r>
      <w:r w:rsidR="0045334A">
        <w:t>-</w:t>
      </w:r>
      <w:r>
        <w:t>width possibly</w:t>
      </w:r>
      <w:r w:rsidR="0045334A">
        <w:t xml:space="preserve"> not leading to a similar level of system-level performance gain.</w:t>
      </w:r>
    </w:p>
    <w:p w:rsidR="0045334A" w:rsidRDefault="0045334A" w:rsidP="00186941">
      <w:pPr>
        <w:pStyle w:val="ListParagraph"/>
        <w:numPr>
          <w:ilvl w:val="0"/>
          <w:numId w:val="8"/>
        </w:numPr>
        <w:jc w:val="both"/>
      </w:pPr>
      <w:r>
        <w:t>Assumptions on c</w:t>
      </w:r>
      <w:r w:rsidR="000C094E">
        <w:t>ost and complexity for products, and whether this is an issue for now or for 2020 and beyond.</w:t>
      </w:r>
    </w:p>
    <w:p w:rsidR="007927ED" w:rsidRDefault="0028678B" w:rsidP="007927ED">
      <w:pPr>
        <w:jc w:val="both"/>
        <w:rPr>
          <w:b/>
        </w:rPr>
      </w:pPr>
      <w:r w:rsidRPr="0028678B">
        <w:rPr>
          <w:b/>
          <w:u w:val="single"/>
        </w:rPr>
        <w:t>Observation</w:t>
      </w:r>
      <w:r w:rsidR="00ED29DC">
        <w:rPr>
          <w:b/>
          <w:u w:val="single"/>
        </w:rPr>
        <w:t xml:space="preserve"> 1</w:t>
      </w:r>
      <w:r>
        <w:rPr>
          <w:b/>
        </w:rPr>
        <w:t xml:space="preserve">: </w:t>
      </w:r>
      <w:r w:rsidR="007927ED" w:rsidRPr="007927ED">
        <w:rPr>
          <w:b/>
        </w:rPr>
        <w:t>It is important for operators that the achievabl</w:t>
      </w:r>
      <w:r w:rsidR="007927ED">
        <w:rPr>
          <w:b/>
        </w:rPr>
        <w:t>e performance of the Spectrum efficiency and Energy consumption</w:t>
      </w:r>
      <w:r w:rsidR="007927ED" w:rsidRPr="007927ED">
        <w:rPr>
          <w:b/>
        </w:rPr>
        <w:t xml:space="preserve"> KPIs can be maximised, and thus it is important for operators to understand the </w:t>
      </w:r>
      <w:r w:rsidR="007927ED">
        <w:rPr>
          <w:b/>
        </w:rPr>
        <w:t xml:space="preserve">exact </w:t>
      </w:r>
      <w:r w:rsidR="007927ED" w:rsidRPr="007927ED">
        <w:rPr>
          <w:b/>
        </w:rPr>
        <w:t>rationale for limiting the maximum nu</w:t>
      </w:r>
      <w:r w:rsidR="007927ED">
        <w:rPr>
          <w:b/>
        </w:rPr>
        <w:t xml:space="preserve">mber of Base Station </w:t>
      </w:r>
      <w:proofErr w:type="spellStart"/>
      <w:r>
        <w:rPr>
          <w:b/>
        </w:rPr>
        <w:t>Tx</w:t>
      </w:r>
      <w:proofErr w:type="spellEnd"/>
      <w:r>
        <w:rPr>
          <w:b/>
        </w:rPr>
        <w:t xml:space="preserve"> and Rx </w:t>
      </w:r>
      <w:r w:rsidR="007927ED">
        <w:rPr>
          <w:b/>
        </w:rPr>
        <w:t xml:space="preserve">antenna elements to 256, </w:t>
      </w:r>
      <w:r w:rsidR="00ED29DC">
        <w:rPr>
          <w:b/>
        </w:rPr>
        <w:t>to understand whether</w:t>
      </w:r>
      <w:r w:rsidR="007927ED">
        <w:rPr>
          <w:b/>
        </w:rPr>
        <w:t xml:space="preserve"> there could be an opportunity to increase the maximum number of antenna elements for NR</w:t>
      </w:r>
      <w:r w:rsidR="00ED29DC">
        <w:rPr>
          <w:b/>
        </w:rPr>
        <w:t xml:space="preserve"> either now or at which point in the future. </w:t>
      </w:r>
    </w:p>
    <w:p w:rsidR="00A71B8D" w:rsidRDefault="00A71B8D" w:rsidP="005E5D7C">
      <w:pPr>
        <w:jc w:val="both"/>
      </w:pPr>
    </w:p>
    <w:p w:rsidR="007927ED" w:rsidRPr="005A7BD7" w:rsidRDefault="0028678B" w:rsidP="007927ED">
      <w:pPr>
        <w:pStyle w:val="Heading2"/>
      </w:pPr>
      <w:r>
        <w:t>2.2</w:t>
      </w:r>
      <w:r w:rsidR="007927ED">
        <w:t xml:space="preserve"> </w:t>
      </w:r>
      <w:r w:rsidR="00523771">
        <w:t>Lack of r</w:t>
      </w:r>
      <w:r w:rsidR="007927ED">
        <w:t xml:space="preserve">ationale for number of </w:t>
      </w:r>
      <w:r w:rsidR="00523771">
        <w:t xml:space="preserve">max </w:t>
      </w:r>
      <w:r w:rsidR="007927ED">
        <w:t>UE antenna elements</w:t>
      </w:r>
    </w:p>
    <w:p w:rsidR="00A71B8D" w:rsidRDefault="007927ED" w:rsidP="005E5D7C">
      <w:pPr>
        <w:jc w:val="both"/>
      </w:pPr>
      <w:r>
        <w:t>Here also RAN1 has essentially assumed the maximum number of antenna elements assumed by RAN plenary</w:t>
      </w:r>
      <w:r w:rsidR="00862EE8">
        <w:t>, and similarly RAN4 had no discussion on this (despite being responsible for developing OTA requirements for UEs)</w:t>
      </w:r>
      <w:r>
        <w:t xml:space="preserve">. It is also unclear here why these numbers were selected especially for higher bands, and whether higher numbers could potentially be assumed for certain device types, especially in higher bands. More antennas in the device would enable </w:t>
      </w:r>
      <w:r w:rsidR="0028678B">
        <w:t>higher spectrum efficiency.</w:t>
      </w:r>
    </w:p>
    <w:p w:rsidR="005A7BD7" w:rsidRDefault="0028678B" w:rsidP="005E5D7C">
      <w:pPr>
        <w:jc w:val="both"/>
        <w:rPr>
          <w:b/>
        </w:rPr>
      </w:pPr>
      <w:r w:rsidRPr="00ED29DC">
        <w:rPr>
          <w:b/>
          <w:u w:val="single"/>
        </w:rPr>
        <w:t>Observation</w:t>
      </w:r>
      <w:r w:rsidR="00ED29DC">
        <w:rPr>
          <w:b/>
          <w:u w:val="single"/>
        </w:rPr>
        <w:t xml:space="preserve"> 2</w:t>
      </w:r>
      <w:r>
        <w:rPr>
          <w:b/>
        </w:rPr>
        <w:t>:</w:t>
      </w:r>
      <w:r w:rsidRPr="0028678B">
        <w:rPr>
          <w:b/>
        </w:rPr>
        <w:t xml:space="preserve"> </w:t>
      </w:r>
      <w:r>
        <w:rPr>
          <w:b/>
        </w:rPr>
        <w:t>M</w:t>
      </w:r>
      <w:r w:rsidRPr="0028678B">
        <w:rPr>
          <w:b/>
        </w:rPr>
        <w:t xml:space="preserve">ore rationale </w:t>
      </w:r>
      <w:r>
        <w:rPr>
          <w:b/>
        </w:rPr>
        <w:t>is required</w:t>
      </w:r>
      <w:r w:rsidRPr="0028678B">
        <w:rPr>
          <w:b/>
        </w:rPr>
        <w:t xml:space="preserve"> on why the maximum numbers of </w:t>
      </w:r>
      <w:r>
        <w:rPr>
          <w:b/>
        </w:rPr>
        <w:t xml:space="preserve">UE </w:t>
      </w:r>
      <w:proofErr w:type="spellStart"/>
      <w:r>
        <w:rPr>
          <w:b/>
        </w:rPr>
        <w:t>Tx</w:t>
      </w:r>
      <w:proofErr w:type="spellEnd"/>
      <w:r>
        <w:rPr>
          <w:b/>
        </w:rPr>
        <w:t xml:space="preserve"> and Rx </w:t>
      </w:r>
      <w:r w:rsidRPr="0028678B">
        <w:rPr>
          <w:b/>
        </w:rPr>
        <w:t>antenna elements have been chosen for the different frequency ranges, so that we can understand whether there is an opportunity to go to higher numbers of antennas</w:t>
      </w:r>
      <w:r>
        <w:rPr>
          <w:b/>
        </w:rPr>
        <w:t xml:space="preserve"> either already now or </w:t>
      </w:r>
      <w:r w:rsidR="00ED29DC">
        <w:rPr>
          <w:b/>
        </w:rPr>
        <w:t>at which point in</w:t>
      </w:r>
      <w:r>
        <w:rPr>
          <w:b/>
        </w:rPr>
        <w:t xml:space="preserve"> the future</w:t>
      </w:r>
      <w:r w:rsidRPr="0028678B">
        <w:rPr>
          <w:b/>
        </w:rPr>
        <w:t>.</w:t>
      </w:r>
    </w:p>
    <w:p w:rsidR="0028678B" w:rsidRPr="0028678B" w:rsidRDefault="0028678B" w:rsidP="005E5D7C">
      <w:pPr>
        <w:jc w:val="both"/>
        <w:rPr>
          <w:b/>
        </w:rPr>
      </w:pPr>
    </w:p>
    <w:p w:rsidR="005A7BD7" w:rsidRDefault="0028678B" w:rsidP="0028678B">
      <w:pPr>
        <w:pStyle w:val="Heading1"/>
      </w:pPr>
      <w:r>
        <w:t>3.</w:t>
      </w:r>
      <w:r>
        <w:tab/>
        <w:t>Proposal</w:t>
      </w:r>
    </w:p>
    <w:p w:rsidR="00862EE8" w:rsidRPr="00862EE8" w:rsidRDefault="00862EE8" w:rsidP="00862EE8">
      <w:r>
        <w:t>The following is proposed:</w:t>
      </w:r>
    </w:p>
    <w:p w:rsidR="0028678B" w:rsidRDefault="0028678B" w:rsidP="00ED29DC">
      <w:pPr>
        <w:pStyle w:val="ListParagraph"/>
        <w:numPr>
          <w:ilvl w:val="0"/>
          <w:numId w:val="10"/>
        </w:numPr>
        <w:ind w:left="426" w:hanging="426"/>
        <w:contextualSpacing w:val="0"/>
      </w:pPr>
      <w:r>
        <w:t>Vodafone would like more information on the exact rationale on the maximum numbers of antenna elements selected for the Base Station and UE, with a view to understanding whether these limits can be increased</w:t>
      </w:r>
      <w:r w:rsidR="00ED29DC">
        <w:t xml:space="preserve"> for one or more of the frequency ranges</w:t>
      </w:r>
      <w:r>
        <w:t>.</w:t>
      </w:r>
    </w:p>
    <w:p w:rsidR="0028678B" w:rsidRDefault="00ED29DC" w:rsidP="00ED29DC">
      <w:pPr>
        <w:pStyle w:val="ListParagraph"/>
        <w:numPr>
          <w:ilvl w:val="0"/>
          <w:numId w:val="10"/>
        </w:numPr>
        <w:ind w:left="426" w:hanging="426"/>
        <w:contextualSpacing w:val="0"/>
      </w:pPr>
      <w:r>
        <w:t>Once the rationale is clear, if the maximum numbers of antenna elements are not deemed feasible to increase, then Vodafone would like it clearly agreed and documented as to why the current limit was selected, for future reference in case there is a change in the industry that removes this limitation.</w:t>
      </w:r>
    </w:p>
    <w:p w:rsidR="00523771" w:rsidRDefault="00523771" w:rsidP="00ED29DC">
      <w:pPr>
        <w:pStyle w:val="ListParagraph"/>
        <w:numPr>
          <w:ilvl w:val="0"/>
          <w:numId w:val="10"/>
        </w:numPr>
        <w:ind w:left="426" w:hanging="426"/>
        <w:contextualSpacing w:val="0"/>
      </w:pPr>
      <w:r>
        <w:t xml:space="preserve">If the maximum number of antenna elements is feasible and useful to increase, we would like that to be covered within the NR system design. </w:t>
      </w:r>
    </w:p>
    <w:p w:rsidR="0028678B" w:rsidRPr="00ED29DC" w:rsidRDefault="0028678B" w:rsidP="0028678B">
      <w:pPr>
        <w:jc w:val="both"/>
      </w:pPr>
      <w:r w:rsidRPr="00ED29DC">
        <w:t xml:space="preserve">NOTE: </w:t>
      </w:r>
      <w:r w:rsidR="00523771">
        <w:t>Proposal 3</w:t>
      </w:r>
      <w:r w:rsidR="00ED29DC">
        <w:t xml:space="preserve"> does not necessarily mean that this would need to be reflected in system evaluation scenarios for t</w:t>
      </w:r>
      <w:r w:rsidR="00523771">
        <w:t xml:space="preserve">he purposes of </w:t>
      </w:r>
      <w:r w:rsidR="000163E8">
        <w:t>NR</w:t>
      </w:r>
      <w:r w:rsidR="00523771">
        <w:t xml:space="preserve"> evaluation</w:t>
      </w:r>
      <w:r w:rsidR="000163E8">
        <w:t xml:space="preserve"> for ITU-R</w:t>
      </w:r>
      <w:r w:rsidR="00523771">
        <w:t>, and that would be a separate discussion</w:t>
      </w:r>
      <w:r w:rsidR="000163E8">
        <w:t xml:space="preserve"> to have</w:t>
      </w:r>
      <w:r w:rsidR="00523771">
        <w:t>.</w:t>
      </w:r>
    </w:p>
    <w:p w:rsidR="003A738E" w:rsidRPr="003A738E" w:rsidRDefault="003A738E" w:rsidP="003A738E">
      <w:pPr>
        <w:spacing w:after="0"/>
        <w:jc w:val="both"/>
        <w:rPr>
          <w:sz w:val="2"/>
          <w:szCs w:val="2"/>
        </w:rPr>
      </w:pPr>
    </w:p>
    <w:p w:rsidR="002102B9" w:rsidRDefault="00ED29DC" w:rsidP="002102B9">
      <w:pPr>
        <w:pStyle w:val="Heading1"/>
      </w:pPr>
      <w:r>
        <w:t>4</w:t>
      </w:r>
      <w:r w:rsidR="002102B9">
        <w:tab/>
        <w:t>References</w:t>
      </w:r>
    </w:p>
    <w:p w:rsidR="007D4BA7" w:rsidRPr="00ED29DC" w:rsidRDefault="007D4BA7" w:rsidP="00ED29DC">
      <w:pPr>
        <w:tabs>
          <w:tab w:val="left" w:pos="1985"/>
        </w:tabs>
        <w:kinsoku w:val="0"/>
        <w:ind w:left="708" w:hanging="708"/>
        <w:rPr>
          <w:rFonts w:eastAsia="Malgun Gothic"/>
        </w:rPr>
      </w:pPr>
      <w:r w:rsidRPr="00ED29DC">
        <w:rPr>
          <w:rFonts w:eastAsia="Malgun Gothic"/>
        </w:rPr>
        <w:t xml:space="preserve">[1] </w:t>
      </w:r>
      <w:r w:rsidR="00ED29DC">
        <w:rPr>
          <w:rFonts w:eastAsia="Malgun Gothic"/>
        </w:rPr>
        <w:tab/>
      </w:r>
      <w:r w:rsidR="00ED29DC" w:rsidRPr="00ED29DC">
        <w:rPr>
          <w:rFonts w:eastAsia="Calibri"/>
          <w:lang w:val="en-US" w:eastAsia="ko-KR"/>
        </w:rPr>
        <w:t>R1-16</w:t>
      </w:r>
      <w:r w:rsidR="00ED29DC" w:rsidRPr="00ED29DC">
        <w:rPr>
          <w:lang w:val="en-US" w:eastAsia="ko-KR"/>
        </w:rPr>
        <w:t>3986</w:t>
      </w:r>
      <w:r w:rsidR="00C02D41" w:rsidRPr="00ED29DC">
        <w:t xml:space="preserve">, </w:t>
      </w:r>
      <w:r w:rsidR="00ED29DC" w:rsidRPr="00ED29DC">
        <w:rPr>
          <w:rFonts w:eastAsia="Malgun Gothic"/>
        </w:rPr>
        <w:t>Remaining details of TRP antenna mode</w:t>
      </w:r>
      <w:r w:rsidR="00ED29DC">
        <w:rPr>
          <w:rFonts w:eastAsia="Malgun Gothic"/>
        </w:rPr>
        <w:t>l</w:t>
      </w:r>
      <w:r w:rsidR="00ED29DC" w:rsidRPr="00ED29DC">
        <w:rPr>
          <w:rFonts w:eastAsia="Malgun Gothic"/>
        </w:rPr>
        <w:t>ling and TXRU mapping/ virtualization</w:t>
      </w:r>
      <w:r w:rsidR="00ED29DC">
        <w:rPr>
          <w:rFonts w:eastAsia="Malgun Gothic"/>
        </w:rPr>
        <w:t>, Samsung</w:t>
      </w:r>
      <w:r w:rsidR="00ED29DC" w:rsidRPr="00ED29DC">
        <w:rPr>
          <w:rFonts w:eastAsia="Malgun Gothic"/>
        </w:rPr>
        <w:t xml:space="preserve">, </w:t>
      </w:r>
      <w:r w:rsidR="00ED29DC" w:rsidRPr="00ED29DC">
        <w:t>RAN1#85</w:t>
      </w:r>
    </w:p>
    <w:p w:rsidR="003F3B33" w:rsidRDefault="003F3B33" w:rsidP="00705D6F">
      <w:pPr>
        <w:jc w:val="both"/>
        <w:rPr>
          <w:szCs w:val="22"/>
          <w:lang w:val="en-US"/>
        </w:rPr>
      </w:pP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C52" w:rsidRDefault="006E4C52" w:rsidP="004F5952">
      <w:pPr>
        <w:spacing w:after="0"/>
      </w:pPr>
      <w:r>
        <w:separator/>
      </w:r>
    </w:p>
  </w:endnote>
  <w:endnote w:type="continuationSeparator" w:id="0">
    <w:p w:rsidR="006E4C52" w:rsidRDefault="006E4C52"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C52" w:rsidRDefault="006E4C52" w:rsidP="004F5952">
      <w:pPr>
        <w:spacing w:after="0"/>
      </w:pPr>
      <w:r>
        <w:separator/>
      </w:r>
    </w:p>
  </w:footnote>
  <w:footnote w:type="continuationSeparator" w:id="0">
    <w:p w:rsidR="006E4C52" w:rsidRDefault="006E4C52"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1DA4"/>
    <w:multiLevelType w:val="hybridMultilevel"/>
    <w:tmpl w:val="D910E482"/>
    <w:lvl w:ilvl="0" w:tplc="13E2015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D35644"/>
    <w:multiLevelType w:val="hybridMultilevel"/>
    <w:tmpl w:val="50BA58BE"/>
    <w:lvl w:ilvl="0" w:tplc="13E20150">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B533F8A"/>
    <w:multiLevelType w:val="hybridMultilevel"/>
    <w:tmpl w:val="F97A4646"/>
    <w:lvl w:ilvl="0" w:tplc="08090011">
      <w:start w:val="1"/>
      <w:numFmt w:val="decimal"/>
      <w:lvlText w:val="%1)"/>
      <w:lvlJc w:val="left"/>
      <w:pPr>
        <w:ind w:left="-1065" w:hanging="360"/>
      </w:pPr>
      <w:rPr>
        <w:rFonts w:hint="default"/>
      </w:rPr>
    </w:lvl>
    <w:lvl w:ilvl="1" w:tplc="08090019" w:tentative="1">
      <w:start w:val="1"/>
      <w:numFmt w:val="lowerLetter"/>
      <w:lvlText w:val="%2."/>
      <w:lvlJc w:val="left"/>
      <w:pPr>
        <w:ind w:left="-345" w:hanging="360"/>
      </w:pPr>
    </w:lvl>
    <w:lvl w:ilvl="2" w:tplc="0809001B" w:tentative="1">
      <w:start w:val="1"/>
      <w:numFmt w:val="lowerRoman"/>
      <w:lvlText w:val="%3."/>
      <w:lvlJc w:val="right"/>
      <w:pPr>
        <w:ind w:left="375" w:hanging="180"/>
      </w:pPr>
    </w:lvl>
    <w:lvl w:ilvl="3" w:tplc="0809000F" w:tentative="1">
      <w:start w:val="1"/>
      <w:numFmt w:val="decimal"/>
      <w:lvlText w:val="%4."/>
      <w:lvlJc w:val="left"/>
      <w:pPr>
        <w:ind w:left="1095" w:hanging="360"/>
      </w:pPr>
    </w:lvl>
    <w:lvl w:ilvl="4" w:tplc="08090019" w:tentative="1">
      <w:start w:val="1"/>
      <w:numFmt w:val="lowerLetter"/>
      <w:lvlText w:val="%5."/>
      <w:lvlJc w:val="left"/>
      <w:pPr>
        <w:ind w:left="1815" w:hanging="360"/>
      </w:pPr>
    </w:lvl>
    <w:lvl w:ilvl="5" w:tplc="0809001B" w:tentative="1">
      <w:start w:val="1"/>
      <w:numFmt w:val="lowerRoman"/>
      <w:lvlText w:val="%6."/>
      <w:lvlJc w:val="right"/>
      <w:pPr>
        <w:ind w:left="2535" w:hanging="180"/>
      </w:pPr>
    </w:lvl>
    <w:lvl w:ilvl="6" w:tplc="0809000F" w:tentative="1">
      <w:start w:val="1"/>
      <w:numFmt w:val="decimal"/>
      <w:lvlText w:val="%7."/>
      <w:lvlJc w:val="left"/>
      <w:pPr>
        <w:ind w:left="3255" w:hanging="360"/>
      </w:pPr>
    </w:lvl>
    <w:lvl w:ilvl="7" w:tplc="08090019" w:tentative="1">
      <w:start w:val="1"/>
      <w:numFmt w:val="lowerLetter"/>
      <w:lvlText w:val="%8."/>
      <w:lvlJc w:val="left"/>
      <w:pPr>
        <w:ind w:left="3975" w:hanging="360"/>
      </w:pPr>
    </w:lvl>
    <w:lvl w:ilvl="8" w:tplc="0809001B" w:tentative="1">
      <w:start w:val="1"/>
      <w:numFmt w:val="lowerRoman"/>
      <w:lvlText w:val="%9."/>
      <w:lvlJc w:val="right"/>
      <w:pPr>
        <w:ind w:left="4695" w:hanging="180"/>
      </w:pPr>
    </w:lvl>
  </w:abstractNum>
  <w:abstractNum w:abstractNumId="7">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9"/>
  </w:num>
  <w:num w:numId="4">
    <w:abstractNumId w:val="8"/>
  </w:num>
  <w:num w:numId="5">
    <w:abstractNumId w:val="5"/>
  </w:num>
  <w:num w:numId="6">
    <w:abstractNumId w:val="7"/>
  </w:num>
  <w:num w:numId="7">
    <w:abstractNumId w:val="2"/>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163E8"/>
    <w:rsid w:val="000355FB"/>
    <w:rsid w:val="00051147"/>
    <w:rsid w:val="000733D1"/>
    <w:rsid w:val="000C094E"/>
    <w:rsid w:val="000C61FA"/>
    <w:rsid w:val="000D67AE"/>
    <w:rsid w:val="000F1FCC"/>
    <w:rsid w:val="000F3115"/>
    <w:rsid w:val="0011629F"/>
    <w:rsid w:val="0017649B"/>
    <w:rsid w:val="001820E1"/>
    <w:rsid w:val="00186941"/>
    <w:rsid w:val="00191E5F"/>
    <w:rsid w:val="001A733D"/>
    <w:rsid w:val="001B1B6D"/>
    <w:rsid w:val="001B6501"/>
    <w:rsid w:val="001C4383"/>
    <w:rsid w:val="001D01B9"/>
    <w:rsid w:val="001F6AAE"/>
    <w:rsid w:val="002102B9"/>
    <w:rsid w:val="0022081F"/>
    <w:rsid w:val="002440C0"/>
    <w:rsid w:val="0027248F"/>
    <w:rsid w:val="0028678B"/>
    <w:rsid w:val="002A58A2"/>
    <w:rsid w:val="002C1A42"/>
    <w:rsid w:val="0035672D"/>
    <w:rsid w:val="003A738E"/>
    <w:rsid w:val="003B3684"/>
    <w:rsid w:val="003F3B33"/>
    <w:rsid w:val="0045334A"/>
    <w:rsid w:val="00460750"/>
    <w:rsid w:val="004871E3"/>
    <w:rsid w:val="00495AC8"/>
    <w:rsid w:val="004B07E8"/>
    <w:rsid w:val="004F5952"/>
    <w:rsid w:val="00523771"/>
    <w:rsid w:val="005A7BD7"/>
    <w:rsid w:val="005E0076"/>
    <w:rsid w:val="005E5D7C"/>
    <w:rsid w:val="006022D8"/>
    <w:rsid w:val="0060598B"/>
    <w:rsid w:val="00617ECD"/>
    <w:rsid w:val="00640C7E"/>
    <w:rsid w:val="00643273"/>
    <w:rsid w:val="00651673"/>
    <w:rsid w:val="00655BDC"/>
    <w:rsid w:val="00677A11"/>
    <w:rsid w:val="00693727"/>
    <w:rsid w:val="006962C5"/>
    <w:rsid w:val="006D0F26"/>
    <w:rsid w:val="006E2AD1"/>
    <w:rsid w:val="006E4C52"/>
    <w:rsid w:val="00705D6F"/>
    <w:rsid w:val="007638DC"/>
    <w:rsid w:val="00777789"/>
    <w:rsid w:val="007927ED"/>
    <w:rsid w:val="007D4BA7"/>
    <w:rsid w:val="007D4F0E"/>
    <w:rsid w:val="007D51E5"/>
    <w:rsid w:val="007F6190"/>
    <w:rsid w:val="00807FDD"/>
    <w:rsid w:val="008112E1"/>
    <w:rsid w:val="00834A5D"/>
    <w:rsid w:val="00862EE8"/>
    <w:rsid w:val="00884CDC"/>
    <w:rsid w:val="008B4CB6"/>
    <w:rsid w:val="00986BE4"/>
    <w:rsid w:val="009A03EC"/>
    <w:rsid w:val="009B61B7"/>
    <w:rsid w:val="00A02759"/>
    <w:rsid w:val="00A27722"/>
    <w:rsid w:val="00A53021"/>
    <w:rsid w:val="00A61772"/>
    <w:rsid w:val="00A71B8D"/>
    <w:rsid w:val="00A77581"/>
    <w:rsid w:val="00A80B13"/>
    <w:rsid w:val="00A92A69"/>
    <w:rsid w:val="00AC3D08"/>
    <w:rsid w:val="00AC7E9E"/>
    <w:rsid w:val="00AD4594"/>
    <w:rsid w:val="00AF1477"/>
    <w:rsid w:val="00B47D6E"/>
    <w:rsid w:val="00B77726"/>
    <w:rsid w:val="00B91724"/>
    <w:rsid w:val="00BA4B9A"/>
    <w:rsid w:val="00BB794E"/>
    <w:rsid w:val="00C02D41"/>
    <w:rsid w:val="00C20605"/>
    <w:rsid w:val="00C2184D"/>
    <w:rsid w:val="00C85518"/>
    <w:rsid w:val="00C85D12"/>
    <w:rsid w:val="00CA5880"/>
    <w:rsid w:val="00CD539D"/>
    <w:rsid w:val="00CE45D0"/>
    <w:rsid w:val="00D12135"/>
    <w:rsid w:val="00D908FA"/>
    <w:rsid w:val="00DD0FAA"/>
    <w:rsid w:val="00DF1A3B"/>
    <w:rsid w:val="00E5694D"/>
    <w:rsid w:val="00E70DFF"/>
    <w:rsid w:val="00E71A64"/>
    <w:rsid w:val="00E75DD7"/>
    <w:rsid w:val="00E93F53"/>
    <w:rsid w:val="00EB0C8B"/>
    <w:rsid w:val="00EC2EDB"/>
    <w:rsid w:val="00ED29DC"/>
    <w:rsid w:val="00ED29F0"/>
    <w:rsid w:val="00EE3FCB"/>
    <w:rsid w:val="00EE5F73"/>
    <w:rsid w:val="00F2705C"/>
    <w:rsid w:val="00F46A8B"/>
    <w:rsid w:val="00F93DFA"/>
    <w:rsid w:val="00FA2F98"/>
    <w:rsid w:val="00FC7FF3"/>
    <w:rsid w:val="00FE3B5C"/>
    <w:rsid w:val="00FF563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5A7BD7"/>
    <w:pPr>
      <w:keepNext/>
      <w:keepLines/>
      <w:spacing w:before="200" w:after="120"/>
      <w:outlineLvl w:val="1"/>
    </w:pPr>
    <w:rPr>
      <w:rFonts w:ascii="Arial" w:eastAsiaTheme="majorEastAsia" w:hAnsi="Arial" w:cstheme="majorBidi"/>
      <w:bCs/>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5A7BD7"/>
    <w:rPr>
      <w:rFonts w:ascii="Arial" w:eastAsiaTheme="majorEastAsia" w:hAnsi="Arial" w:cstheme="majorBidi"/>
      <w:bCs/>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C20605"/>
    <w:pPr>
      <w:spacing w:after="0" w:line="240" w:lineRule="auto"/>
    </w:pPr>
    <w:rPr>
      <w:rFonts w:ascii="Malgun Gothic" w:eastAsia="Malgun Gothic" w:hAnsi="Malgun Gothic"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5A7BD7"/>
    <w:pPr>
      <w:keepNext/>
      <w:keepLines/>
      <w:spacing w:before="200" w:after="120"/>
      <w:outlineLvl w:val="1"/>
    </w:pPr>
    <w:rPr>
      <w:rFonts w:ascii="Arial" w:eastAsiaTheme="majorEastAsia" w:hAnsi="Arial" w:cstheme="majorBidi"/>
      <w:bCs/>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5A7BD7"/>
    <w:rPr>
      <w:rFonts w:ascii="Arial" w:eastAsiaTheme="majorEastAsia" w:hAnsi="Arial" w:cstheme="majorBidi"/>
      <w:bCs/>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C20605"/>
    <w:pPr>
      <w:spacing w:after="0" w:line="240" w:lineRule="auto"/>
    </w:pPr>
    <w:rPr>
      <w:rFonts w:ascii="Malgun Gothic" w:eastAsia="Malgun Gothic" w:hAnsi="Malgun Gothic"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68181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Tim Frost1, Vodafone</cp:lastModifiedBy>
  <cp:revision>2</cp:revision>
  <dcterms:created xsi:type="dcterms:W3CDTF">2016-06-09T07:23:00Z</dcterms:created>
  <dcterms:modified xsi:type="dcterms:W3CDTF">2016-06-09T07:23:00Z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751597876</vt:i4>
  </property>
  <property fmtid="{D5CDD505-2E9C-101B-9397-08002B2CF9AE}" pid="3" name="_NewReviewCycle">
    <vt:lpwstr/>
  </property>
  <property fmtid="{D5CDD505-2E9C-101B-9397-08002B2CF9AE}" pid="4" name="_EmailSubject">
    <vt:lpwstr>First draft of contribution to RAN1</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523623473</vt:i4>
  </property>
</Properties>
</file>