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B0277" w14:textId="7ADB7566" w:rsidR="007127F3" w:rsidRPr="00632C6B" w:rsidRDefault="002E1523" w:rsidP="00AB3808">
      <w:pPr>
        <w:pStyle w:val="TdocHeader2"/>
        <w:adjustRightInd w:val="0"/>
        <w:snapToGrid w:val="0"/>
        <w:spacing w:before="120" w:after="120"/>
        <w:rPr>
          <w:rFonts w:ascii="Times New Roman" w:eastAsiaTheme="minorEastAsia" w:hAnsi="Times New Roman"/>
          <w:bCs/>
          <w:kern w:val="2"/>
          <w:sz w:val="28"/>
          <w:szCs w:val="24"/>
          <w:lang w:val="en-US"/>
        </w:rPr>
      </w:pPr>
      <w:bookmarkStart w:id="0" w:name="OLE_LINK3"/>
      <w:bookmarkStart w:id="1" w:name="OLE_LINK4"/>
      <w:r w:rsidRPr="002E1523">
        <w:rPr>
          <w:rFonts w:ascii="Times New Roman" w:eastAsiaTheme="minorEastAsia" w:hAnsi="Times New Roman"/>
          <w:bCs/>
          <w:kern w:val="2"/>
          <w:sz w:val="28"/>
          <w:szCs w:val="24"/>
          <w:lang w:val="en-US"/>
        </w:rPr>
        <w:t>3GPP TSG RAN Meeting #10</w:t>
      </w:r>
      <w:r>
        <w:rPr>
          <w:rFonts w:ascii="Times New Roman" w:eastAsiaTheme="minorEastAsia" w:hAnsi="Times New Roman"/>
          <w:bCs/>
          <w:kern w:val="2"/>
          <w:sz w:val="28"/>
          <w:szCs w:val="24"/>
          <w:lang w:val="en-US"/>
        </w:rPr>
        <w:t>4</w:t>
      </w:r>
      <w:r w:rsidR="001C481C">
        <w:rPr>
          <w:rFonts w:ascii="Times New Roman" w:hAnsi="Times New Roman"/>
          <w:bCs/>
          <w:kern w:val="2"/>
          <w:sz w:val="28"/>
          <w:szCs w:val="24"/>
          <w:lang w:val="en-US" w:eastAsia="en-US"/>
        </w:rPr>
        <w:t xml:space="preserve">                      </w:t>
      </w:r>
      <w:r w:rsidR="00AB3808">
        <w:rPr>
          <w:rFonts w:ascii="Times New Roman" w:hAnsi="Times New Roman"/>
          <w:bCs/>
          <w:kern w:val="2"/>
          <w:sz w:val="28"/>
          <w:szCs w:val="24"/>
          <w:lang w:val="en-US" w:eastAsia="en-US"/>
        </w:rPr>
        <w:t xml:space="preserve"> </w:t>
      </w:r>
      <w:r w:rsidR="00D356E9">
        <w:rPr>
          <w:rFonts w:ascii="Times New Roman" w:hAnsi="Times New Roman"/>
          <w:bCs/>
          <w:kern w:val="2"/>
          <w:sz w:val="28"/>
          <w:szCs w:val="24"/>
          <w:lang w:val="en-US" w:eastAsia="en-US"/>
        </w:rPr>
        <w:t xml:space="preserve">  </w:t>
      </w:r>
      <w:r w:rsidR="00FC4015">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 xml:space="preserve">          </w:t>
      </w:r>
      <w:r w:rsidR="00AB1511">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 xml:space="preserve">   </w:t>
      </w:r>
      <w:r w:rsidR="007C3799">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RP</w:t>
      </w:r>
      <w:r w:rsidR="001C481C">
        <w:rPr>
          <w:rFonts w:ascii="Times New Roman" w:hAnsi="Times New Roman"/>
          <w:bCs/>
          <w:kern w:val="2"/>
          <w:sz w:val="28"/>
          <w:szCs w:val="24"/>
          <w:lang w:val="en-US" w:eastAsia="en-US"/>
        </w:rPr>
        <w:t>-24</w:t>
      </w:r>
      <w:r w:rsidR="00AB1511">
        <w:rPr>
          <w:rFonts w:ascii="Times New Roman" w:hAnsi="Times New Roman"/>
          <w:bCs/>
          <w:kern w:val="2"/>
          <w:sz w:val="28"/>
          <w:szCs w:val="24"/>
          <w:lang w:val="en-US" w:eastAsia="en-US"/>
        </w:rPr>
        <w:t>1536</w:t>
      </w:r>
    </w:p>
    <w:p w14:paraId="411A4614" w14:textId="56B877F6" w:rsidR="007127F3" w:rsidRPr="00632C6B" w:rsidRDefault="002E1523" w:rsidP="00AB3808">
      <w:pPr>
        <w:pStyle w:val="TdocHeader2"/>
        <w:adjustRightInd w:val="0"/>
        <w:snapToGrid w:val="0"/>
        <w:spacing w:before="120" w:after="120"/>
        <w:rPr>
          <w:rFonts w:ascii="Times New Roman" w:eastAsiaTheme="minorEastAsia" w:hAnsi="Times New Roman"/>
          <w:bCs/>
          <w:sz w:val="28"/>
        </w:rPr>
      </w:pPr>
      <w:r>
        <w:rPr>
          <w:rFonts w:ascii="Times New Roman" w:hAnsi="Times New Roman"/>
          <w:bCs/>
          <w:kern w:val="2"/>
          <w:sz w:val="28"/>
          <w:szCs w:val="24"/>
          <w:lang w:val="en-US" w:eastAsia="en-US"/>
        </w:rPr>
        <w:t>Shanghai</w:t>
      </w:r>
      <w:r w:rsidR="00632C6B" w:rsidRPr="00632C6B">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Chin</w:t>
      </w:r>
      <w:r w:rsidR="00632C6B" w:rsidRPr="00632C6B">
        <w:rPr>
          <w:rFonts w:ascii="Times New Roman" w:hAnsi="Times New Roman"/>
          <w:bCs/>
          <w:kern w:val="2"/>
          <w:sz w:val="28"/>
          <w:szCs w:val="24"/>
          <w:lang w:val="en-US" w:eastAsia="en-US"/>
        </w:rPr>
        <w:t>a</w:t>
      </w:r>
      <w:r>
        <w:rPr>
          <w:rFonts w:ascii="Times New Roman" w:hAnsi="Times New Roman"/>
          <w:bCs/>
          <w:kern w:val="2"/>
          <w:sz w:val="28"/>
          <w:szCs w:val="24"/>
          <w:lang w:val="en-US" w:eastAsia="en-US"/>
        </w:rPr>
        <w:t>, June</w:t>
      </w:r>
      <w:r w:rsidR="00632C6B" w:rsidRPr="00632C6B">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17</w:t>
      </w:r>
      <w:r w:rsidR="00632C6B" w:rsidRPr="00632C6B">
        <w:rPr>
          <w:rFonts w:ascii="Times New Roman" w:hAnsi="Times New Roman"/>
          <w:bCs/>
          <w:kern w:val="2"/>
          <w:sz w:val="28"/>
          <w:szCs w:val="24"/>
          <w:lang w:val="en-US" w:eastAsia="en-US"/>
        </w:rPr>
        <w:t>– 2</w:t>
      </w:r>
      <w:r>
        <w:rPr>
          <w:rFonts w:ascii="Times New Roman" w:hAnsi="Times New Roman"/>
          <w:bCs/>
          <w:kern w:val="2"/>
          <w:sz w:val="28"/>
          <w:szCs w:val="24"/>
          <w:lang w:val="en-US" w:eastAsia="en-US"/>
        </w:rPr>
        <w:t>0</w:t>
      </w:r>
      <w:r w:rsidR="00632C6B" w:rsidRPr="00632C6B">
        <w:rPr>
          <w:rFonts w:ascii="Times New Roman" w:hAnsi="Times New Roman"/>
          <w:bCs/>
          <w:kern w:val="2"/>
          <w:sz w:val="28"/>
          <w:szCs w:val="24"/>
          <w:lang w:val="en-US" w:eastAsia="en-US"/>
        </w:rPr>
        <w:t>, 202</w:t>
      </w:r>
      <w:r w:rsidR="00632C6B">
        <w:rPr>
          <w:rFonts w:ascii="Times New Roman" w:eastAsiaTheme="minorEastAsia" w:hAnsi="Times New Roman" w:hint="eastAsia"/>
          <w:bCs/>
          <w:kern w:val="2"/>
          <w:sz w:val="28"/>
          <w:szCs w:val="24"/>
          <w:lang w:val="en-US"/>
        </w:rPr>
        <w:t>4</w:t>
      </w:r>
    </w:p>
    <w:p w14:paraId="27FF459C" w14:textId="77777777" w:rsidR="007127F3" w:rsidRDefault="007127F3" w:rsidP="00AB3808">
      <w:pPr>
        <w:pStyle w:val="TdocHeader2"/>
        <w:adjustRightInd w:val="0"/>
        <w:snapToGrid w:val="0"/>
        <w:spacing w:before="120" w:after="120"/>
        <w:rPr>
          <w:rFonts w:ascii="Times New Roman" w:hAnsi="Times New Roman"/>
          <w:bCs/>
          <w:sz w:val="28"/>
          <w:lang w:val="en-US" w:eastAsia="en-US"/>
        </w:rPr>
      </w:pPr>
    </w:p>
    <w:p w14:paraId="6493F0A7" w14:textId="4E5B737F" w:rsidR="001A6DE8" w:rsidRDefault="001A6DE8" w:rsidP="001A6DE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sidR="002E1523">
        <w:rPr>
          <w:rFonts w:ascii="Times New Roman" w:hAnsi="Times New Roman"/>
          <w:sz w:val="24"/>
          <w:szCs w:val="24"/>
          <w:lang w:val="en-US"/>
        </w:rPr>
        <w:t>9.3</w:t>
      </w:r>
      <w:r>
        <w:rPr>
          <w:rFonts w:ascii="Times New Roman" w:hAnsi="Times New Roman"/>
          <w:sz w:val="24"/>
          <w:szCs w:val="24"/>
          <w:lang w:val="en-US"/>
        </w:rPr>
        <w:t>.</w:t>
      </w:r>
      <w:r w:rsidR="002E1523">
        <w:rPr>
          <w:rFonts w:ascii="Times New Roman" w:hAnsi="Times New Roman"/>
          <w:sz w:val="24"/>
          <w:szCs w:val="24"/>
          <w:lang w:val="en-US"/>
        </w:rPr>
        <w:t>2.2</w:t>
      </w:r>
    </w:p>
    <w:p w14:paraId="071E2B12" w14:textId="638248E6" w:rsidR="007127F3" w:rsidRPr="001A6DE8" w:rsidRDefault="001C481C" w:rsidP="00AB3808">
      <w:pPr>
        <w:pStyle w:val="TdocHeader2"/>
        <w:adjustRightInd w:val="0"/>
        <w:snapToGrid w:val="0"/>
        <w:spacing w:before="120" w:after="120"/>
        <w:rPr>
          <w:rFonts w:ascii="Times New Roman" w:eastAsiaTheme="minorEastAsia"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w:t>
      </w:r>
      <w:r w:rsidR="001A6DE8">
        <w:rPr>
          <w:rFonts w:ascii="Times New Roman" w:eastAsiaTheme="minorEastAsia" w:hAnsi="Times New Roman" w:hint="eastAsia"/>
          <w:sz w:val="24"/>
          <w:szCs w:val="24"/>
          <w:lang w:val="en-US"/>
        </w:rPr>
        <w:t>SCN</w:t>
      </w:r>
    </w:p>
    <w:p w14:paraId="2B670A43" w14:textId="692A1323" w:rsidR="007127F3" w:rsidRDefault="001C481C"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EA0CEA">
        <w:rPr>
          <w:rFonts w:ascii="Times New Roman" w:hAnsi="Times New Roman"/>
          <w:sz w:val="24"/>
          <w:szCs w:val="24"/>
          <w:lang w:val="en-US"/>
        </w:rPr>
        <w:t>NR-</w:t>
      </w:r>
      <w:r w:rsidR="00CE22C3">
        <w:rPr>
          <w:rFonts w:ascii="Times New Roman" w:hAnsi="Times New Roman"/>
          <w:sz w:val="24"/>
          <w:szCs w:val="24"/>
          <w:lang w:val="en-US"/>
        </w:rPr>
        <w:t xml:space="preserve">NTN </w:t>
      </w:r>
      <w:r w:rsidR="002E1523">
        <w:rPr>
          <w:rFonts w:ascii="Times New Roman" w:eastAsiaTheme="minorEastAsia" w:hAnsi="Times New Roman"/>
          <w:sz w:val="24"/>
          <w:szCs w:val="24"/>
          <w:lang w:val="en-US"/>
        </w:rPr>
        <w:t>WID</w:t>
      </w:r>
    </w:p>
    <w:p w14:paraId="71A8655C" w14:textId="77777777" w:rsidR="007127F3" w:rsidRDefault="001C481C" w:rsidP="00AB3808">
      <w:pPr>
        <w:pStyle w:val="TdocHeader2"/>
        <w:adjustRightInd w:val="0"/>
        <w:snapToGrid w:val="0"/>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44562DF" w14:textId="77777777" w:rsidR="007127F3"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3" w:name="_Toc120549591"/>
      <w:r>
        <w:rPr>
          <w:rFonts w:ascii="Times New Roman" w:eastAsia="宋体" w:hAnsi="Times New Roman"/>
          <w:kern w:val="32"/>
          <w:sz w:val="32"/>
          <w:szCs w:val="32"/>
          <w:lang w:val="en-GB"/>
        </w:rPr>
        <w:t>Introduction</w:t>
      </w:r>
      <w:bookmarkEnd w:id="3"/>
    </w:p>
    <w:p w14:paraId="54EEE6F1" w14:textId="4A353164" w:rsidR="007127F3" w:rsidRPr="001A6DE8" w:rsidRDefault="00B55904" w:rsidP="006352DD">
      <w:pPr>
        <w:spacing w:beforeLines="50" w:before="120" w:afterLines="50" w:after="120"/>
        <w:rPr>
          <w:rFonts w:ascii="Times New Roman" w:hAnsi="Times New Roman" w:cs="Times New Roman"/>
          <w:sz w:val="22"/>
          <w:szCs w:val="22"/>
        </w:rPr>
      </w:pPr>
      <w:bookmarkStart w:id="4" w:name="_Hlk521259925"/>
      <w:bookmarkEnd w:id="0"/>
      <w:bookmarkEnd w:id="1"/>
      <w:r>
        <w:rPr>
          <w:rFonts w:ascii="Times New Roman" w:hAnsi="Times New Roman" w:cs="Times New Roman"/>
          <w:sz w:val="22"/>
          <w:szCs w:val="22"/>
        </w:rPr>
        <w:t>In</w:t>
      </w:r>
      <w:r w:rsidR="001C481C" w:rsidRPr="001A6DE8">
        <w:rPr>
          <w:rFonts w:ascii="Times New Roman" w:hAnsi="Times New Roman" w:cs="Times New Roman"/>
          <w:sz w:val="22"/>
          <w:szCs w:val="22"/>
        </w:rPr>
        <w:t xml:space="preserve"> RAN#</w:t>
      </w:r>
      <w:r w:rsidR="00E52675">
        <w:rPr>
          <w:rFonts w:ascii="Times New Roman" w:hAnsi="Times New Roman" w:cs="Times New Roman"/>
          <w:sz w:val="22"/>
          <w:szCs w:val="22"/>
        </w:rPr>
        <w:t>102</w:t>
      </w:r>
      <w:r w:rsidR="001C481C" w:rsidRPr="001A6DE8">
        <w:rPr>
          <w:rFonts w:ascii="Times New Roman" w:hAnsi="Times New Roman" w:cs="Times New Roman"/>
          <w:sz w:val="22"/>
          <w:szCs w:val="22"/>
        </w:rPr>
        <w:t xml:space="preserve"> meeting,</w:t>
      </w:r>
      <w:r w:rsidRPr="00B55904">
        <w:rPr>
          <w:rFonts w:ascii="Times New Roman" w:hAnsi="Times New Roman" w:cs="Times New Roman"/>
          <w:sz w:val="22"/>
          <w:szCs w:val="22"/>
        </w:rPr>
        <w:t xml:space="preserve"> </w:t>
      </w:r>
      <w:r w:rsidR="00CE22C3">
        <w:rPr>
          <w:rFonts w:ascii="Times New Roman" w:hAnsi="Times New Roman" w:cs="Times New Roman"/>
          <w:sz w:val="22"/>
          <w:szCs w:val="22"/>
        </w:rPr>
        <w:t>the WI</w:t>
      </w:r>
      <w:r w:rsidR="00CE22C3" w:rsidRPr="00B55904">
        <w:rPr>
          <w:rFonts w:ascii="Times New Roman" w:hAnsi="Times New Roman" w:cs="Times New Roman"/>
          <w:sz w:val="22"/>
          <w:szCs w:val="22"/>
        </w:rPr>
        <w:t xml:space="preserve"> </w:t>
      </w:r>
      <w:r w:rsidR="00CE22C3">
        <w:rPr>
          <w:rFonts w:ascii="Times New Roman" w:hAnsi="Times New Roman" w:cs="Times New Roman"/>
          <w:sz w:val="22"/>
          <w:szCs w:val="22"/>
        </w:rPr>
        <w:t>for NR-</w:t>
      </w:r>
      <w:r w:rsidRPr="00B55904">
        <w:rPr>
          <w:rFonts w:ascii="Times New Roman" w:hAnsi="Times New Roman" w:cs="Times New Roman"/>
          <w:sz w:val="22"/>
          <w:szCs w:val="22"/>
        </w:rPr>
        <w:t xml:space="preserve">NTN </w:t>
      </w:r>
      <w:r w:rsidR="00CE22C3">
        <w:rPr>
          <w:rFonts w:ascii="Times New Roman" w:hAnsi="Times New Roman" w:cs="Times New Roman"/>
          <w:sz w:val="22"/>
          <w:szCs w:val="22"/>
        </w:rPr>
        <w:t xml:space="preserve">Phase 3 </w:t>
      </w:r>
      <w:r w:rsidRPr="00B55904">
        <w:rPr>
          <w:rFonts w:ascii="Times New Roman" w:hAnsi="Times New Roman" w:cs="Times New Roman"/>
          <w:sz w:val="22"/>
          <w:szCs w:val="22"/>
        </w:rPr>
        <w:t xml:space="preserve">was approved </w:t>
      </w:r>
      <w:r w:rsidR="00CE22C3">
        <w:rPr>
          <w:rFonts w:ascii="Times New Roman" w:hAnsi="Times New Roman" w:cs="Times New Roman"/>
          <w:sz w:val="22"/>
          <w:szCs w:val="22"/>
        </w:rPr>
        <w:t>with t</w:t>
      </w:r>
      <w:r w:rsidR="00CE22C3" w:rsidRPr="00B55904">
        <w:rPr>
          <w:rFonts w:ascii="Times New Roman" w:hAnsi="Times New Roman" w:cs="Times New Roman"/>
          <w:sz w:val="22"/>
          <w:szCs w:val="22"/>
        </w:rPr>
        <w:t>he following objective</w:t>
      </w:r>
      <w:r w:rsidR="00CE22C3">
        <w:rPr>
          <w:rFonts w:ascii="Times New Roman" w:hAnsi="Times New Roman" w:cs="Times New Roman"/>
          <w:sz w:val="22"/>
          <w:szCs w:val="22"/>
        </w:rPr>
        <w:t xml:space="preserve"> about</w:t>
      </w:r>
      <w:r w:rsidRPr="00B55904">
        <w:rPr>
          <w:rFonts w:ascii="Times New Roman" w:hAnsi="Times New Roman" w:cs="Times New Roman"/>
          <w:sz w:val="22"/>
          <w:szCs w:val="22"/>
        </w:rPr>
        <w:t xml:space="preserve"> </w:t>
      </w:r>
      <w:r>
        <w:rPr>
          <w:rFonts w:ascii="Times New Roman" w:hAnsi="Times New Roman" w:cs="Times New Roman"/>
          <w:sz w:val="22"/>
          <w:szCs w:val="22"/>
        </w:rPr>
        <w:t>down</w:t>
      </w:r>
      <w:r w:rsidRPr="00B55904">
        <w:rPr>
          <w:rFonts w:ascii="Times New Roman" w:hAnsi="Times New Roman" w:cs="Times New Roman"/>
          <w:sz w:val="22"/>
          <w:szCs w:val="22"/>
        </w:rPr>
        <w:t xml:space="preserve">link capacity enhancement </w:t>
      </w:r>
      <w:r w:rsidR="00C00082">
        <w:rPr>
          <w:rFonts w:ascii="Times New Roman" w:hAnsi="Times New Roman" w:cs="Times New Roman" w:hint="eastAsia"/>
          <w:sz w:val="22"/>
          <w:szCs w:val="22"/>
        </w:rPr>
        <w:t>[1]</w:t>
      </w:r>
      <w:r w:rsidR="00295314">
        <w:rPr>
          <w:rFonts w:ascii="Times New Roman" w:hAnsi="Times New Roman" w:cs="Times New Roman" w:hint="eastAsia"/>
          <w:sz w:val="22"/>
          <w:szCs w:val="22"/>
        </w:rPr>
        <w:t>,</w:t>
      </w:r>
    </w:p>
    <w:tbl>
      <w:tblPr>
        <w:tblStyle w:val="aff1"/>
        <w:tblW w:w="0" w:type="auto"/>
        <w:tblInd w:w="113" w:type="dxa"/>
        <w:tblLook w:val="04A0" w:firstRow="1" w:lastRow="0" w:firstColumn="1" w:lastColumn="0" w:noHBand="0" w:noVBand="1"/>
      </w:tblPr>
      <w:tblGrid>
        <w:gridCol w:w="9498"/>
      </w:tblGrid>
      <w:tr w:rsidR="007127F3" w14:paraId="617E2195" w14:textId="77777777">
        <w:tc>
          <w:tcPr>
            <w:tcW w:w="9849" w:type="dxa"/>
          </w:tcPr>
          <w:p w14:paraId="0F85A6E9" w14:textId="77777777" w:rsidR="00B55904" w:rsidRPr="00B55904" w:rsidRDefault="00B55904" w:rsidP="00B55904">
            <w:pPr>
              <w:spacing w:line="276" w:lineRule="auto"/>
              <w:rPr>
                <w:bCs/>
                <w:sz w:val="20"/>
                <w:szCs w:val="20"/>
              </w:rPr>
            </w:pPr>
            <w:r w:rsidRPr="00B55904">
              <w:rPr>
                <w:bCs/>
                <w:sz w:val="20"/>
                <w:szCs w:val="20"/>
              </w:rPr>
              <w:t>The</w:t>
            </w:r>
            <w:r w:rsidRPr="00B55904">
              <w:rPr>
                <w:rFonts w:hint="eastAsia"/>
                <w:bCs/>
                <w:sz w:val="20"/>
                <w:szCs w:val="20"/>
              </w:rPr>
              <w:t xml:space="preserve"> </w:t>
            </w:r>
            <w:r w:rsidRPr="00B55904">
              <w:rPr>
                <w:bCs/>
                <w:sz w:val="20"/>
                <w:szCs w:val="20"/>
              </w:rPr>
              <w:t>objectives of the work item are the following:</w:t>
            </w:r>
          </w:p>
          <w:p w14:paraId="45D5CA53" w14:textId="77777777" w:rsidR="00B55904" w:rsidRPr="00B55904" w:rsidRDefault="00B55904" w:rsidP="00B55904">
            <w:pPr>
              <w:widowControl/>
              <w:numPr>
                <w:ilvl w:val="0"/>
                <w:numId w:val="12"/>
              </w:numPr>
              <w:overflowPunct w:val="0"/>
              <w:autoSpaceDE w:val="0"/>
              <w:autoSpaceDN w:val="0"/>
              <w:adjustRightInd w:val="0"/>
              <w:spacing w:line="276" w:lineRule="auto"/>
              <w:jc w:val="left"/>
              <w:textAlignment w:val="baseline"/>
              <w:rPr>
                <w:rFonts w:eastAsia="Calibri"/>
                <w:sz w:val="20"/>
                <w:szCs w:val="20"/>
                <w:lang w:eastAsia="ko-KR"/>
              </w:rPr>
            </w:pPr>
            <w:r w:rsidRPr="00B55904">
              <w:rPr>
                <w:rFonts w:eastAsia="Calibri"/>
                <w:sz w:val="20"/>
                <w:szCs w:val="20"/>
                <w:lang w:eastAsia="ko-KR"/>
              </w:rPr>
              <w:t>Study and specify</w:t>
            </w:r>
            <w:bookmarkStart w:id="5" w:name="_Hlk153196886"/>
            <w:r w:rsidRPr="00B55904">
              <w:rPr>
                <w:rFonts w:eastAsia="Calibri"/>
                <w:sz w:val="20"/>
                <w:szCs w:val="20"/>
                <w:lang w:eastAsia="ko-KR"/>
              </w:rPr>
              <w:t xml:space="preserve"> if beneficial</w:t>
            </w:r>
            <w:bookmarkEnd w:id="5"/>
            <w:r w:rsidRPr="00B55904">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35BFB5E2" w14:textId="77777777" w:rsidR="00B55904" w:rsidRPr="00B55904" w:rsidRDefault="00B55904" w:rsidP="00B55904">
            <w:pPr>
              <w:pStyle w:val="aff9"/>
              <w:widowControl w:val="0"/>
              <w:numPr>
                <w:ilvl w:val="0"/>
                <w:numId w:val="13"/>
              </w:numPr>
              <w:spacing w:beforeLines="0" w:before="120" w:afterLines="0" w:after="120" w:line="276" w:lineRule="auto"/>
              <w:ind w:firstLineChars="0"/>
              <w:contextualSpacing/>
              <w:jc w:val="both"/>
              <w:rPr>
                <w:sz w:val="20"/>
                <w:szCs w:val="20"/>
              </w:rPr>
            </w:pPr>
            <w:r w:rsidRPr="00B55904">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6B16FE1" w14:textId="77777777" w:rsidR="00B55904" w:rsidRPr="00B55904" w:rsidRDefault="00B55904" w:rsidP="00B55904">
            <w:pPr>
              <w:pStyle w:val="aff9"/>
              <w:widowControl w:val="0"/>
              <w:numPr>
                <w:ilvl w:val="0"/>
                <w:numId w:val="13"/>
              </w:numPr>
              <w:spacing w:beforeLines="0" w:before="120" w:afterLines="0" w:after="120" w:line="276" w:lineRule="auto"/>
              <w:ind w:firstLineChars="0"/>
              <w:contextualSpacing/>
              <w:jc w:val="both"/>
              <w:rPr>
                <w:sz w:val="20"/>
                <w:szCs w:val="20"/>
              </w:rPr>
            </w:pPr>
            <w:r w:rsidRPr="00B55904">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01DB6DF" w14:textId="77777777" w:rsidR="00B55904" w:rsidRPr="00B55904" w:rsidRDefault="00B55904" w:rsidP="00B55904">
            <w:pPr>
              <w:pStyle w:val="aff9"/>
              <w:widowControl w:val="0"/>
              <w:numPr>
                <w:ilvl w:val="0"/>
                <w:numId w:val="13"/>
              </w:numPr>
              <w:spacing w:beforeLines="0" w:before="120" w:afterLines="0" w:after="120" w:line="276" w:lineRule="auto"/>
              <w:ind w:firstLineChars="0"/>
              <w:contextualSpacing/>
              <w:jc w:val="both"/>
              <w:rPr>
                <w:sz w:val="20"/>
                <w:szCs w:val="20"/>
              </w:rPr>
            </w:pPr>
            <w:r w:rsidRPr="00B55904">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EFD6253" w14:textId="77777777" w:rsidR="00B55904" w:rsidRPr="00B55904" w:rsidRDefault="00B55904" w:rsidP="00B55904">
            <w:pPr>
              <w:pStyle w:val="aff9"/>
              <w:widowControl w:val="0"/>
              <w:numPr>
                <w:ilvl w:val="0"/>
                <w:numId w:val="13"/>
              </w:numPr>
              <w:spacing w:beforeLines="0" w:before="120" w:afterLines="0" w:after="120" w:line="276" w:lineRule="auto"/>
              <w:ind w:firstLineChars="0"/>
              <w:contextualSpacing/>
              <w:jc w:val="both"/>
              <w:rPr>
                <w:sz w:val="20"/>
                <w:szCs w:val="20"/>
              </w:rPr>
            </w:pPr>
            <w:r w:rsidRPr="00B55904">
              <w:rPr>
                <w:sz w:val="20"/>
                <w:szCs w:val="20"/>
              </w:rPr>
              <w:t>Notes for this objective:</w:t>
            </w:r>
          </w:p>
          <w:p w14:paraId="59B1F7C5" w14:textId="77777777" w:rsidR="00B55904" w:rsidRPr="00B55904" w:rsidRDefault="00B55904" w:rsidP="00B55904">
            <w:pPr>
              <w:pStyle w:val="aff9"/>
              <w:widowControl w:val="0"/>
              <w:numPr>
                <w:ilvl w:val="1"/>
                <w:numId w:val="13"/>
              </w:numPr>
              <w:spacing w:beforeLines="0" w:before="120" w:afterLines="0" w:after="120" w:line="276" w:lineRule="auto"/>
              <w:ind w:firstLineChars="0"/>
              <w:contextualSpacing/>
              <w:jc w:val="both"/>
              <w:rPr>
                <w:sz w:val="20"/>
                <w:szCs w:val="20"/>
              </w:rPr>
            </w:pPr>
            <w:r w:rsidRPr="00B55904">
              <w:rPr>
                <w:sz w:val="20"/>
                <w:szCs w:val="20"/>
              </w:rPr>
              <w:t>SSB channel enhancement is not considered</w:t>
            </w:r>
          </w:p>
          <w:p w14:paraId="1B7B36E1" w14:textId="77777777" w:rsidR="00B55904" w:rsidRPr="00B55904" w:rsidRDefault="00B55904" w:rsidP="00B55904">
            <w:pPr>
              <w:pStyle w:val="aff9"/>
              <w:widowControl w:val="0"/>
              <w:numPr>
                <w:ilvl w:val="1"/>
                <w:numId w:val="13"/>
              </w:numPr>
              <w:spacing w:beforeLines="0" w:before="120" w:afterLines="0" w:after="120" w:line="276" w:lineRule="auto"/>
              <w:ind w:firstLineChars="0"/>
              <w:contextualSpacing/>
              <w:jc w:val="both"/>
              <w:rPr>
                <w:sz w:val="20"/>
                <w:szCs w:val="20"/>
              </w:rPr>
            </w:pPr>
            <w:r w:rsidRPr="00B55904">
              <w:rPr>
                <w:sz w:val="20"/>
                <w:szCs w:val="20"/>
              </w:rPr>
              <w:t>Antenna gain of UE shall be assumed to be -5.5dBi in case of smartphone in FR1-NTN, the UE is assumed to be a full duplex UE, and at least 2Rx are considered at the UE</w:t>
            </w:r>
          </w:p>
          <w:p w14:paraId="60F5284F" w14:textId="77777777" w:rsidR="00B55904" w:rsidRPr="00B55904" w:rsidRDefault="00B55904" w:rsidP="00B55904">
            <w:pPr>
              <w:pStyle w:val="aff9"/>
              <w:widowControl w:val="0"/>
              <w:numPr>
                <w:ilvl w:val="1"/>
                <w:numId w:val="13"/>
              </w:numPr>
              <w:spacing w:beforeLines="0" w:before="120" w:afterLines="0" w:after="120" w:line="276" w:lineRule="auto"/>
              <w:ind w:firstLineChars="0"/>
              <w:contextualSpacing/>
              <w:jc w:val="both"/>
              <w:rPr>
                <w:sz w:val="20"/>
                <w:szCs w:val="20"/>
              </w:rPr>
            </w:pPr>
            <w:r w:rsidRPr="00B55904">
              <w:rPr>
                <w:sz w:val="20"/>
                <w:szCs w:val="20"/>
              </w:rPr>
              <w:t>NGSO to be considered in priority: LEO Set-1 @ 600 km</w:t>
            </w:r>
          </w:p>
          <w:p w14:paraId="465FBA62" w14:textId="34488310" w:rsidR="0034131F" w:rsidRPr="00B55904" w:rsidRDefault="00B55904" w:rsidP="00B55904">
            <w:pPr>
              <w:pStyle w:val="aff9"/>
              <w:widowControl w:val="0"/>
              <w:numPr>
                <w:ilvl w:val="1"/>
                <w:numId w:val="13"/>
              </w:numPr>
              <w:spacing w:beforeLines="0" w:before="120" w:afterLines="0" w:after="120" w:line="276" w:lineRule="auto"/>
              <w:ind w:firstLineChars="0"/>
              <w:contextualSpacing/>
              <w:jc w:val="both"/>
              <w:rPr>
                <w:sz w:val="20"/>
                <w:szCs w:val="20"/>
              </w:rPr>
            </w:pPr>
            <w:r w:rsidRPr="00B55904">
              <w:rPr>
                <w:sz w:val="20"/>
                <w:szCs w:val="20"/>
              </w:rPr>
              <w:t>Rel-18 network energy saving techniques should be considered as baseline in the system level study</w:t>
            </w:r>
          </w:p>
        </w:tc>
      </w:tr>
    </w:tbl>
    <w:p w14:paraId="3EDB451E" w14:textId="3F185E37" w:rsidR="007127F3" w:rsidRDefault="001C481C" w:rsidP="006352DD">
      <w:pPr>
        <w:spacing w:beforeLines="50" w:before="120" w:afterLines="50" w:after="120"/>
        <w:rPr>
          <w:rFonts w:ascii="Times New Roman" w:hAnsi="Times New Roman" w:cs="Times New Roman"/>
          <w:bCs/>
          <w:iCs/>
          <w:sz w:val="22"/>
          <w:szCs w:val="20"/>
        </w:rPr>
      </w:pPr>
      <w:r w:rsidRPr="00AC11E4">
        <w:rPr>
          <w:rFonts w:ascii="Times New Roman" w:hAnsi="Times New Roman" w:cs="Times New Roman" w:hint="eastAsia"/>
          <w:bCs/>
          <w:iCs/>
          <w:sz w:val="22"/>
          <w:szCs w:val="20"/>
        </w:rPr>
        <w:t xml:space="preserve">In this contribution, </w:t>
      </w:r>
      <w:r w:rsidR="001228A4">
        <w:rPr>
          <w:rFonts w:ascii="Times New Roman" w:hAnsi="Times New Roman" w:cs="Times New Roman"/>
          <w:bCs/>
          <w:iCs/>
          <w:sz w:val="22"/>
          <w:szCs w:val="20"/>
        </w:rPr>
        <w:t xml:space="preserve">we discuss the </w:t>
      </w:r>
      <w:r w:rsidR="00CE22C3">
        <w:rPr>
          <w:rFonts w:ascii="Times New Roman" w:hAnsi="Times New Roman" w:cs="Times New Roman"/>
          <w:bCs/>
          <w:iCs/>
          <w:sz w:val="22"/>
          <w:szCs w:val="20"/>
        </w:rPr>
        <w:t xml:space="preserve">objective </w:t>
      </w:r>
      <w:r w:rsidR="00585C13">
        <w:rPr>
          <w:rFonts w:ascii="Times New Roman" w:hAnsi="Times New Roman" w:cs="Times New Roman"/>
          <w:bCs/>
          <w:iCs/>
          <w:sz w:val="22"/>
          <w:szCs w:val="20"/>
        </w:rPr>
        <w:t xml:space="preserve">and propose </w:t>
      </w:r>
      <w:r w:rsidR="006B279E">
        <w:rPr>
          <w:rFonts w:ascii="Times New Roman" w:hAnsi="Times New Roman" w:cs="Times New Roman"/>
          <w:bCs/>
          <w:iCs/>
          <w:sz w:val="22"/>
          <w:szCs w:val="20"/>
        </w:rPr>
        <w:t>clarification on</w:t>
      </w:r>
      <w:r w:rsidR="00585C13">
        <w:rPr>
          <w:rFonts w:ascii="Times New Roman" w:hAnsi="Times New Roman" w:cs="Times New Roman"/>
          <w:bCs/>
          <w:iCs/>
          <w:sz w:val="22"/>
          <w:szCs w:val="20"/>
        </w:rPr>
        <w:t xml:space="preserve"> the</w:t>
      </w:r>
      <w:r w:rsidR="006B279E">
        <w:rPr>
          <w:rFonts w:ascii="Times New Roman" w:hAnsi="Times New Roman" w:cs="Times New Roman"/>
          <w:bCs/>
          <w:iCs/>
          <w:sz w:val="22"/>
          <w:szCs w:val="20"/>
        </w:rPr>
        <w:t xml:space="preserve"> scope</w:t>
      </w:r>
      <w:r w:rsidR="006B279E" w:rsidRPr="006B279E">
        <w:rPr>
          <w:rFonts w:ascii="Times New Roman" w:hAnsi="Times New Roman" w:cs="Times New Roman"/>
          <w:bCs/>
          <w:iCs/>
          <w:sz w:val="22"/>
          <w:szCs w:val="20"/>
        </w:rPr>
        <w:t xml:space="preserve"> </w:t>
      </w:r>
      <w:r w:rsidR="006B279E">
        <w:rPr>
          <w:rFonts w:ascii="Times New Roman" w:hAnsi="Times New Roman" w:cs="Times New Roman"/>
          <w:bCs/>
          <w:iCs/>
          <w:sz w:val="22"/>
          <w:szCs w:val="20"/>
        </w:rPr>
        <w:t>for Rel-19 NR NTN</w:t>
      </w:r>
      <w:r w:rsidR="00585C13">
        <w:rPr>
          <w:rFonts w:ascii="Times New Roman" w:hAnsi="Times New Roman" w:cs="Times New Roman"/>
          <w:bCs/>
          <w:iCs/>
          <w:sz w:val="22"/>
          <w:szCs w:val="20"/>
        </w:rPr>
        <w:t xml:space="preserve"> WID b</w:t>
      </w:r>
      <w:r w:rsidR="00CE22C3">
        <w:rPr>
          <w:rFonts w:ascii="Times New Roman" w:hAnsi="Times New Roman" w:cs="Times New Roman"/>
          <w:bCs/>
          <w:iCs/>
          <w:sz w:val="22"/>
          <w:szCs w:val="20"/>
        </w:rPr>
        <w:t>ased on the recent progress in RAN1.</w:t>
      </w:r>
    </w:p>
    <w:p w14:paraId="7CF770A1" w14:textId="77777777" w:rsidR="007127F3" w:rsidRDefault="001C481C"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70B4D81C" w14:textId="7B11B502" w:rsidR="00621A40" w:rsidRDefault="00FD33B7" w:rsidP="00FD33B7">
      <w:r w:rsidRPr="00EA0CEA">
        <w:rPr>
          <w:rFonts w:ascii="Times New Roman" w:hAnsi="Times New Roman" w:cs="Times New Roman"/>
          <w:sz w:val="22"/>
          <w:szCs w:val="22"/>
        </w:rPr>
        <w:t>Due to the l</w:t>
      </w:r>
      <w:r>
        <w:rPr>
          <w:rFonts w:ascii="Times New Roman" w:hAnsi="Times New Roman" w:cs="Times New Roman"/>
          <w:sz w:val="22"/>
          <w:szCs w:val="22"/>
        </w:rPr>
        <w:t xml:space="preserve">imited number of </w:t>
      </w:r>
      <w:r w:rsidRPr="00B83589">
        <w:rPr>
          <w:rFonts w:ascii="Times New Roman" w:hAnsi="Times New Roman" w:cs="Times New Roman"/>
          <w:sz w:val="22"/>
          <w:szCs w:val="22"/>
        </w:rPr>
        <w:t>simultaneously active beams</w:t>
      </w:r>
      <w:r>
        <w:rPr>
          <w:rFonts w:ascii="Times New Roman" w:hAnsi="Times New Roman" w:cs="Times New Roman"/>
          <w:sz w:val="22"/>
          <w:szCs w:val="22"/>
        </w:rPr>
        <w:t xml:space="preserve">, </w:t>
      </w:r>
      <w:r w:rsidRPr="00B83589">
        <w:rPr>
          <w:rFonts w:ascii="Times New Roman" w:hAnsi="Times New Roman" w:cs="Times New Roman"/>
          <w:sz w:val="22"/>
          <w:szCs w:val="22"/>
        </w:rPr>
        <w:t xml:space="preserve">beam hopping is a necessary method </w:t>
      </w:r>
      <w:r w:rsidR="0094304E">
        <w:rPr>
          <w:rFonts w:ascii="Times New Roman" w:hAnsi="Times New Roman" w:cs="Times New Roman"/>
          <w:sz w:val="22"/>
          <w:szCs w:val="22"/>
        </w:rPr>
        <w:t>for a satellite</w:t>
      </w:r>
      <w:r w:rsidR="0094304E" w:rsidRPr="00B83589">
        <w:rPr>
          <w:rFonts w:ascii="Times New Roman" w:hAnsi="Times New Roman" w:cs="Times New Roman"/>
          <w:sz w:val="22"/>
          <w:szCs w:val="22"/>
        </w:rPr>
        <w:t xml:space="preserve"> </w:t>
      </w:r>
      <w:r w:rsidRPr="00B83589">
        <w:rPr>
          <w:rFonts w:ascii="Times New Roman" w:hAnsi="Times New Roman" w:cs="Times New Roman"/>
          <w:sz w:val="22"/>
          <w:szCs w:val="22"/>
        </w:rPr>
        <w:t>to efficient</w:t>
      </w:r>
      <w:r w:rsidR="0094304E">
        <w:rPr>
          <w:rFonts w:ascii="Times New Roman" w:hAnsi="Times New Roman" w:cs="Times New Roman"/>
          <w:sz w:val="22"/>
          <w:szCs w:val="22"/>
        </w:rPr>
        <w:t>ly cover the whole service area</w:t>
      </w:r>
      <w:r>
        <w:rPr>
          <w:rFonts w:ascii="Times New Roman" w:hAnsi="Times New Roman" w:cs="Times New Roman"/>
          <w:sz w:val="22"/>
          <w:szCs w:val="22"/>
        </w:rPr>
        <w:t>. B</w:t>
      </w:r>
      <w:r w:rsidRPr="00804215">
        <w:rPr>
          <w:rFonts w:ascii="Times New Roman" w:hAnsi="Times New Roman" w:cs="Times New Roman"/>
          <w:sz w:val="22"/>
          <w:szCs w:val="22"/>
        </w:rPr>
        <w:t xml:space="preserve">ased </w:t>
      </w:r>
      <w:r>
        <w:rPr>
          <w:rFonts w:ascii="Times New Roman" w:hAnsi="Times New Roman" w:cs="Times New Roman"/>
          <w:sz w:val="22"/>
          <w:szCs w:val="22"/>
        </w:rPr>
        <w:t>on agreed</w:t>
      </w:r>
      <w:r w:rsidRPr="00804215">
        <w:rPr>
          <w:rFonts w:ascii="Times New Roman" w:hAnsi="Times New Roman" w:cs="Times New Roman"/>
          <w:sz w:val="22"/>
          <w:szCs w:val="22"/>
        </w:rPr>
        <w:t xml:space="preserve"> </w:t>
      </w:r>
      <w:r w:rsidRPr="00702613">
        <w:rPr>
          <w:rFonts w:ascii="Times New Roman" w:hAnsi="Times New Roman" w:cs="Times New Roman"/>
          <w:sz w:val="22"/>
          <w:szCs w:val="22"/>
        </w:rPr>
        <w:t xml:space="preserve">satellite </w:t>
      </w:r>
      <w:r w:rsidRPr="00804215">
        <w:rPr>
          <w:rFonts w:ascii="Times New Roman" w:hAnsi="Times New Roman" w:cs="Times New Roman"/>
          <w:sz w:val="22"/>
          <w:szCs w:val="22"/>
        </w:rPr>
        <w:t>parameters and simulations assumptions</w:t>
      </w:r>
      <w:r>
        <w:rPr>
          <w:rFonts w:ascii="Times New Roman" w:hAnsi="Times New Roman" w:cs="Times New Roman"/>
          <w:sz w:val="22"/>
          <w:szCs w:val="22"/>
        </w:rPr>
        <w:t xml:space="preserve">, such as </w:t>
      </w:r>
      <w:r w:rsidRPr="00702613">
        <w:rPr>
          <w:rFonts w:ascii="Times New Roman" w:hAnsi="Times New Roman" w:cs="Times New Roman"/>
          <w:sz w:val="22"/>
          <w:szCs w:val="22"/>
        </w:rPr>
        <w:t>Set1-1 FR1, Set1-2 FR1 and Set1-3 FR1</w:t>
      </w:r>
      <w:r>
        <w:rPr>
          <w:rFonts w:ascii="Times New Roman" w:hAnsi="Times New Roman" w:cs="Times New Roman"/>
          <w:sz w:val="22"/>
          <w:szCs w:val="22"/>
        </w:rPr>
        <w:t xml:space="preserve">, the </w:t>
      </w:r>
      <w:r w:rsidRPr="00702613">
        <w:rPr>
          <w:rFonts w:ascii="Times New Roman" w:hAnsi="Times New Roman" w:cs="Times New Roman"/>
          <w:sz w:val="22"/>
          <w:szCs w:val="22"/>
        </w:rPr>
        <w:t xml:space="preserve">system level simulation results </w:t>
      </w:r>
      <w:r>
        <w:rPr>
          <w:rFonts w:ascii="Times New Roman" w:hAnsi="Times New Roman" w:cs="Times New Roman"/>
          <w:sz w:val="22"/>
          <w:szCs w:val="22"/>
        </w:rPr>
        <w:t xml:space="preserve">for DL coverage ratio </w:t>
      </w:r>
      <w:r w:rsidRPr="00702613">
        <w:rPr>
          <w:rFonts w:ascii="Times New Roman" w:hAnsi="Times New Roman" w:cs="Times New Roman"/>
          <w:sz w:val="22"/>
          <w:szCs w:val="22"/>
        </w:rPr>
        <w:lastRenderedPageBreak/>
        <w:t>were discussed</w:t>
      </w:r>
      <w:r>
        <w:rPr>
          <w:rFonts w:ascii="Times New Roman" w:hAnsi="Times New Roman" w:cs="Times New Roman"/>
          <w:sz w:val="22"/>
          <w:szCs w:val="22"/>
        </w:rPr>
        <w:t xml:space="preserve"> in the last RAN1 meeting, and </w:t>
      </w:r>
      <w:r w:rsidRPr="00702613">
        <w:rPr>
          <w:rFonts w:ascii="Times New Roman" w:hAnsi="Times New Roman" w:cs="Times New Roman"/>
          <w:sz w:val="22"/>
          <w:szCs w:val="22"/>
        </w:rPr>
        <w:t>the</w:t>
      </w:r>
      <w:r>
        <w:rPr>
          <w:rFonts w:ascii="Times New Roman" w:hAnsi="Times New Roman" w:cs="Times New Roman"/>
          <w:sz w:val="22"/>
          <w:szCs w:val="22"/>
        </w:rPr>
        <w:t xml:space="preserve"> related</w:t>
      </w:r>
      <w:r w:rsidRPr="00702613">
        <w:rPr>
          <w:rFonts w:ascii="Times New Roman" w:hAnsi="Times New Roman" w:cs="Times New Roman"/>
          <w:sz w:val="22"/>
          <w:szCs w:val="22"/>
        </w:rPr>
        <w:t xml:space="preserve"> </w:t>
      </w:r>
      <w:r>
        <w:rPr>
          <w:rFonts w:ascii="Times New Roman" w:hAnsi="Times New Roman" w:cs="Times New Roman"/>
          <w:sz w:val="22"/>
          <w:szCs w:val="22"/>
        </w:rPr>
        <w:t>observation</w:t>
      </w:r>
      <w:r w:rsidRPr="00702613">
        <w:rPr>
          <w:rFonts w:ascii="Times New Roman" w:hAnsi="Times New Roman" w:cs="Times New Roman"/>
          <w:sz w:val="22"/>
          <w:szCs w:val="22"/>
        </w:rPr>
        <w:t xml:space="preserve"> </w:t>
      </w:r>
      <w:r>
        <w:rPr>
          <w:rFonts w:ascii="Times New Roman" w:hAnsi="Times New Roman" w:cs="Times New Roman"/>
          <w:sz w:val="22"/>
          <w:szCs w:val="22"/>
        </w:rPr>
        <w:t>was</w:t>
      </w:r>
      <w:r w:rsidRPr="00702613">
        <w:rPr>
          <w:rFonts w:ascii="Times New Roman" w:hAnsi="Times New Roman" w:cs="Times New Roman"/>
          <w:sz w:val="22"/>
          <w:szCs w:val="22"/>
        </w:rPr>
        <w:t xml:space="preserve"> </w:t>
      </w:r>
      <w:r>
        <w:rPr>
          <w:rFonts w:ascii="Times New Roman" w:hAnsi="Times New Roman" w:cs="Times New Roman"/>
          <w:sz w:val="22"/>
          <w:szCs w:val="22"/>
        </w:rPr>
        <w:t xml:space="preserve">obtained as </w:t>
      </w:r>
      <w:r w:rsidRPr="00702613">
        <w:rPr>
          <w:rFonts w:ascii="Times New Roman" w:hAnsi="Times New Roman" w:cs="Times New Roman"/>
          <w:sz w:val="22"/>
          <w:szCs w:val="22"/>
        </w:rPr>
        <w:t>following</w:t>
      </w:r>
      <w:r w:rsidR="00386714">
        <w:rPr>
          <w:rFonts w:ascii="Times New Roman" w:hAnsi="Times New Roman" w:cs="Times New Roman"/>
          <w:sz w:val="22"/>
          <w:szCs w:val="22"/>
        </w:rPr>
        <w:t xml:space="preserve"> [2]</w:t>
      </w:r>
      <w:r>
        <w:rPr>
          <w:rFonts w:ascii="Times New Roman" w:hAnsi="Times New Roman" w:cs="Times New Roman"/>
          <w:sz w:val="22"/>
          <w:szCs w:val="22"/>
        </w:rPr>
        <w:t>,</w:t>
      </w:r>
    </w:p>
    <w:tbl>
      <w:tblPr>
        <w:tblStyle w:val="aff1"/>
        <w:tblW w:w="0" w:type="auto"/>
        <w:tblInd w:w="113" w:type="dxa"/>
        <w:tblLook w:val="04A0" w:firstRow="1" w:lastRow="0" w:firstColumn="1" w:lastColumn="0" w:noHBand="0" w:noVBand="1"/>
      </w:tblPr>
      <w:tblGrid>
        <w:gridCol w:w="9498"/>
      </w:tblGrid>
      <w:tr w:rsidR="00621A40" w14:paraId="0CBA7C43" w14:textId="77777777" w:rsidTr="00EA0CEA">
        <w:tc>
          <w:tcPr>
            <w:tcW w:w="9498" w:type="dxa"/>
          </w:tcPr>
          <w:p w14:paraId="2877B91E" w14:textId="77777777" w:rsidR="00621A40" w:rsidRPr="00621A40" w:rsidRDefault="00621A40" w:rsidP="00621A40">
            <w:pPr>
              <w:rPr>
                <w:rFonts w:eastAsia="等线"/>
                <w:iCs/>
                <w:sz w:val="20"/>
                <w:szCs w:val="20"/>
                <w:lang w:eastAsia="zh-CN"/>
              </w:rPr>
            </w:pPr>
            <w:r w:rsidRPr="00621A40">
              <w:rPr>
                <w:b/>
                <w:iCs/>
                <w:sz w:val="20"/>
                <w:szCs w:val="20"/>
                <w:lang w:eastAsia="zh-CN"/>
              </w:rPr>
              <w:t>Observation</w:t>
            </w:r>
          </w:p>
          <w:p w14:paraId="14057790" w14:textId="77777777" w:rsidR="00621A40" w:rsidRPr="00621A40" w:rsidRDefault="00621A40" w:rsidP="00621A40">
            <w:pPr>
              <w:rPr>
                <w:rFonts w:eastAsia="等线"/>
                <w:iCs/>
                <w:sz w:val="20"/>
                <w:szCs w:val="20"/>
                <w:lang w:eastAsia="zh-CN"/>
              </w:rPr>
            </w:pPr>
            <w:r w:rsidRPr="00621A40">
              <w:rPr>
                <w:sz w:val="20"/>
                <w:szCs w:val="20"/>
              </w:rPr>
              <w:t xml:space="preserve">Based on the results of DL coverage </w:t>
            </w:r>
            <w:r w:rsidRPr="00621A40">
              <w:rPr>
                <w:rFonts w:eastAsia="等线"/>
                <w:iCs/>
                <w:sz w:val="20"/>
                <w:szCs w:val="20"/>
                <w:lang w:eastAsia="zh-CN"/>
              </w:rPr>
              <w:t xml:space="preserve">ratio </w:t>
            </w:r>
            <w:r w:rsidRPr="00621A40">
              <w:rPr>
                <w:sz w:val="20"/>
                <w:szCs w:val="20"/>
              </w:rPr>
              <w:t>evaluation at system level collected from 7 sources</w:t>
            </w:r>
            <w:r w:rsidRPr="00621A40">
              <w:rPr>
                <w:rFonts w:eastAsia="等线"/>
                <w:iCs/>
                <w:sz w:val="20"/>
                <w:szCs w:val="20"/>
                <w:lang w:eastAsia="zh-CN"/>
              </w:rPr>
              <w:t xml:space="preserve"> for all the three LEO600km satellite parameter sets where the beam footprint diameter is 50 km:</w:t>
            </w:r>
          </w:p>
          <w:p w14:paraId="30C8839D" w14:textId="77777777" w:rsidR="00621A40" w:rsidRPr="00621A40" w:rsidRDefault="00621A40" w:rsidP="00621A40">
            <w:pPr>
              <w:pStyle w:val="aff9"/>
              <w:numPr>
                <w:ilvl w:val="0"/>
                <w:numId w:val="24"/>
              </w:numPr>
              <w:spacing w:beforeLines="0" w:before="120" w:afterLines="0" w:after="120"/>
              <w:ind w:firstLineChars="0"/>
              <w:jc w:val="both"/>
              <w:rPr>
                <w:rFonts w:eastAsia="等线"/>
                <w:iCs/>
                <w:sz w:val="20"/>
                <w:szCs w:val="20"/>
              </w:rPr>
            </w:pPr>
            <w:r w:rsidRPr="00621A40">
              <w:rPr>
                <w:rFonts w:eastAsia="等线"/>
                <w:iCs/>
                <w:sz w:val="20"/>
                <w:szCs w:val="20"/>
              </w:rPr>
              <w:t>For Set 1-1/1-3, the coverage ratio can be improved from 10% to 100% if the SSB periodicity is increased from 20ms to 80ms and beam hopping is applied</w:t>
            </w:r>
          </w:p>
          <w:p w14:paraId="176DEFA3" w14:textId="77777777" w:rsidR="00621A40" w:rsidRPr="00621A40" w:rsidRDefault="00621A40" w:rsidP="00621A40">
            <w:pPr>
              <w:pStyle w:val="aff9"/>
              <w:numPr>
                <w:ilvl w:val="0"/>
                <w:numId w:val="24"/>
              </w:numPr>
              <w:spacing w:beforeLines="0" w:before="120" w:afterLines="0" w:after="120"/>
              <w:ind w:firstLineChars="0"/>
              <w:jc w:val="both"/>
              <w:rPr>
                <w:rFonts w:eastAsia="等线"/>
                <w:iCs/>
                <w:sz w:val="20"/>
                <w:szCs w:val="20"/>
              </w:rPr>
            </w:pPr>
            <w:r w:rsidRPr="00621A40">
              <w:rPr>
                <w:rFonts w:eastAsia="等线"/>
                <w:iCs/>
                <w:sz w:val="20"/>
                <w:szCs w:val="20"/>
              </w:rPr>
              <w:t>For Set 1-2, the coverage ratio can be improved from 1.5% to 96.8% if the SSB periodicity is increased from 20ms to 320ms and beam hopping is applied.</w:t>
            </w:r>
          </w:p>
          <w:p w14:paraId="6F8EEC45" w14:textId="77777777" w:rsidR="00621A40" w:rsidRPr="00621A40" w:rsidRDefault="00621A40" w:rsidP="00621A40">
            <w:pPr>
              <w:pStyle w:val="aff9"/>
              <w:numPr>
                <w:ilvl w:val="0"/>
                <w:numId w:val="24"/>
              </w:numPr>
              <w:spacing w:beforeLines="0" w:before="120" w:afterLines="0" w:after="120"/>
              <w:ind w:firstLineChars="0"/>
              <w:jc w:val="both"/>
              <w:rPr>
                <w:rFonts w:eastAsia="等线"/>
                <w:iCs/>
                <w:sz w:val="20"/>
                <w:szCs w:val="20"/>
              </w:rPr>
            </w:pPr>
            <w:r w:rsidRPr="00621A40">
              <w:rPr>
                <w:rFonts w:eastAsia="等线"/>
                <w:iCs/>
                <w:sz w:val="20"/>
                <w:szCs w:val="20"/>
              </w:rPr>
              <w:t xml:space="preserve">Note: coverage ratio is </w:t>
            </w:r>
            <w:r w:rsidRPr="00621A40">
              <w:rPr>
                <w:sz w:val="20"/>
                <w:szCs w:val="20"/>
              </w:rPr>
              <w:t>N2+N3/ total beam footprints</w:t>
            </w:r>
          </w:p>
          <w:p w14:paraId="590B0BC6" w14:textId="77777777" w:rsidR="00621A40" w:rsidRPr="00621A40" w:rsidRDefault="00621A40" w:rsidP="00621A40">
            <w:pPr>
              <w:pStyle w:val="aff9"/>
              <w:numPr>
                <w:ilvl w:val="0"/>
                <w:numId w:val="24"/>
              </w:numPr>
              <w:spacing w:beforeLines="0" w:before="120" w:afterLines="0" w:after="120"/>
              <w:ind w:firstLineChars="0"/>
              <w:jc w:val="both"/>
              <w:rPr>
                <w:rFonts w:eastAsia="等线"/>
                <w:iCs/>
                <w:sz w:val="20"/>
                <w:szCs w:val="20"/>
              </w:rPr>
            </w:pPr>
            <w:r w:rsidRPr="00621A40">
              <w:rPr>
                <w:rFonts w:eastAsia="等线"/>
                <w:iCs/>
                <w:sz w:val="20"/>
                <w:szCs w:val="20"/>
              </w:rPr>
              <w:t>Note: the baseline assumes no beam hopping. TDM between SIB1 and SIB19 is assumed in those results, following current specs.</w:t>
            </w:r>
          </w:p>
          <w:p w14:paraId="17CF9CC0" w14:textId="77777777" w:rsidR="00621A40" w:rsidRPr="00621A40" w:rsidRDefault="00621A40" w:rsidP="00621A40">
            <w:pPr>
              <w:rPr>
                <w:rFonts w:eastAsia="等线"/>
                <w:iCs/>
                <w:sz w:val="20"/>
                <w:szCs w:val="20"/>
                <w:lang w:eastAsia="zh-CN"/>
              </w:rPr>
            </w:pPr>
            <w:r w:rsidRPr="00621A40">
              <w:rPr>
                <w:sz w:val="20"/>
                <w:szCs w:val="20"/>
              </w:rPr>
              <w:t xml:space="preserve">Based on the results of DL coverage </w:t>
            </w:r>
            <w:r w:rsidRPr="00621A40">
              <w:rPr>
                <w:rFonts w:eastAsia="等线"/>
                <w:iCs/>
                <w:sz w:val="20"/>
                <w:szCs w:val="20"/>
                <w:lang w:eastAsia="zh-CN"/>
              </w:rPr>
              <w:t xml:space="preserve">ratio </w:t>
            </w:r>
            <w:r w:rsidRPr="00621A40">
              <w:rPr>
                <w:sz w:val="20"/>
                <w:szCs w:val="20"/>
              </w:rPr>
              <w:t>evaluation at system level collected from 3 sources</w:t>
            </w:r>
            <w:r w:rsidRPr="00621A40">
              <w:rPr>
                <w:rFonts w:eastAsia="等线"/>
                <w:iCs/>
                <w:sz w:val="20"/>
                <w:szCs w:val="20"/>
                <w:lang w:eastAsia="zh-CN"/>
              </w:rPr>
              <w:t xml:space="preserve"> for a deployment scenario implementing wide beam footprint:</w:t>
            </w:r>
          </w:p>
          <w:p w14:paraId="12BD21DB" w14:textId="77777777" w:rsidR="00621A40" w:rsidRPr="00621A40" w:rsidRDefault="00621A40" w:rsidP="00621A40">
            <w:pPr>
              <w:pStyle w:val="aff9"/>
              <w:numPr>
                <w:ilvl w:val="0"/>
                <w:numId w:val="24"/>
              </w:numPr>
              <w:spacing w:beforeLines="0" w:before="120" w:afterLines="0" w:after="120"/>
              <w:ind w:firstLineChars="0"/>
              <w:jc w:val="both"/>
              <w:rPr>
                <w:rFonts w:eastAsia="等线"/>
                <w:bCs/>
                <w:iCs/>
                <w:sz w:val="20"/>
                <w:szCs w:val="20"/>
              </w:rPr>
            </w:pPr>
            <w:r w:rsidRPr="00621A40">
              <w:rPr>
                <w:rFonts w:eastAsia="等线"/>
                <w:bCs/>
                <w:iCs/>
                <w:sz w:val="20"/>
                <w:szCs w:val="20"/>
              </w:rPr>
              <w:t>1 source reports that w</w:t>
            </w:r>
            <w:r w:rsidRPr="00621A40">
              <w:rPr>
                <w:sz w:val="20"/>
                <w:szCs w:val="20"/>
                <w:lang w:eastAsia="ko-KR"/>
              </w:rPr>
              <w:t>ith a deployment of wide beam covering 4 narrow (of 50km size) beams, which means Set 1-2 FR1 with additional EIRP reduction of 6dB, using SSB periodicity of 80 ms can provide coverage ratio of 96.8%, and</w:t>
            </w:r>
            <w:r w:rsidRPr="00621A40">
              <w:rPr>
                <w:sz w:val="20"/>
                <w:szCs w:val="20"/>
              </w:rPr>
              <w:t xml:space="preserve"> </w:t>
            </w:r>
            <w:r w:rsidRPr="00621A40">
              <w:rPr>
                <w:sz w:val="20"/>
                <w:szCs w:val="20"/>
                <w:lang w:eastAsia="ko-KR"/>
              </w:rPr>
              <w:t>Set 1-1/1-3 FR1 with additional EIRP reduction of 6dB, SSB periodicity of 80 ms can provide coverage of 100%.</w:t>
            </w:r>
          </w:p>
          <w:p w14:paraId="7CC8998F" w14:textId="77777777" w:rsidR="00621A40" w:rsidRPr="00621A40" w:rsidRDefault="00621A40" w:rsidP="00621A40">
            <w:pPr>
              <w:pStyle w:val="aff9"/>
              <w:numPr>
                <w:ilvl w:val="0"/>
                <w:numId w:val="24"/>
              </w:numPr>
              <w:spacing w:beforeLines="0" w:before="120" w:afterLines="0" w:after="120"/>
              <w:ind w:firstLineChars="0"/>
              <w:rPr>
                <w:sz w:val="20"/>
                <w:szCs w:val="20"/>
                <w:lang w:eastAsia="ko-KR"/>
              </w:rPr>
            </w:pPr>
            <w:r w:rsidRPr="00621A40">
              <w:rPr>
                <w:sz w:val="20"/>
                <w:szCs w:val="20"/>
                <w:lang w:eastAsia="ko-KR"/>
              </w:rPr>
              <w:t xml:space="preserve">1 source observed that </w:t>
            </w:r>
            <w:r w:rsidRPr="00621A40">
              <w:rPr>
                <w:rFonts w:eastAsia="等线"/>
                <w:iCs/>
                <w:sz w:val="20"/>
                <w:szCs w:val="20"/>
              </w:rPr>
              <w:t xml:space="preserve">for Set 1-1, 1-2 and 1-3, the coverage ratio can be improved from 1.5% to 100% using the </w:t>
            </w:r>
            <w:r w:rsidRPr="00621A40">
              <w:rPr>
                <w:sz w:val="20"/>
                <w:szCs w:val="20"/>
                <w:lang w:eastAsia="ko-KR"/>
              </w:rPr>
              <w:t>legacy default SSB periodicity of 20ms during initial access,</w:t>
            </w:r>
            <w:r w:rsidRPr="00621A40">
              <w:rPr>
                <w:rFonts w:eastAsia="等线"/>
                <w:iCs/>
                <w:sz w:val="20"/>
                <w:szCs w:val="20"/>
              </w:rPr>
              <w:t xml:space="preserve"> </w:t>
            </w:r>
            <w:r w:rsidRPr="00621A40">
              <w:rPr>
                <w:sz w:val="20"/>
                <w:szCs w:val="20"/>
                <w:lang w:eastAsia="ko-KR"/>
              </w:rPr>
              <w:t xml:space="preserve">by choosing a wide beam footprint with beam footprint sizes of 84 km and 56 km respectively. </w:t>
            </w:r>
          </w:p>
          <w:p w14:paraId="36B7FC55" w14:textId="77777777" w:rsidR="00621A40" w:rsidRPr="00621A40" w:rsidRDefault="00621A40" w:rsidP="00621A40">
            <w:pPr>
              <w:pStyle w:val="aff9"/>
              <w:numPr>
                <w:ilvl w:val="1"/>
                <w:numId w:val="24"/>
              </w:numPr>
              <w:spacing w:beforeLines="0" w:before="120" w:afterLines="0" w:after="120"/>
              <w:ind w:firstLineChars="0"/>
              <w:rPr>
                <w:sz w:val="20"/>
                <w:szCs w:val="20"/>
                <w:lang w:eastAsia="ko-KR"/>
              </w:rPr>
            </w:pPr>
            <w:r w:rsidRPr="00621A40">
              <w:rPr>
                <w:rFonts w:hint="eastAsia"/>
                <w:sz w:val="20"/>
                <w:szCs w:val="20"/>
                <w:lang w:eastAsia="ko-KR"/>
              </w:rPr>
              <w:t>N</w:t>
            </w:r>
            <w:r w:rsidRPr="00621A40">
              <w:rPr>
                <w:sz w:val="20"/>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4B582C9C" w14:textId="77777777" w:rsidR="00621A40" w:rsidRPr="00621A40" w:rsidRDefault="00621A40" w:rsidP="00621A40">
            <w:pPr>
              <w:pStyle w:val="aff9"/>
              <w:numPr>
                <w:ilvl w:val="0"/>
                <w:numId w:val="24"/>
              </w:numPr>
              <w:spacing w:beforeLines="0" w:before="120" w:afterLines="0" w:after="120"/>
              <w:ind w:firstLineChars="0"/>
              <w:rPr>
                <w:sz w:val="20"/>
                <w:szCs w:val="20"/>
                <w:lang w:eastAsia="ko-KR"/>
              </w:rPr>
            </w:pPr>
            <w:r w:rsidRPr="00621A40">
              <w:rPr>
                <w:sz w:val="20"/>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0B42D73" w14:textId="77777777" w:rsidR="00621A40" w:rsidRPr="00621A40" w:rsidRDefault="00621A40" w:rsidP="00621A40">
            <w:pPr>
              <w:pStyle w:val="aff9"/>
              <w:numPr>
                <w:ilvl w:val="1"/>
                <w:numId w:val="24"/>
              </w:numPr>
              <w:spacing w:beforeLines="0" w:before="120" w:afterLines="0" w:after="120"/>
              <w:ind w:firstLineChars="0"/>
              <w:jc w:val="both"/>
              <w:rPr>
                <w:rFonts w:eastAsia="等线"/>
                <w:bCs/>
                <w:iCs/>
                <w:sz w:val="20"/>
                <w:szCs w:val="20"/>
              </w:rPr>
            </w:pPr>
            <w:r w:rsidRPr="00621A40">
              <w:rPr>
                <w:sz w:val="20"/>
                <w:szCs w:val="20"/>
                <w:lang w:eastAsia="ko-KR"/>
              </w:rPr>
              <w:t xml:space="preserve">Note: Beam footprint size is increased by increasing only the </w:t>
            </w:r>
            <w:r w:rsidRPr="00621A40">
              <w:rPr>
                <w:i/>
                <w:iCs/>
                <w:sz w:val="20"/>
                <w:szCs w:val="20"/>
                <w:lang w:eastAsia="ko-KR"/>
              </w:rPr>
              <w:t>adjacent beam spacing</w:t>
            </w:r>
            <w:r w:rsidRPr="00621A40">
              <w:rPr>
                <w:sz w:val="20"/>
                <w:szCs w:val="20"/>
                <w:lang w:eastAsia="ko-KR"/>
              </w:rPr>
              <w:t xml:space="preserve"> without increasing the 3dB beamwidth.</w:t>
            </w:r>
          </w:p>
          <w:p w14:paraId="6B4040E8" w14:textId="77777777" w:rsidR="00621A40" w:rsidRPr="00621A40" w:rsidRDefault="00621A40" w:rsidP="00621A40">
            <w:pPr>
              <w:rPr>
                <w:sz w:val="20"/>
                <w:szCs w:val="20"/>
              </w:rPr>
            </w:pPr>
            <w:r w:rsidRPr="00621A40">
              <w:rPr>
                <w:sz w:val="20"/>
                <w:szCs w:val="20"/>
              </w:rPr>
              <w:t>Note: RAN1 will further investigate the impact of SSB periodicity extension</w:t>
            </w:r>
          </w:p>
          <w:p w14:paraId="1B0703F6" w14:textId="77777777" w:rsidR="00621A40" w:rsidRPr="00621A40" w:rsidRDefault="00621A40" w:rsidP="00621A40">
            <w:pPr>
              <w:pStyle w:val="DraftProposal"/>
              <w:tabs>
                <w:tab w:val="clear" w:pos="720"/>
              </w:tabs>
              <w:spacing w:after="0" w:line="240" w:lineRule="auto"/>
              <w:ind w:left="0" w:firstLine="0"/>
              <w:rPr>
                <w:rFonts w:ascii="Times New Roman" w:hAnsi="Times New Roman"/>
                <w:b w:val="0"/>
                <w:sz w:val="20"/>
                <w:szCs w:val="20"/>
              </w:rPr>
            </w:pPr>
            <w:r w:rsidRPr="00621A40">
              <w:rPr>
                <w:rFonts w:ascii="Times New Roman" w:hAnsi="Times New Roman"/>
                <w:b w:val="0"/>
                <w:sz w:val="20"/>
                <w:szCs w:val="20"/>
              </w:rPr>
              <w:t>Note: Any needed clarification “SSB channel enhancement is not considered” in the WID is up to RAN plenary</w:t>
            </w:r>
          </w:p>
          <w:p w14:paraId="4FB5CE5C" w14:textId="593F2AE0" w:rsidR="00621A40" w:rsidRPr="00621A40" w:rsidRDefault="00621A40" w:rsidP="00621A40">
            <w:pPr>
              <w:pStyle w:val="DraftProposal"/>
              <w:tabs>
                <w:tab w:val="clear" w:pos="720"/>
              </w:tabs>
              <w:spacing w:after="0" w:line="240" w:lineRule="auto"/>
              <w:ind w:left="0" w:firstLine="0"/>
              <w:rPr>
                <w:rFonts w:ascii="Times New Roman" w:hAnsi="Times New Roman" w:cs="Times New Roman"/>
                <w:b w:val="0"/>
                <w:sz w:val="20"/>
                <w:szCs w:val="20"/>
              </w:rPr>
            </w:pPr>
            <w:r w:rsidRPr="00621A40">
              <w:rPr>
                <w:rFonts w:ascii="Times New Roman" w:hAnsi="Times New Roman"/>
                <w:b w:val="0"/>
                <w:sz w:val="20"/>
                <w:szCs w:val="20"/>
              </w:rPr>
              <w:t>Note: RAN1 will further investigate the impact of wider beam of SSB and/or other channels on performance (e.g. link budget, capacity...)</w:t>
            </w:r>
          </w:p>
        </w:tc>
      </w:tr>
    </w:tbl>
    <w:p w14:paraId="0860976D" w14:textId="2A2D856A" w:rsidR="00350396" w:rsidRDefault="0094304E" w:rsidP="00FE447E">
      <w:pPr>
        <w:rPr>
          <w:rFonts w:ascii="Times New Roman" w:hAnsi="Times New Roman" w:cs="Times New Roman"/>
          <w:sz w:val="22"/>
          <w:szCs w:val="22"/>
        </w:rPr>
      </w:pPr>
      <w:r>
        <w:rPr>
          <w:rFonts w:ascii="Times New Roman" w:hAnsi="Times New Roman" w:cs="Times New Roman"/>
          <w:sz w:val="22"/>
          <w:szCs w:val="22"/>
        </w:rPr>
        <w:t>B</w:t>
      </w:r>
      <w:r w:rsidR="00FA4EAB">
        <w:rPr>
          <w:rFonts w:ascii="Times New Roman" w:hAnsi="Times New Roman" w:cs="Times New Roman"/>
          <w:sz w:val="22"/>
          <w:szCs w:val="22"/>
        </w:rPr>
        <w:t xml:space="preserve">y the aid of extended SSB periodicity, </w:t>
      </w:r>
      <w:r w:rsidR="005D30EA">
        <w:rPr>
          <w:rFonts w:ascii="Times New Roman" w:hAnsi="Times New Roman" w:cs="Times New Roman"/>
          <w:sz w:val="22"/>
          <w:szCs w:val="22"/>
        </w:rPr>
        <w:t xml:space="preserve">DL coverage ratio can be remarkably improved </w:t>
      </w:r>
      <w:r w:rsidR="00FA4EAB">
        <w:rPr>
          <w:rFonts w:ascii="Times New Roman" w:hAnsi="Times New Roman" w:cs="Times New Roman"/>
          <w:sz w:val="22"/>
          <w:szCs w:val="22"/>
        </w:rPr>
        <w:t>for each parameter set</w:t>
      </w:r>
      <w:r w:rsidR="00F22DA0">
        <w:rPr>
          <w:rFonts w:ascii="Times New Roman" w:hAnsi="Times New Roman" w:cs="Times New Roman"/>
          <w:sz w:val="22"/>
          <w:szCs w:val="22"/>
        </w:rPr>
        <w:t>,</w:t>
      </w:r>
      <w:r w:rsidR="00FA4EAB">
        <w:rPr>
          <w:rFonts w:ascii="Times New Roman" w:hAnsi="Times New Roman" w:cs="Times New Roman"/>
          <w:sz w:val="22"/>
          <w:szCs w:val="22"/>
        </w:rPr>
        <w:t xml:space="preserve"> </w:t>
      </w:r>
      <w:r w:rsidR="00F22DA0">
        <w:rPr>
          <w:rFonts w:ascii="Times New Roman" w:hAnsi="Times New Roman" w:cs="Times New Roman"/>
          <w:sz w:val="22"/>
          <w:szCs w:val="22"/>
        </w:rPr>
        <w:t>it</w:t>
      </w:r>
      <w:r w:rsidR="001F7E6D">
        <w:rPr>
          <w:rFonts w:ascii="Times New Roman" w:hAnsi="Times New Roman" w:cs="Times New Roman"/>
          <w:sz w:val="22"/>
          <w:szCs w:val="22"/>
        </w:rPr>
        <w:t xml:space="preserve"> is </w:t>
      </w:r>
      <w:r w:rsidR="00B74F30">
        <w:rPr>
          <w:rFonts w:ascii="Times New Roman" w:hAnsi="Times New Roman" w:cs="Times New Roman"/>
          <w:sz w:val="22"/>
          <w:szCs w:val="22"/>
        </w:rPr>
        <w:t>also consistent with the</w:t>
      </w:r>
      <w:r w:rsidR="005D30EA">
        <w:rPr>
          <w:rFonts w:ascii="Times New Roman" w:hAnsi="Times New Roman" w:cs="Times New Roman"/>
          <w:sz w:val="22"/>
          <w:szCs w:val="22"/>
        </w:rPr>
        <w:t xml:space="preserve"> </w:t>
      </w:r>
      <w:r w:rsidR="005D30EA" w:rsidRPr="005D30EA">
        <w:rPr>
          <w:rFonts w:ascii="Times New Roman" w:hAnsi="Times New Roman" w:cs="Times New Roman"/>
          <w:sz w:val="22"/>
          <w:szCs w:val="22"/>
        </w:rPr>
        <w:t>analytical evaluation result</w:t>
      </w:r>
      <w:r w:rsidR="00AA5662">
        <w:rPr>
          <w:rFonts w:ascii="Times New Roman" w:hAnsi="Times New Roman" w:cs="Times New Roman"/>
          <w:sz w:val="22"/>
          <w:szCs w:val="22"/>
        </w:rPr>
        <w:t xml:space="preserve"> as well</w:t>
      </w:r>
      <w:r w:rsidR="00B74F30">
        <w:rPr>
          <w:rFonts w:ascii="Times New Roman" w:hAnsi="Times New Roman" w:cs="Times New Roman"/>
          <w:sz w:val="22"/>
          <w:szCs w:val="22"/>
        </w:rPr>
        <w:t>.</w:t>
      </w:r>
      <w:r w:rsidR="00F22DA0">
        <w:rPr>
          <w:rFonts w:ascii="Times New Roman" w:hAnsi="Times New Roman" w:cs="Times New Roman"/>
          <w:sz w:val="22"/>
          <w:szCs w:val="22"/>
        </w:rPr>
        <w:t xml:space="preserve"> </w:t>
      </w:r>
    </w:p>
    <w:p w14:paraId="41227CD4" w14:textId="715A010A" w:rsidR="00F72034" w:rsidRDefault="00FF623C" w:rsidP="00350396">
      <w:pPr>
        <w:rPr>
          <w:rFonts w:ascii="Times New Roman" w:hAnsi="Times New Roman" w:cs="Times New Roman"/>
          <w:sz w:val="22"/>
          <w:szCs w:val="22"/>
        </w:rPr>
      </w:pPr>
      <w:r>
        <w:rPr>
          <w:rFonts w:ascii="Times New Roman" w:hAnsi="Times New Roman" w:cs="Times New Roman"/>
          <w:sz w:val="22"/>
          <w:szCs w:val="22"/>
        </w:rPr>
        <w:t>Besides,</w:t>
      </w:r>
      <w:r w:rsidRPr="00FF623C">
        <w:rPr>
          <w:rFonts w:ascii="Times New Roman" w:hAnsi="Times New Roman" w:cs="Times New Roman"/>
          <w:sz w:val="22"/>
          <w:szCs w:val="22"/>
        </w:rPr>
        <w:t xml:space="preserve"> </w:t>
      </w:r>
      <w:r>
        <w:rPr>
          <w:rFonts w:ascii="Times New Roman" w:hAnsi="Times New Roman" w:cs="Times New Roman"/>
          <w:sz w:val="22"/>
          <w:szCs w:val="22"/>
        </w:rPr>
        <w:t>because of the limited link budget for NTN DL coverage scenarios, even if wide beam is applied to DL common channel transmission</w:t>
      </w:r>
      <w:r w:rsidR="00231A34">
        <w:rPr>
          <w:rFonts w:ascii="Times New Roman" w:hAnsi="Times New Roman" w:cs="Times New Roman"/>
          <w:sz w:val="22"/>
          <w:szCs w:val="22"/>
        </w:rPr>
        <w:t xml:space="preserve"> with legacy SSB periodicity</w:t>
      </w:r>
      <w:r>
        <w:rPr>
          <w:rFonts w:ascii="Times New Roman" w:hAnsi="Times New Roman" w:cs="Times New Roman"/>
          <w:sz w:val="22"/>
          <w:szCs w:val="22"/>
        </w:rPr>
        <w:t xml:space="preserve">, </w:t>
      </w:r>
      <w:r w:rsidR="00AA5662">
        <w:rPr>
          <w:rFonts w:ascii="Times New Roman" w:hAnsi="Times New Roman" w:cs="Times New Roman"/>
          <w:sz w:val="22"/>
          <w:szCs w:val="22"/>
        </w:rPr>
        <w:t>s</w:t>
      </w:r>
      <w:r w:rsidR="00AA5662" w:rsidRPr="00AA5662">
        <w:rPr>
          <w:rFonts w:ascii="Times New Roman" w:hAnsi="Times New Roman" w:cs="Times New Roman"/>
          <w:sz w:val="22"/>
          <w:szCs w:val="22"/>
        </w:rPr>
        <w:t xml:space="preserve">ignal reception performance </w:t>
      </w:r>
      <w:r w:rsidR="00BB1D85">
        <w:rPr>
          <w:rFonts w:ascii="Times New Roman" w:hAnsi="Times New Roman" w:cs="Times New Roman"/>
          <w:sz w:val="22"/>
          <w:szCs w:val="22"/>
        </w:rPr>
        <w:t>degradation caused by decrease in EIRP is expected</w:t>
      </w:r>
      <w:r w:rsidR="00F72034" w:rsidRPr="00F72034">
        <w:rPr>
          <w:rFonts w:ascii="Times New Roman" w:hAnsi="Times New Roman" w:cs="Times New Roman"/>
          <w:sz w:val="22"/>
          <w:szCs w:val="22"/>
        </w:rPr>
        <w:t xml:space="preserve"> </w:t>
      </w:r>
      <w:r w:rsidR="00F72034">
        <w:rPr>
          <w:rFonts w:ascii="Times New Roman" w:hAnsi="Times New Roman" w:cs="Times New Roman"/>
          <w:sz w:val="22"/>
          <w:szCs w:val="22"/>
        </w:rPr>
        <w:t>correspondingly</w:t>
      </w:r>
      <w:r>
        <w:rPr>
          <w:rFonts w:ascii="Times New Roman" w:hAnsi="Times New Roman" w:cs="Times New Roman"/>
          <w:sz w:val="22"/>
          <w:szCs w:val="22"/>
        </w:rPr>
        <w:t xml:space="preserve">, </w:t>
      </w:r>
      <w:r w:rsidR="00030575">
        <w:rPr>
          <w:rFonts w:ascii="Times New Roman" w:hAnsi="Times New Roman" w:cs="Times New Roman"/>
          <w:sz w:val="22"/>
          <w:szCs w:val="22"/>
        </w:rPr>
        <w:t xml:space="preserve">so much so that common channels may not be </w:t>
      </w:r>
      <w:r w:rsidR="00231A34">
        <w:rPr>
          <w:rFonts w:ascii="Times New Roman" w:hAnsi="Times New Roman" w:cs="Times New Roman"/>
          <w:sz w:val="22"/>
          <w:szCs w:val="22"/>
        </w:rPr>
        <w:t>correctly detected</w:t>
      </w:r>
      <w:r w:rsidR="001C2D37">
        <w:rPr>
          <w:rFonts w:ascii="Times New Roman" w:hAnsi="Times New Roman" w:cs="Times New Roman"/>
          <w:sz w:val="22"/>
          <w:szCs w:val="22"/>
        </w:rPr>
        <w:t xml:space="preserve"> with</w:t>
      </w:r>
      <w:r w:rsidR="00030575">
        <w:rPr>
          <w:rFonts w:ascii="Times New Roman" w:hAnsi="Times New Roman" w:cs="Times New Roman"/>
          <w:sz w:val="22"/>
          <w:szCs w:val="22"/>
        </w:rPr>
        <w:t xml:space="preserve"> reduced CNR value.</w:t>
      </w:r>
      <w:r w:rsidR="00350396">
        <w:rPr>
          <w:rFonts w:ascii="Times New Roman" w:hAnsi="Times New Roman" w:cs="Times New Roman"/>
          <w:sz w:val="22"/>
          <w:szCs w:val="22"/>
        </w:rPr>
        <w:t xml:space="preserve"> </w:t>
      </w:r>
    </w:p>
    <w:p w14:paraId="0044E63F" w14:textId="202999CA" w:rsidR="00322B15" w:rsidRDefault="006B279E" w:rsidP="00350396">
      <w:pPr>
        <w:rPr>
          <w:rFonts w:ascii="Times New Roman" w:hAnsi="Times New Roman" w:cs="Times New Roman"/>
          <w:sz w:val="22"/>
          <w:szCs w:val="22"/>
        </w:rPr>
      </w:pPr>
      <w:r>
        <w:rPr>
          <w:rFonts w:ascii="Times New Roman" w:hAnsi="Times New Roman" w:cs="Times New Roman"/>
          <w:sz w:val="22"/>
          <w:szCs w:val="22"/>
        </w:rPr>
        <w:t>Therefore, regarding the</w:t>
      </w:r>
      <w:r w:rsidR="001C2D37">
        <w:rPr>
          <w:rFonts w:ascii="Times New Roman" w:hAnsi="Times New Roman" w:cs="Times New Roman"/>
          <w:sz w:val="22"/>
          <w:szCs w:val="22"/>
        </w:rPr>
        <w:t xml:space="preserve"> “SSB channel enhancement is not considered”</w:t>
      </w:r>
      <w:r>
        <w:rPr>
          <w:rFonts w:ascii="Times New Roman" w:hAnsi="Times New Roman" w:cs="Times New Roman"/>
          <w:sz w:val="22"/>
          <w:szCs w:val="22"/>
        </w:rPr>
        <w:t xml:space="preserve">, we think it’s </w:t>
      </w:r>
      <w:r w:rsidR="00456921">
        <w:rPr>
          <w:rFonts w:ascii="Times New Roman" w:hAnsi="Times New Roman" w:cs="Times New Roman"/>
          <w:sz w:val="22"/>
          <w:szCs w:val="22"/>
        </w:rPr>
        <w:t xml:space="preserve">more </w:t>
      </w:r>
      <w:r w:rsidR="00AE3696">
        <w:rPr>
          <w:rFonts w:ascii="Times New Roman" w:hAnsi="Times New Roman" w:cs="Times New Roman"/>
          <w:sz w:val="22"/>
          <w:szCs w:val="22"/>
        </w:rPr>
        <w:t xml:space="preserve">about imposing </w:t>
      </w:r>
      <w:r w:rsidR="00456921">
        <w:rPr>
          <w:rFonts w:ascii="Times New Roman" w:hAnsi="Times New Roman" w:cs="Times New Roman"/>
          <w:sz w:val="22"/>
          <w:szCs w:val="22"/>
        </w:rPr>
        <w:t xml:space="preserve">a </w:t>
      </w:r>
      <w:r w:rsidR="00EF5FA0">
        <w:rPr>
          <w:rFonts w:ascii="Times New Roman" w:hAnsi="Times New Roman" w:cs="Times New Roman"/>
          <w:sz w:val="22"/>
          <w:szCs w:val="22"/>
        </w:rPr>
        <w:t>restriction</w:t>
      </w:r>
      <w:r w:rsidR="00456921">
        <w:rPr>
          <w:rFonts w:ascii="Times New Roman" w:hAnsi="Times New Roman" w:cs="Times New Roman"/>
          <w:sz w:val="22"/>
          <w:szCs w:val="22"/>
        </w:rPr>
        <w:t xml:space="preserve"> on</w:t>
      </w:r>
      <w:r w:rsidR="009C10AE">
        <w:rPr>
          <w:rFonts w:ascii="Times New Roman" w:hAnsi="Times New Roman" w:cs="Times New Roman"/>
          <w:sz w:val="22"/>
          <w:szCs w:val="22"/>
        </w:rPr>
        <w:t xml:space="preserve"> </w:t>
      </w:r>
      <w:r w:rsidR="00AE3696">
        <w:rPr>
          <w:rFonts w:ascii="Times New Roman" w:hAnsi="Times New Roman" w:cs="Times New Roman"/>
          <w:sz w:val="22"/>
          <w:szCs w:val="22"/>
        </w:rPr>
        <w:t xml:space="preserve">enhancement </w:t>
      </w:r>
      <w:r w:rsidR="00EF5FA0">
        <w:rPr>
          <w:rFonts w:ascii="Times New Roman" w:hAnsi="Times New Roman" w:cs="Times New Roman"/>
          <w:sz w:val="22"/>
          <w:szCs w:val="22"/>
        </w:rPr>
        <w:t xml:space="preserve">at </w:t>
      </w:r>
      <w:r w:rsidR="009C10AE">
        <w:rPr>
          <w:rFonts w:ascii="Times New Roman" w:hAnsi="Times New Roman" w:cs="Times New Roman"/>
          <w:sz w:val="22"/>
          <w:szCs w:val="22"/>
        </w:rPr>
        <w:t>link</w:t>
      </w:r>
      <w:r w:rsidR="00EF5FA0">
        <w:rPr>
          <w:rFonts w:ascii="Times New Roman" w:hAnsi="Times New Roman" w:cs="Times New Roman"/>
          <w:sz w:val="22"/>
          <w:szCs w:val="22"/>
        </w:rPr>
        <w:t xml:space="preserve"> </w:t>
      </w:r>
      <w:r w:rsidR="009C10AE">
        <w:rPr>
          <w:rFonts w:ascii="Times New Roman" w:hAnsi="Times New Roman" w:cs="Times New Roman"/>
          <w:sz w:val="22"/>
          <w:szCs w:val="22"/>
        </w:rPr>
        <w:t>level,</w:t>
      </w:r>
      <w:r w:rsidR="00456921">
        <w:rPr>
          <w:rFonts w:ascii="Times New Roman" w:hAnsi="Times New Roman" w:cs="Times New Roman"/>
          <w:sz w:val="22"/>
          <w:szCs w:val="22"/>
        </w:rPr>
        <w:t xml:space="preserve"> </w:t>
      </w:r>
      <w:r w:rsidR="00AE3696">
        <w:rPr>
          <w:rFonts w:ascii="Times New Roman" w:hAnsi="Times New Roman" w:cs="Times New Roman"/>
          <w:sz w:val="22"/>
          <w:szCs w:val="22"/>
        </w:rPr>
        <w:t>rather than on system-</w:t>
      </w:r>
      <w:r w:rsidR="00EF5FA0">
        <w:rPr>
          <w:rFonts w:ascii="Times New Roman" w:hAnsi="Times New Roman" w:cs="Times New Roman"/>
          <w:sz w:val="22"/>
          <w:szCs w:val="22"/>
        </w:rPr>
        <w:t xml:space="preserve">level enhancement, as mentioned in </w:t>
      </w:r>
      <w:r w:rsidR="00322B15">
        <w:rPr>
          <w:rFonts w:ascii="Times New Roman" w:hAnsi="Times New Roman" w:cs="Times New Roman"/>
          <w:sz w:val="22"/>
          <w:szCs w:val="22"/>
        </w:rPr>
        <w:t>[1] “A link margin improvement for physical channels (e.g. PDSCH and PDCCH)</w:t>
      </w:r>
      <w:r>
        <w:rPr>
          <w:rFonts w:ascii="Times New Roman" w:hAnsi="Times New Roman" w:cs="Times New Roman"/>
          <w:sz w:val="22"/>
          <w:szCs w:val="22"/>
        </w:rPr>
        <w:t xml:space="preserve"> </w:t>
      </w:r>
      <w:r w:rsidR="00322B15">
        <w:rPr>
          <w:rFonts w:ascii="Times New Roman" w:hAnsi="Times New Roman" w:cs="Times New Roman"/>
          <w:sz w:val="22"/>
          <w:szCs w:val="22"/>
        </w:rPr>
        <w:t>may be considered without impact on SSB design.</w:t>
      </w:r>
      <w:r w:rsidR="00AB1511">
        <w:rPr>
          <w:rFonts w:ascii="Times New Roman" w:hAnsi="Times New Roman" w:cs="Times New Roman"/>
          <w:sz w:val="22"/>
          <w:szCs w:val="22"/>
        </w:rPr>
        <w:t>”</w:t>
      </w:r>
      <w:r w:rsidR="00322B15">
        <w:rPr>
          <w:rFonts w:ascii="Times New Roman" w:hAnsi="Times New Roman" w:cs="Times New Roman"/>
          <w:sz w:val="22"/>
          <w:szCs w:val="22"/>
        </w:rPr>
        <w:t xml:space="preserve"> </w:t>
      </w:r>
      <w:r w:rsidR="008835D2">
        <w:rPr>
          <w:rFonts w:ascii="Times New Roman" w:hAnsi="Times New Roman" w:cs="Times New Roman"/>
          <w:sz w:val="22"/>
          <w:szCs w:val="22"/>
        </w:rPr>
        <w:t>So</w:t>
      </w:r>
      <w:r w:rsidR="00322B15">
        <w:rPr>
          <w:rFonts w:ascii="Times New Roman" w:hAnsi="Times New Roman" w:cs="Times New Roman"/>
          <w:sz w:val="22"/>
          <w:szCs w:val="22"/>
        </w:rPr>
        <w:t xml:space="preserve">, </w:t>
      </w:r>
      <w:r w:rsidR="003B767E">
        <w:rPr>
          <w:rFonts w:ascii="Times New Roman" w:hAnsi="Times New Roman" w:cs="Times New Roman"/>
          <w:sz w:val="22"/>
          <w:szCs w:val="22"/>
        </w:rPr>
        <w:t xml:space="preserve">a clarification on this </w:t>
      </w:r>
      <w:r w:rsidR="008835D2">
        <w:rPr>
          <w:rFonts w:ascii="Times New Roman" w:hAnsi="Times New Roman" w:cs="Times New Roman"/>
          <w:sz w:val="22"/>
          <w:szCs w:val="22"/>
        </w:rPr>
        <w:t xml:space="preserve">issue could be </w:t>
      </w:r>
      <w:r w:rsidR="00AB1511">
        <w:rPr>
          <w:rFonts w:ascii="Times New Roman" w:hAnsi="Times New Roman" w:cs="Times New Roman"/>
          <w:sz w:val="22"/>
          <w:szCs w:val="22"/>
        </w:rPr>
        <w:t>proposed</w:t>
      </w:r>
      <w:bookmarkStart w:id="6" w:name="_GoBack"/>
      <w:bookmarkEnd w:id="6"/>
      <w:r w:rsidR="008835D2">
        <w:rPr>
          <w:rFonts w:ascii="Times New Roman" w:hAnsi="Times New Roman" w:cs="Times New Roman"/>
          <w:sz w:val="22"/>
          <w:szCs w:val="22"/>
        </w:rPr>
        <w:t xml:space="preserve"> as following,</w:t>
      </w:r>
    </w:p>
    <w:p w14:paraId="12D3B52A" w14:textId="4AD2487D" w:rsidR="00FE0BAE" w:rsidRPr="00FE0BAE" w:rsidRDefault="00477518" w:rsidP="00FE0BAE">
      <w:pPr>
        <w:spacing w:beforeLines="50" w:before="120" w:afterLines="50" w:after="120"/>
        <w:rPr>
          <w:rFonts w:ascii="Times New Roman" w:hAnsi="Times New Roman" w:cs="Times New Roman"/>
          <w:b/>
          <w:bCs/>
          <w:i/>
          <w:iCs/>
          <w:sz w:val="22"/>
          <w:szCs w:val="22"/>
        </w:rPr>
      </w:pPr>
      <w:r w:rsidRPr="00FE0BAE">
        <w:rPr>
          <w:rFonts w:ascii="Times New Roman" w:hAnsi="Times New Roman" w:cs="Times New Roman"/>
          <w:b/>
          <w:bCs/>
          <w:i/>
          <w:iCs/>
          <w:sz w:val="22"/>
          <w:szCs w:val="22"/>
        </w:rPr>
        <w:t>Proposal</w:t>
      </w:r>
      <w:r w:rsidR="00FE0BAE">
        <w:rPr>
          <w:rFonts w:ascii="Times New Roman" w:hAnsi="Times New Roman" w:cs="Times New Roman"/>
          <w:b/>
          <w:bCs/>
          <w:i/>
          <w:iCs/>
          <w:sz w:val="22"/>
          <w:szCs w:val="22"/>
        </w:rPr>
        <w:t xml:space="preserve"> 1</w:t>
      </w:r>
      <w:r w:rsidRPr="00FE0BAE">
        <w:rPr>
          <w:rFonts w:ascii="Times New Roman" w:hAnsi="Times New Roman" w:cs="Times New Roman"/>
          <w:b/>
          <w:bCs/>
          <w:i/>
          <w:iCs/>
          <w:sz w:val="22"/>
          <w:szCs w:val="22"/>
        </w:rPr>
        <w:t xml:space="preserve">: </w:t>
      </w:r>
      <w:r w:rsidR="008835D2">
        <w:rPr>
          <w:rFonts w:ascii="Times New Roman" w:hAnsi="Times New Roman" w:cs="Times New Roman"/>
          <w:b/>
          <w:bCs/>
          <w:i/>
          <w:iCs/>
          <w:sz w:val="22"/>
          <w:szCs w:val="22"/>
        </w:rPr>
        <w:t xml:space="preserve">SSB channel enhancement is not considered for link level DL coverage enhancement </w:t>
      </w:r>
      <w:r w:rsidR="00FE0BAE" w:rsidRPr="00FE0BAE">
        <w:rPr>
          <w:rFonts w:ascii="Times New Roman" w:hAnsi="Times New Roman" w:cs="Times New Roman"/>
          <w:b/>
          <w:bCs/>
          <w:i/>
          <w:iCs/>
          <w:sz w:val="22"/>
          <w:szCs w:val="22"/>
        </w:rPr>
        <w:t xml:space="preserve">in Rel-19 WID. </w:t>
      </w:r>
    </w:p>
    <w:bookmarkEnd w:id="4"/>
    <w:p w14:paraId="735CAC16" w14:textId="4209E8AB" w:rsidR="007127F3"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lastRenderedPageBreak/>
        <w:t>Conclusions</w:t>
      </w:r>
    </w:p>
    <w:p w14:paraId="5E284BC0" w14:textId="490096FA" w:rsidR="00386714" w:rsidRDefault="006E5AB6" w:rsidP="00767807">
      <w:pPr>
        <w:adjustRightInd w:val="0"/>
        <w:snapToGrid w:val="0"/>
        <w:spacing w:beforeLines="50" w:before="120" w:afterLines="50" w:after="120"/>
        <w:rPr>
          <w:rFonts w:ascii="Times New Roman" w:hAnsi="Times New Roman" w:cs="Times New Roman"/>
          <w:sz w:val="22"/>
          <w:szCs w:val="22"/>
        </w:rPr>
      </w:pPr>
      <w:r w:rsidRPr="006E5AB6">
        <w:rPr>
          <w:rFonts w:ascii="Times New Roman" w:hAnsi="Times New Roman" w:cs="Times New Roman"/>
          <w:sz w:val="22"/>
          <w:szCs w:val="22"/>
        </w:rPr>
        <w:t xml:space="preserve">In this contribution, we provide </w:t>
      </w:r>
      <w:r w:rsidR="00386714">
        <w:rPr>
          <w:rFonts w:ascii="Times New Roman" w:hAnsi="Times New Roman" w:cs="Times New Roman"/>
          <w:sz w:val="22"/>
          <w:szCs w:val="22"/>
        </w:rPr>
        <w:t>following proposal:</w:t>
      </w:r>
    </w:p>
    <w:p w14:paraId="0B2DB007" w14:textId="15F0C5C2" w:rsidR="00E2435E" w:rsidRPr="00E2435E" w:rsidRDefault="00D32A45" w:rsidP="00E2435E">
      <w:pPr>
        <w:spacing w:beforeLines="50" w:before="120" w:afterLines="50" w:after="120"/>
        <w:rPr>
          <w:rFonts w:ascii="Times New Roman" w:hAnsi="Times New Roman" w:cs="Times New Roman"/>
          <w:b/>
          <w:bCs/>
          <w:i/>
          <w:iCs/>
          <w:sz w:val="22"/>
          <w:szCs w:val="22"/>
        </w:rPr>
      </w:pPr>
      <w:r w:rsidRPr="00FE0BAE">
        <w:rPr>
          <w:rFonts w:ascii="Times New Roman" w:hAnsi="Times New Roman" w:cs="Times New Roman"/>
          <w:b/>
          <w:bCs/>
          <w:i/>
          <w:iCs/>
          <w:sz w:val="22"/>
          <w:szCs w:val="22"/>
        </w:rPr>
        <w:t>Proposal</w:t>
      </w:r>
      <w:r>
        <w:rPr>
          <w:rFonts w:ascii="Times New Roman" w:hAnsi="Times New Roman" w:cs="Times New Roman"/>
          <w:b/>
          <w:bCs/>
          <w:i/>
          <w:iCs/>
          <w:sz w:val="22"/>
          <w:szCs w:val="22"/>
        </w:rPr>
        <w:t xml:space="preserve"> 1</w:t>
      </w:r>
      <w:r w:rsidRPr="00FE0BAE">
        <w:rPr>
          <w:rFonts w:ascii="Times New Roman" w:hAnsi="Times New Roman" w:cs="Times New Roman"/>
          <w:b/>
          <w:bCs/>
          <w:i/>
          <w:iCs/>
          <w:sz w:val="22"/>
          <w:szCs w:val="22"/>
        </w:rPr>
        <w:t xml:space="preserve">: </w:t>
      </w:r>
      <w:r w:rsidR="008835D2">
        <w:rPr>
          <w:rFonts w:ascii="Times New Roman" w:hAnsi="Times New Roman" w:cs="Times New Roman"/>
          <w:b/>
          <w:bCs/>
          <w:i/>
          <w:iCs/>
          <w:sz w:val="22"/>
          <w:szCs w:val="22"/>
        </w:rPr>
        <w:t xml:space="preserve">SSB channel enhancement is not considered for link level DL coverage enhancement </w:t>
      </w:r>
      <w:r w:rsidR="008835D2" w:rsidRPr="00FE0BAE">
        <w:rPr>
          <w:rFonts w:ascii="Times New Roman" w:hAnsi="Times New Roman" w:cs="Times New Roman"/>
          <w:b/>
          <w:bCs/>
          <w:i/>
          <w:iCs/>
          <w:sz w:val="22"/>
          <w:szCs w:val="22"/>
        </w:rPr>
        <w:t>in Rel-19 WID</w:t>
      </w:r>
      <w:r w:rsidR="00E2435E" w:rsidRPr="00E2435E">
        <w:rPr>
          <w:rFonts w:ascii="Times New Roman" w:hAnsi="Times New Roman" w:cs="Times New Roman"/>
          <w:b/>
          <w:bCs/>
          <w:i/>
          <w:iCs/>
          <w:sz w:val="22"/>
          <w:szCs w:val="22"/>
        </w:rPr>
        <w:t xml:space="preserve">. </w:t>
      </w:r>
    </w:p>
    <w:p w14:paraId="70211D48" w14:textId="77777777" w:rsidR="007127F3" w:rsidRDefault="001C481C"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7" w:name="_Ref86784880"/>
      <w:bookmarkStart w:id="8" w:name="_Ref505867252"/>
      <w:bookmarkStart w:id="9" w:name="_Ref533782101"/>
      <w:bookmarkStart w:id="10" w:name="_Ref78875676"/>
      <w:bookmarkStart w:id="11" w:name="_Ref30757894"/>
      <w:bookmarkStart w:id="12" w:name="_Ref71203205"/>
      <w:bookmarkStart w:id="13" w:name="_Ref521162878"/>
      <w:bookmarkStart w:id="14" w:name="_Ref53491160"/>
      <w:bookmarkStart w:id="15" w:name="_Ref521313643"/>
      <w:bookmarkStart w:id="16" w:name="_Ref60817485"/>
      <w:bookmarkStart w:id="17" w:name="_Ref505807368"/>
      <w:bookmarkStart w:id="18" w:name="_Ref83712416"/>
      <w:bookmarkStart w:id="19" w:name="_Ref23496549"/>
      <w:bookmarkStart w:id="20" w:name="_Ref53511278"/>
    </w:p>
    <w:p w14:paraId="7D1F52DB" w14:textId="02B92732" w:rsidR="00386714" w:rsidRDefault="00E52675" w:rsidP="00386714">
      <w:pPr>
        <w:pStyle w:val="aff9"/>
        <w:numPr>
          <w:ilvl w:val="0"/>
          <w:numId w:val="15"/>
        </w:numPr>
        <w:spacing w:before="120" w:after="120"/>
        <w:ind w:firstLineChars="0"/>
        <w:jc w:val="both"/>
        <w:rPr>
          <w:rFonts w:cs="Times New Roman"/>
          <w:sz w:val="20"/>
          <w:szCs w:val="20"/>
        </w:rPr>
      </w:pPr>
      <w:r>
        <w:rPr>
          <w:rFonts w:cs="Times New Roman"/>
          <w:sz w:val="22"/>
          <w:szCs w:val="22"/>
        </w:rPr>
        <w:t>RP-234078</w:t>
      </w:r>
      <w:r w:rsidR="00386714" w:rsidRPr="006E5AB6">
        <w:rPr>
          <w:rFonts w:cs="Times New Roman"/>
          <w:sz w:val="22"/>
          <w:szCs w:val="22"/>
        </w:rPr>
        <w:t xml:space="preserve">, </w:t>
      </w:r>
      <w:r>
        <w:rPr>
          <w:rFonts w:cs="Times New Roman"/>
          <w:sz w:val="22"/>
          <w:szCs w:val="22"/>
        </w:rPr>
        <w:t>New</w:t>
      </w:r>
      <w:r w:rsidR="00386714" w:rsidRPr="006E5AB6">
        <w:rPr>
          <w:rFonts w:cs="Times New Roman"/>
          <w:sz w:val="22"/>
          <w:szCs w:val="22"/>
        </w:rPr>
        <w:t xml:space="preserve"> WID: Non-Terrestrial Networks (NTN) for NR Phase 3, </w:t>
      </w:r>
      <w:r>
        <w:rPr>
          <w:rFonts w:cs="Times New Roman"/>
          <w:sz w:val="22"/>
          <w:szCs w:val="22"/>
        </w:rPr>
        <w:t>December</w:t>
      </w:r>
      <w:r w:rsidR="00386714" w:rsidRPr="006E5AB6">
        <w:rPr>
          <w:rFonts w:cs="Times New Roman"/>
          <w:sz w:val="22"/>
          <w:szCs w:val="22"/>
        </w:rPr>
        <w:t xml:space="preserve"> 1</w:t>
      </w:r>
      <w:r>
        <w:rPr>
          <w:rFonts w:cs="Times New Roman"/>
          <w:sz w:val="22"/>
          <w:szCs w:val="22"/>
        </w:rPr>
        <w:t>1-15</w:t>
      </w:r>
      <w:r w:rsidR="00386714" w:rsidRPr="006E5AB6">
        <w:rPr>
          <w:rFonts w:cs="Times New Roman"/>
          <w:sz w:val="22"/>
          <w:szCs w:val="22"/>
        </w:rPr>
        <w:t>,</w:t>
      </w:r>
      <w:r w:rsidR="00386714">
        <w:rPr>
          <w:rFonts w:eastAsiaTheme="minorEastAsia" w:cs="Times New Roman" w:hint="eastAsia"/>
          <w:sz w:val="22"/>
          <w:szCs w:val="22"/>
        </w:rPr>
        <w:t xml:space="preserve"> </w:t>
      </w:r>
      <w:r>
        <w:rPr>
          <w:rFonts w:cs="Times New Roman"/>
          <w:sz w:val="22"/>
          <w:szCs w:val="22"/>
        </w:rPr>
        <w:t>2023</w:t>
      </w:r>
      <w:r w:rsidR="00386714" w:rsidRPr="006E5AB6">
        <w:rPr>
          <w:rFonts w:cs="Times New Roman"/>
          <w:sz w:val="22"/>
          <w:szCs w:val="22"/>
        </w:rPr>
        <w:t>.</w:t>
      </w:r>
    </w:p>
    <w:p w14:paraId="416D3862" w14:textId="21AB38DE" w:rsidR="007127F3" w:rsidRDefault="00386714" w:rsidP="006352DD">
      <w:pPr>
        <w:pStyle w:val="aff9"/>
        <w:numPr>
          <w:ilvl w:val="0"/>
          <w:numId w:val="15"/>
        </w:numPr>
        <w:spacing w:before="120" w:after="120"/>
        <w:ind w:firstLineChars="0"/>
        <w:jc w:val="both"/>
        <w:rPr>
          <w:rFonts w:cs="Times New Roman"/>
          <w:sz w:val="20"/>
          <w:szCs w:val="20"/>
        </w:rPr>
      </w:pPr>
      <w:r>
        <w:rPr>
          <w:rFonts w:cs="Times New Roman"/>
          <w:sz w:val="22"/>
          <w:szCs w:val="22"/>
        </w:rPr>
        <w:t>Chairman's Notes RAN1#117</w:t>
      </w:r>
      <w:r w:rsidR="006E5AB6" w:rsidRPr="006E5AB6">
        <w:rPr>
          <w:rFonts w:cs="Times New Roman"/>
          <w:sz w:val="22"/>
          <w:szCs w:val="22"/>
        </w:rPr>
        <w:t xml:space="preserve">, </w:t>
      </w:r>
      <w:r>
        <w:rPr>
          <w:rFonts w:eastAsiaTheme="minorEastAsia" w:cs="Times New Roman"/>
          <w:sz w:val="22"/>
          <w:szCs w:val="22"/>
        </w:rPr>
        <w:t>May</w:t>
      </w:r>
      <w:r w:rsidR="006E5AB6" w:rsidRPr="006E5AB6">
        <w:rPr>
          <w:rFonts w:cs="Times New Roman"/>
          <w:sz w:val="22"/>
          <w:szCs w:val="22"/>
        </w:rPr>
        <w:t xml:space="preserve"> </w:t>
      </w:r>
      <w:r>
        <w:rPr>
          <w:rFonts w:eastAsiaTheme="minorEastAsia" w:cs="Times New Roman"/>
          <w:sz w:val="22"/>
          <w:szCs w:val="22"/>
        </w:rPr>
        <w:t>20</w:t>
      </w:r>
      <w:r w:rsidR="006E5AB6" w:rsidRPr="006E5AB6">
        <w:rPr>
          <w:rFonts w:cs="Times New Roman"/>
          <w:sz w:val="22"/>
          <w:szCs w:val="22"/>
        </w:rPr>
        <w:t>th-</w:t>
      </w:r>
      <w:r>
        <w:rPr>
          <w:rFonts w:eastAsiaTheme="minorEastAsia" w:cs="Times New Roman"/>
          <w:sz w:val="22"/>
          <w:szCs w:val="22"/>
        </w:rPr>
        <w:t>24</w:t>
      </w:r>
      <w:r w:rsidR="0097145E">
        <w:rPr>
          <w:rFonts w:eastAsiaTheme="minorEastAsia" w:cs="Times New Roman" w:hint="eastAsia"/>
          <w:sz w:val="22"/>
          <w:szCs w:val="22"/>
        </w:rPr>
        <w:t>th</w:t>
      </w:r>
      <w:r w:rsidR="006E5AB6" w:rsidRPr="006E5AB6">
        <w:rPr>
          <w:rFonts w:cs="Times New Roman"/>
          <w:sz w:val="22"/>
          <w:szCs w:val="22"/>
        </w:rPr>
        <w:t>, 2024</w:t>
      </w:r>
      <w:r w:rsidR="008441A0">
        <w:rPr>
          <w:rFonts w:eastAsiaTheme="minorEastAsia" w:cs="Times New Roman" w:hint="eastAsia"/>
          <w:sz w:val="22"/>
          <w:szCs w:val="22"/>
        </w:rPr>
        <w:t>.</w:t>
      </w:r>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7127F3" w:rsidSect="00393A33">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85996" w14:textId="77777777" w:rsidR="00D45386" w:rsidRDefault="00D45386">
      <w:r>
        <w:separator/>
      </w:r>
    </w:p>
  </w:endnote>
  <w:endnote w:type="continuationSeparator" w:id="0">
    <w:p w14:paraId="51024CB2" w14:textId="77777777" w:rsidR="00D45386" w:rsidRDefault="00D4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59152" w14:textId="77777777" w:rsidR="00D45386" w:rsidRDefault="00D45386">
      <w:r>
        <w:separator/>
      </w:r>
    </w:p>
  </w:footnote>
  <w:footnote w:type="continuationSeparator" w:id="0">
    <w:p w14:paraId="40527A17" w14:textId="77777777" w:rsidR="00D45386" w:rsidRDefault="00D4538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4647C"/>
    <w:multiLevelType w:val="hybridMultilevel"/>
    <w:tmpl w:val="A1140514"/>
    <w:lvl w:ilvl="0" w:tplc="691A6FB0">
      <w:numFmt w:val="bullet"/>
      <w:lvlText w:val="•"/>
      <w:lvlJc w:val="left"/>
      <w:pPr>
        <w:ind w:left="720" w:hanging="360"/>
      </w:pPr>
      <w:rPr>
        <w:rFonts w:ascii="Times New Roman" w:eastAsia="Times New Roman" w:hAnsi="Times New Roman" w:cs="Times New Roman"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7CDCD9C"/>
    <w:multiLevelType w:val="singleLevel"/>
    <w:tmpl w:val="77CDCD9C"/>
    <w:lvl w:ilvl="0">
      <w:start w:val="1"/>
      <w:numFmt w:val="bullet"/>
      <w:lvlText w:val=""/>
      <w:lvlJc w:val="left"/>
      <w:pPr>
        <w:ind w:left="420" w:hanging="420"/>
      </w:pPr>
      <w:rPr>
        <w:rFonts w:ascii="Wingdings" w:hAnsi="Wingdings" w:hint="default"/>
      </w:rPr>
    </w:lvl>
  </w:abstractNum>
  <w:abstractNum w:abstractNumId="2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EE5024"/>
    <w:multiLevelType w:val="multilevel"/>
    <w:tmpl w:val="7EEE5024"/>
    <w:lvl w:ilvl="0">
      <w:start w:val="2"/>
      <w:numFmt w:val="decimal"/>
      <w:lvlText w:val="%1"/>
      <w:lvlJc w:val="left"/>
      <w:pPr>
        <w:tabs>
          <w:tab w:val="left" w:pos="1500"/>
        </w:tabs>
        <w:ind w:left="1500" w:hanging="1140"/>
      </w:pPr>
      <w:rPr>
        <w:rFonts w:hint="default"/>
      </w:rPr>
    </w:lvl>
    <w:lvl w:ilvl="1">
      <w:start w:val="1"/>
      <w:numFmt w:val="decimal"/>
      <w:isLgl/>
      <w:lvlText w:val="%1.%2"/>
      <w:lvlJc w:val="left"/>
      <w:pPr>
        <w:tabs>
          <w:tab w:val="left" w:pos="720"/>
        </w:tabs>
        <w:ind w:left="720" w:hanging="360"/>
      </w:pPr>
      <w:rPr>
        <w:rFonts w:hint="default"/>
      </w:rPr>
    </w:lvl>
    <w:lvl w:ilvl="2">
      <w:start w:val="1"/>
      <w:numFmt w:val="decimal"/>
      <w:isLgl/>
      <w:lvlText w:val="%1.%2.%3"/>
      <w:lvlJc w:val="left"/>
      <w:pPr>
        <w:tabs>
          <w:tab w:val="left" w:pos="1080"/>
        </w:tabs>
        <w:ind w:left="1080" w:hanging="720"/>
      </w:pPr>
      <w:rPr>
        <w:rFonts w:hint="default"/>
      </w:rPr>
    </w:lvl>
    <w:lvl w:ilvl="3">
      <w:start w:val="1"/>
      <w:numFmt w:val="decimal"/>
      <w:isLgl/>
      <w:lvlText w:val="%1.%2.%3.%4"/>
      <w:lvlJc w:val="left"/>
      <w:pPr>
        <w:tabs>
          <w:tab w:val="left" w:pos="1080"/>
        </w:tabs>
        <w:ind w:left="1080" w:hanging="720"/>
      </w:pPr>
      <w:rPr>
        <w:rFonts w:hint="default"/>
      </w:rPr>
    </w:lvl>
    <w:lvl w:ilvl="4">
      <w:start w:val="1"/>
      <w:numFmt w:val="decimal"/>
      <w:isLgl/>
      <w:lvlText w:val="%1.%2.%3.%4.%5"/>
      <w:lvlJc w:val="left"/>
      <w:pPr>
        <w:tabs>
          <w:tab w:val="left" w:pos="1080"/>
        </w:tabs>
        <w:ind w:left="1080" w:hanging="720"/>
      </w:pPr>
      <w:rPr>
        <w:rFonts w:hint="default"/>
      </w:rPr>
    </w:lvl>
    <w:lvl w:ilvl="5">
      <w:start w:val="1"/>
      <w:numFmt w:val="decimal"/>
      <w:isLgl/>
      <w:lvlText w:val="%1.%2.%3.%4.%5.%6"/>
      <w:lvlJc w:val="left"/>
      <w:pPr>
        <w:tabs>
          <w:tab w:val="left" w:pos="1440"/>
        </w:tabs>
        <w:ind w:left="1440" w:hanging="1080"/>
      </w:pPr>
      <w:rPr>
        <w:rFonts w:hint="default"/>
      </w:rPr>
    </w:lvl>
    <w:lvl w:ilvl="6">
      <w:start w:val="1"/>
      <w:numFmt w:val="decimal"/>
      <w:isLgl/>
      <w:lvlText w:val="%1.%2.%3.%4.%5.%6.%7"/>
      <w:lvlJc w:val="left"/>
      <w:pPr>
        <w:tabs>
          <w:tab w:val="left" w:pos="1440"/>
        </w:tabs>
        <w:ind w:left="1440" w:hanging="1080"/>
      </w:pPr>
      <w:rPr>
        <w:rFonts w:hint="default"/>
      </w:rPr>
    </w:lvl>
    <w:lvl w:ilvl="7">
      <w:start w:val="1"/>
      <w:numFmt w:val="decimal"/>
      <w:isLgl/>
      <w:lvlText w:val="%1.%2.%3.%4.%5.%6.%7.%8"/>
      <w:lvlJc w:val="left"/>
      <w:pPr>
        <w:tabs>
          <w:tab w:val="left" w:pos="1800"/>
        </w:tabs>
        <w:ind w:left="1800" w:hanging="1440"/>
      </w:pPr>
      <w:rPr>
        <w:rFonts w:hint="default"/>
      </w:rPr>
    </w:lvl>
    <w:lvl w:ilvl="8">
      <w:start w:val="1"/>
      <w:numFmt w:val="decimal"/>
      <w:isLgl/>
      <w:lvlText w:val="%1.%2.%3.%4.%5.%6.%7.%8.%9"/>
      <w:lvlJc w:val="left"/>
      <w:pPr>
        <w:tabs>
          <w:tab w:val="left" w:pos="1800"/>
        </w:tabs>
        <w:ind w:left="1800" w:hanging="1440"/>
      </w:pPr>
      <w:rPr>
        <w:rFonts w:hint="default"/>
      </w:rPr>
    </w:lvl>
  </w:abstractNum>
  <w:num w:numId="1">
    <w:abstractNumId w:val="0"/>
  </w:num>
  <w:num w:numId="2">
    <w:abstractNumId w:val="17"/>
  </w:num>
  <w:num w:numId="3">
    <w:abstractNumId w:val="1"/>
  </w:num>
  <w:num w:numId="4">
    <w:abstractNumId w:val="9"/>
  </w:num>
  <w:num w:numId="5">
    <w:abstractNumId w:val="18"/>
  </w:num>
  <w:num w:numId="6">
    <w:abstractNumId w:val="22"/>
  </w:num>
  <w:num w:numId="7">
    <w:abstractNumId w:val="11"/>
    <w:lvlOverride w:ilvl="0">
      <w:startOverride w:val="1"/>
    </w:lvlOverride>
  </w:num>
  <w:num w:numId="8">
    <w:abstractNumId w:val="7"/>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3"/>
  </w:num>
  <w:num w:numId="12">
    <w:abstractNumId w:val="21"/>
  </w:num>
  <w:num w:numId="13">
    <w:abstractNumId w:val="8"/>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
  </w:num>
  <w:num w:numId="18">
    <w:abstractNumId w:val="4"/>
  </w:num>
  <w:num w:numId="19">
    <w:abstractNumId w:val="14"/>
  </w:num>
  <w:num w:numId="20">
    <w:abstractNumId w:val="19"/>
  </w:num>
  <w:num w:numId="21">
    <w:abstractNumId w:val="10"/>
  </w:num>
  <w:num w:numId="22">
    <w:abstractNumId w:val="20"/>
  </w:num>
  <w:num w:numId="23">
    <w:abstractNumId w:val="23"/>
  </w:num>
  <w:num w:numId="24">
    <w:abstractNumId w:val="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0AE9"/>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431"/>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4A7"/>
    <w:rsid w:val="00025721"/>
    <w:rsid w:val="00025876"/>
    <w:rsid w:val="00025C6D"/>
    <w:rsid w:val="0002605F"/>
    <w:rsid w:val="000262D8"/>
    <w:rsid w:val="000264FB"/>
    <w:rsid w:val="00026AFA"/>
    <w:rsid w:val="00026E44"/>
    <w:rsid w:val="000276BF"/>
    <w:rsid w:val="00027A3D"/>
    <w:rsid w:val="00030575"/>
    <w:rsid w:val="00030807"/>
    <w:rsid w:val="00030C95"/>
    <w:rsid w:val="0003108C"/>
    <w:rsid w:val="0003128F"/>
    <w:rsid w:val="00031553"/>
    <w:rsid w:val="000316B0"/>
    <w:rsid w:val="000317B2"/>
    <w:rsid w:val="000318B5"/>
    <w:rsid w:val="00031B0E"/>
    <w:rsid w:val="00031FC4"/>
    <w:rsid w:val="0003278C"/>
    <w:rsid w:val="00032AE1"/>
    <w:rsid w:val="00032C4E"/>
    <w:rsid w:val="00032C91"/>
    <w:rsid w:val="00033559"/>
    <w:rsid w:val="00033767"/>
    <w:rsid w:val="000337B4"/>
    <w:rsid w:val="00033BEF"/>
    <w:rsid w:val="00034179"/>
    <w:rsid w:val="00034BE6"/>
    <w:rsid w:val="0003532E"/>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958"/>
    <w:rsid w:val="000523B6"/>
    <w:rsid w:val="000527E7"/>
    <w:rsid w:val="00052DEC"/>
    <w:rsid w:val="00052ECA"/>
    <w:rsid w:val="000535B2"/>
    <w:rsid w:val="00053B6F"/>
    <w:rsid w:val="00053C3F"/>
    <w:rsid w:val="000546D0"/>
    <w:rsid w:val="00054A81"/>
    <w:rsid w:val="00054F34"/>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24DA"/>
    <w:rsid w:val="000C34BC"/>
    <w:rsid w:val="000C39C9"/>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021"/>
    <w:rsid w:val="000D6492"/>
    <w:rsid w:val="000D6AE6"/>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A7"/>
    <w:rsid w:val="0010312F"/>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525"/>
    <w:rsid w:val="00110D51"/>
    <w:rsid w:val="001110C4"/>
    <w:rsid w:val="00111510"/>
    <w:rsid w:val="00112B40"/>
    <w:rsid w:val="00112D06"/>
    <w:rsid w:val="0011406B"/>
    <w:rsid w:val="001142DB"/>
    <w:rsid w:val="00114BC8"/>
    <w:rsid w:val="00114D67"/>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C7"/>
    <w:rsid w:val="00121DE4"/>
    <w:rsid w:val="00121FBB"/>
    <w:rsid w:val="0012207E"/>
    <w:rsid w:val="0012210B"/>
    <w:rsid w:val="0012211A"/>
    <w:rsid w:val="00122255"/>
    <w:rsid w:val="00122318"/>
    <w:rsid w:val="00122426"/>
    <w:rsid w:val="00122535"/>
    <w:rsid w:val="0012286E"/>
    <w:rsid w:val="001228A4"/>
    <w:rsid w:val="00122967"/>
    <w:rsid w:val="00122A9D"/>
    <w:rsid w:val="001233C6"/>
    <w:rsid w:val="00123603"/>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49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87D13"/>
    <w:rsid w:val="001904C1"/>
    <w:rsid w:val="00190939"/>
    <w:rsid w:val="00190C96"/>
    <w:rsid w:val="001911E1"/>
    <w:rsid w:val="001911FE"/>
    <w:rsid w:val="00191418"/>
    <w:rsid w:val="001914A5"/>
    <w:rsid w:val="001914EF"/>
    <w:rsid w:val="0019171D"/>
    <w:rsid w:val="001919C5"/>
    <w:rsid w:val="00191E95"/>
    <w:rsid w:val="00192157"/>
    <w:rsid w:val="001923DE"/>
    <w:rsid w:val="001924F4"/>
    <w:rsid w:val="001925AF"/>
    <w:rsid w:val="00192AFF"/>
    <w:rsid w:val="00192C0A"/>
    <w:rsid w:val="00192C0F"/>
    <w:rsid w:val="00193224"/>
    <w:rsid w:val="00193332"/>
    <w:rsid w:val="00193791"/>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6DE8"/>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B7D43"/>
    <w:rsid w:val="001C010A"/>
    <w:rsid w:val="001C04F2"/>
    <w:rsid w:val="001C07BC"/>
    <w:rsid w:val="001C081E"/>
    <w:rsid w:val="001C08E9"/>
    <w:rsid w:val="001C144E"/>
    <w:rsid w:val="001C1B73"/>
    <w:rsid w:val="001C204C"/>
    <w:rsid w:val="001C21B0"/>
    <w:rsid w:val="001C245E"/>
    <w:rsid w:val="001C29F8"/>
    <w:rsid w:val="001C2D37"/>
    <w:rsid w:val="001C2D82"/>
    <w:rsid w:val="001C3CDE"/>
    <w:rsid w:val="001C3FD6"/>
    <w:rsid w:val="001C41A2"/>
    <w:rsid w:val="001C481C"/>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2DC"/>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1F7E6D"/>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EC2"/>
    <w:rsid w:val="00207381"/>
    <w:rsid w:val="00207AB1"/>
    <w:rsid w:val="00207BA0"/>
    <w:rsid w:val="0021000F"/>
    <w:rsid w:val="0021008D"/>
    <w:rsid w:val="00210763"/>
    <w:rsid w:val="00210B52"/>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A8E"/>
    <w:rsid w:val="00214D62"/>
    <w:rsid w:val="002152E8"/>
    <w:rsid w:val="00216984"/>
    <w:rsid w:val="00216B90"/>
    <w:rsid w:val="002176A5"/>
    <w:rsid w:val="002177DC"/>
    <w:rsid w:val="00217FDD"/>
    <w:rsid w:val="0022002C"/>
    <w:rsid w:val="002202F4"/>
    <w:rsid w:val="0022067A"/>
    <w:rsid w:val="00220C08"/>
    <w:rsid w:val="002213A7"/>
    <w:rsid w:val="002213FC"/>
    <w:rsid w:val="00221F50"/>
    <w:rsid w:val="00221F6A"/>
    <w:rsid w:val="002226B5"/>
    <w:rsid w:val="00222829"/>
    <w:rsid w:val="00222F8F"/>
    <w:rsid w:val="00223472"/>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A34"/>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193"/>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9B7"/>
    <w:rsid w:val="00263B2A"/>
    <w:rsid w:val="00264636"/>
    <w:rsid w:val="002648D8"/>
    <w:rsid w:val="00264B87"/>
    <w:rsid w:val="00264DF0"/>
    <w:rsid w:val="00264FF4"/>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0C0"/>
    <w:rsid w:val="002941FA"/>
    <w:rsid w:val="00294D90"/>
    <w:rsid w:val="00294FD6"/>
    <w:rsid w:val="00295037"/>
    <w:rsid w:val="00295276"/>
    <w:rsid w:val="00295314"/>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A0374"/>
    <w:rsid w:val="002A047A"/>
    <w:rsid w:val="002A09BD"/>
    <w:rsid w:val="002A0C5E"/>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3F0"/>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7B"/>
    <w:rsid w:val="002C5A60"/>
    <w:rsid w:val="002C6262"/>
    <w:rsid w:val="002D0BFF"/>
    <w:rsid w:val="002D1152"/>
    <w:rsid w:val="002D121B"/>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523"/>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325"/>
    <w:rsid w:val="002E5292"/>
    <w:rsid w:val="002E5763"/>
    <w:rsid w:val="002E57C2"/>
    <w:rsid w:val="002E5810"/>
    <w:rsid w:val="002E6216"/>
    <w:rsid w:val="002E6337"/>
    <w:rsid w:val="002E634D"/>
    <w:rsid w:val="002E64AE"/>
    <w:rsid w:val="002E6583"/>
    <w:rsid w:val="002E67DC"/>
    <w:rsid w:val="002E696D"/>
    <w:rsid w:val="002E6DFE"/>
    <w:rsid w:val="002E7157"/>
    <w:rsid w:val="002E78B0"/>
    <w:rsid w:val="002E78B4"/>
    <w:rsid w:val="002E7BF4"/>
    <w:rsid w:val="002F006C"/>
    <w:rsid w:val="002F076E"/>
    <w:rsid w:val="002F0C4D"/>
    <w:rsid w:val="002F1134"/>
    <w:rsid w:val="002F128B"/>
    <w:rsid w:val="002F135A"/>
    <w:rsid w:val="002F15CE"/>
    <w:rsid w:val="002F205B"/>
    <w:rsid w:val="002F222F"/>
    <w:rsid w:val="002F248B"/>
    <w:rsid w:val="002F2610"/>
    <w:rsid w:val="002F2D58"/>
    <w:rsid w:val="002F3304"/>
    <w:rsid w:val="002F3793"/>
    <w:rsid w:val="002F3794"/>
    <w:rsid w:val="002F3A9D"/>
    <w:rsid w:val="002F3BF6"/>
    <w:rsid w:val="002F3FDF"/>
    <w:rsid w:val="002F449D"/>
    <w:rsid w:val="002F476B"/>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AFB"/>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A1E"/>
    <w:rsid w:val="00312ABE"/>
    <w:rsid w:val="00313102"/>
    <w:rsid w:val="00313487"/>
    <w:rsid w:val="00313734"/>
    <w:rsid w:val="00313F41"/>
    <w:rsid w:val="0031402B"/>
    <w:rsid w:val="0031406F"/>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2B15"/>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63F"/>
    <w:rsid w:val="00341700"/>
    <w:rsid w:val="0034226D"/>
    <w:rsid w:val="00342C1F"/>
    <w:rsid w:val="00342C24"/>
    <w:rsid w:val="003432A6"/>
    <w:rsid w:val="00343E8A"/>
    <w:rsid w:val="00344F37"/>
    <w:rsid w:val="003450C5"/>
    <w:rsid w:val="00345648"/>
    <w:rsid w:val="003457FF"/>
    <w:rsid w:val="00345D7E"/>
    <w:rsid w:val="00346A4B"/>
    <w:rsid w:val="00346C42"/>
    <w:rsid w:val="00346DF5"/>
    <w:rsid w:val="003470CE"/>
    <w:rsid w:val="00347569"/>
    <w:rsid w:val="00347BD4"/>
    <w:rsid w:val="0035028E"/>
    <w:rsid w:val="00350396"/>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60441"/>
    <w:rsid w:val="00360486"/>
    <w:rsid w:val="0036123C"/>
    <w:rsid w:val="0036159E"/>
    <w:rsid w:val="003625B5"/>
    <w:rsid w:val="003628C3"/>
    <w:rsid w:val="00362FFC"/>
    <w:rsid w:val="003638F7"/>
    <w:rsid w:val="003641B9"/>
    <w:rsid w:val="003645ED"/>
    <w:rsid w:val="003646ED"/>
    <w:rsid w:val="0036479A"/>
    <w:rsid w:val="00364CBA"/>
    <w:rsid w:val="00364D3A"/>
    <w:rsid w:val="0036501C"/>
    <w:rsid w:val="00365032"/>
    <w:rsid w:val="00365110"/>
    <w:rsid w:val="003654C4"/>
    <w:rsid w:val="00365A9D"/>
    <w:rsid w:val="003660A4"/>
    <w:rsid w:val="003669EA"/>
    <w:rsid w:val="00366BEA"/>
    <w:rsid w:val="00367582"/>
    <w:rsid w:val="00367804"/>
    <w:rsid w:val="003678DF"/>
    <w:rsid w:val="0036790A"/>
    <w:rsid w:val="0036799C"/>
    <w:rsid w:val="003679D5"/>
    <w:rsid w:val="00367DDE"/>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714"/>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A33"/>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0BC"/>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67E"/>
    <w:rsid w:val="003B7A16"/>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0C4"/>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C33"/>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BFA"/>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ECC"/>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3C0"/>
    <w:rsid w:val="004426F2"/>
    <w:rsid w:val="00443C5B"/>
    <w:rsid w:val="0044410C"/>
    <w:rsid w:val="004451B3"/>
    <w:rsid w:val="004455F0"/>
    <w:rsid w:val="00445721"/>
    <w:rsid w:val="0044610D"/>
    <w:rsid w:val="0044632B"/>
    <w:rsid w:val="0044667F"/>
    <w:rsid w:val="004470A2"/>
    <w:rsid w:val="00450631"/>
    <w:rsid w:val="004506BC"/>
    <w:rsid w:val="00450DCE"/>
    <w:rsid w:val="00450FC2"/>
    <w:rsid w:val="00451154"/>
    <w:rsid w:val="00451357"/>
    <w:rsid w:val="004513C9"/>
    <w:rsid w:val="0045148F"/>
    <w:rsid w:val="00451878"/>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921"/>
    <w:rsid w:val="00456BA9"/>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F58"/>
    <w:rsid w:val="004652B0"/>
    <w:rsid w:val="004656A4"/>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18"/>
    <w:rsid w:val="00477558"/>
    <w:rsid w:val="00477634"/>
    <w:rsid w:val="0047779E"/>
    <w:rsid w:val="00477CD0"/>
    <w:rsid w:val="00480385"/>
    <w:rsid w:val="004805D6"/>
    <w:rsid w:val="00480C2A"/>
    <w:rsid w:val="0048148C"/>
    <w:rsid w:val="004816E0"/>
    <w:rsid w:val="00481EDC"/>
    <w:rsid w:val="004825AC"/>
    <w:rsid w:val="004825ED"/>
    <w:rsid w:val="004829A5"/>
    <w:rsid w:val="00482F06"/>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AF4"/>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4FC"/>
    <w:rsid w:val="004A3AB3"/>
    <w:rsid w:val="004A3AF5"/>
    <w:rsid w:val="004A5C44"/>
    <w:rsid w:val="004A62A8"/>
    <w:rsid w:val="004A7052"/>
    <w:rsid w:val="004A7837"/>
    <w:rsid w:val="004A7BE6"/>
    <w:rsid w:val="004A7E2E"/>
    <w:rsid w:val="004B02D9"/>
    <w:rsid w:val="004B05B2"/>
    <w:rsid w:val="004B0A7C"/>
    <w:rsid w:val="004B13FE"/>
    <w:rsid w:val="004B161B"/>
    <w:rsid w:val="004B1DFD"/>
    <w:rsid w:val="004B24A5"/>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A1"/>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8C1"/>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104"/>
    <w:rsid w:val="00520227"/>
    <w:rsid w:val="00521DFB"/>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EDD"/>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C19"/>
    <w:rsid w:val="00581F33"/>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532B"/>
    <w:rsid w:val="00585522"/>
    <w:rsid w:val="005856AA"/>
    <w:rsid w:val="005858C4"/>
    <w:rsid w:val="00585C13"/>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4A17"/>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11D5"/>
    <w:rsid w:val="005B13EA"/>
    <w:rsid w:val="005B1DE7"/>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0EA"/>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59F"/>
    <w:rsid w:val="005E4983"/>
    <w:rsid w:val="005E4AE9"/>
    <w:rsid w:val="005E4C70"/>
    <w:rsid w:val="005E50C5"/>
    <w:rsid w:val="005E55EA"/>
    <w:rsid w:val="005E5888"/>
    <w:rsid w:val="005E5941"/>
    <w:rsid w:val="005E5C81"/>
    <w:rsid w:val="005E5CBB"/>
    <w:rsid w:val="005E5E0F"/>
    <w:rsid w:val="005E6123"/>
    <w:rsid w:val="005E6E54"/>
    <w:rsid w:val="005E6F88"/>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B97"/>
    <w:rsid w:val="005F3DB0"/>
    <w:rsid w:val="005F3E54"/>
    <w:rsid w:val="005F44E2"/>
    <w:rsid w:val="005F453D"/>
    <w:rsid w:val="005F4DE9"/>
    <w:rsid w:val="005F6215"/>
    <w:rsid w:val="005F6B16"/>
    <w:rsid w:val="005F6BD5"/>
    <w:rsid w:val="005F6BDD"/>
    <w:rsid w:val="005F6E03"/>
    <w:rsid w:val="005F6E26"/>
    <w:rsid w:val="005F7212"/>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179"/>
    <w:rsid w:val="00612A0F"/>
    <w:rsid w:val="00612BA1"/>
    <w:rsid w:val="006132E2"/>
    <w:rsid w:val="0061338F"/>
    <w:rsid w:val="0061390A"/>
    <w:rsid w:val="00613BA3"/>
    <w:rsid w:val="00613F47"/>
    <w:rsid w:val="00614072"/>
    <w:rsid w:val="006144D9"/>
    <w:rsid w:val="006144E8"/>
    <w:rsid w:val="006147A9"/>
    <w:rsid w:val="00614B38"/>
    <w:rsid w:val="00614B85"/>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EFF"/>
    <w:rsid w:val="00620F4F"/>
    <w:rsid w:val="006212CC"/>
    <w:rsid w:val="0062175E"/>
    <w:rsid w:val="0062186F"/>
    <w:rsid w:val="00621A40"/>
    <w:rsid w:val="00621DD2"/>
    <w:rsid w:val="00622395"/>
    <w:rsid w:val="0062239B"/>
    <w:rsid w:val="00622794"/>
    <w:rsid w:val="00622A1E"/>
    <w:rsid w:val="006230A4"/>
    <w:rsid w:val="00623BE4"/>
    <w:rsid w:val="00623BE9"/>
    <w:rsid w:val="00623DF1"/>
    <w:rsid w:val="00624593"/>
    <w:rsid w:val="00624BF3"/>
    <w:rsid w:val="00624D2A"/>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2C6B"/>
    <w:rsid w:val="00633250"/>
    <w:rsid w:val="00633AB1"/>
    <w:rsid w:val="00633D16"/>
    <w:rsid w:val="00633D1A"/>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EDF"/>
    <w:rsid w:val="006425D9"/>
    <w:rsid w:val="00642607"/>
    <w:rsid w:val="00642883"/>
    <w:rsid w:val="00642884"/>
    <w:rsid w:val="00642CEB"/>
    <w:rsid w:val="0064364A"/>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1232"/>
    <w:rsid w:val="0068137A"/>
    <w:rsid w:val="006813F6"/>
    <w:rsid w:val="0068148C"/>
    <w:rsid w:val="00681602"/>
    <w:rsid w:val="00681853"/>
    <w:rsid w:val="00681E3F"/>
    <w:rsid w:val="0068238E"/>
    <w:rsid w:val="0068245F"/>
    <w:rsid w:val="006827A6"/>
    <w:rsid w:val="00682A9B"/>
    <w:rsid w:val="00682F1F"/>
    <w:rsid w:val="00683415"/>
    <w:rsid w:val="00683BD7"/>
    <w:rsid w:val="00685A30"/>
    <w:rsid w:val="00685FB7"/>
    <w:rsid w:val="00685FEE"/>
    <w:rsid w:val="0068699C"/>
    <w:rsid w:val="00686D3B"/>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2753"/>
    <w:rsid w:val="006A3BBE"/>
    <w:rsid w:val="006A4635"/>
    <w:rsid w:val="006A47C0"/>
    <w:rsid w:val="006A4EFF"/>
    <w:rsid w:val="006A553A"/>
    <w:rsid w:val="006A55C5"/>
    <w:rsid w:val="006A5799"/>
    <w:rsid w:val="006A592C"/>
    <w:rsid w:val="006A5D40"/>
    <w:rsid w:val="006A6262"/>
    <w:rsid w:val="006A6362"/>
    <w:rsid w:val="006A7BD7"/>
    <w:rsid w:val="006A7D3E"/>
    <w:rsid w:val="006B01C8"/>
    <w:rsid w:val="006B040D"/>
    <w:rsid w:val="006B06AE"/>
    <w:rsid w:val="006B141C"/>
    <w:rsid w:val="006B1880"/>
    <w:rsid w:val="006B1B45"/>
    <w:rsid w:val="006B20A8"/>
    <w:rsid w:val="006B279E"/>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5990"/>
    <w:rsid w:val="006C68A2"/>
    <w:rsid w:val="006C6BF1"/>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6B22"/>
    <w:rsid w:val="006D753F"/>
    <w:rsid w:val="006D782F"/>
    <w:rsid w:val="006D7C0E"/>
    <w:rsid w:val="006E0094"/>
    <w:rsid w:val="006E08C0"/>
    <w:rsid w:val="006E1462"/>
    <w:rsid w:val="006E1636"/>
    <w:rsid w:val="006E177C"/>
    <w:rsid w:val="006E193D"/>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AB6"/>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8F1"/>
    <w:rsid w:val="006F39C8"/>
    <w:rsid w:val="006F3B3F"/>
    <w:rsid w:val="006F3E44"/>
    <w:rsid w:val="006F40DB"/>
    <w:rsid w:val="006F4A36"/>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43B"/>
    <w:rsid w:val="00700C30"/>
    <w:rsid w:val="00700E00"/>
    <w:rsid w:val="00701426"/>
    <w:rsid w:val="00701979"/>
    <w:rsid w:val="00701F51"/>
    <w:rsid w:val="007020FA"/>
    <w:rsid w:val="00702452"/>
    <w:rsid w:val="00702613"/>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CED"/>
    <w:rsid w:val="00707CF5"/>
    <w:rsid w:val="00707D23"/>
    <w:rsid w:val="00710AC1"/>
    <w:rsid w:val="00710BFA"/>
    <w:rsid w:val="00711B72"/>
    <w:rsid w:val="00711F41"/>
    <w:rsid w:val="00712218"/>
    <w:rsid w:val="0071234C"/>
    <w:rsid w:val="007127F3"/>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DB"/>
    <w:rsid w:val="00721827"/>
    <w:rsid w:val="00721898"/>
    <w:rsid w:val="00721DB1"/>
    <w:rsid w:val="0072239B"/>
    <w:rsid w:val="00722404"/>
    <w:rsid w:val="00722560"/>
    <w:rsid w:val="00722B92"/>
    <w:rsid w:val="00723A14"/>
    <w:rsid w:val="00723B15"/>
    <w:rsid w:val="00723E89"/>
    <w:rsid w:val="00724765"/>
    <w:rsid w:val="007248D0"/>
    <w:rsid w:val="00724B52"/>
    <w:rsid w:val="00724D59"/>
    <w:rsid w:val="007252C6"/>
    <w:rsid w:val="00725391"/>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6E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85"/>
    <w:rsid w:val="00765CDC"/>
    <w:rsid w:val="007663E6"/>
    <w:rsid w:val="007663EA"/>
    <w:rsid w:val="00766534"/>
    <w:rsid w:val="00766735"/>
    <w:rsid w:val="00766949"/>
    <w:rsid w:val="00766AF9"/>
    <w:rsid w:val="00767074"/>
    <w:rsid w:val="00767526"/>
    <w:rsid w:val="0076769D"/>
    <w:rsid w:val="00767807"/>
    <w:rsid w:val="00767974"/>
    <w:rsid w:val="00767A7D"/>
    <w:rsid w:val="0077091D"/>
    <w:rsid w:val="00770A1A"/>
    <w:rsid w:val="00770A2D"/>
    <w:rsid w:val="00770F4D"/>
    <w:rsid w:val="00771422"/>
    <w:rsid w:val="007718C6"/>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1F6B"/>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67A"/>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7A7"/>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215"/>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3C48"/>
    <w:rsid w:val="0082438A"/>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B90"/>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1A0"/>
    <w:rsid w:val="00844224"/>
    <w:rsid w:val="00844375"/>
    <w:rsid w:val="00844A3E"/>
    <w:rsid w:val="0084544B"/>
    <w:rsid w:val="00845A74"/>
    <w:rsid w:val="00846078"/>
    <w:rsid w:val="008463FB"/>
    <w:rsid w:val="008465AF"/>
    <w:rsid w:val="00846D9D"/>
    <w:rsid w:val="0084736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095"/>
    <w:rsid w:val="008637F5"/>
    <w:rsid w:val="00863A2D"/>
    <w:rsid w:val="00863A58"/>
    <w:rsid w:val="00863A9D"/>
    <w:rsid w:val="008644CD"/>
    <w:rsid w:val="00865170"/>
    <w:rsid w:val="00865395"/>
    <w:rsid w:val="00866ECA"/>
    <w:rsid w:val="00867485"/>
    <w:rsid w:val="0086752F"/>
    <w:rsid w:val="008679AF"/>
    <w:rsid w:val="00867DE3"/>
    <w:rsid w:val="00870121"/>
    <w:rsid w:val="0087022E"/>
    <w:rsid w:val="00870B36"/>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5D2"/>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788"/>
    <w:rsid w:val="008A0C4F"/>
    <w:rsid w:val="008A222C"/>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5F5"/>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069"/>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983"/>
    <w:rsid w:val="00941CF9"/>
    <w:rsid w:val="00942D3F"/>
    <w:rsid w:val="0094304E"/>
    <w:rsid w:val="0094306C"/>
    <w:rsid w:val="00943153"/>
    <w:rsid w:val="00943716"/>
    <w:rsid w:val="00943897"/>
    <w:rsid w:val="00943BE6"/>
    <w:rsid w:val="0094405D"/>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63D"/>
    <w:rsid w:val="00970DB5"/>
    <w:rsid w:val="00970DE2"/>
    <w:rsid w:val="00971150"/>
    <w:rsid w:val="0097145E"/>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A9"/>
    <w:rsid w:val="009B667E"/>
    <w:rsid w:val="009B6694"/>
    <w:rsid w:val="009B6BF5"/>
    <w:rsid w:val="009B6F6E"/>
    <w:rsid w:val="009B7701"/>
    <w:rsid w:val="009B7C8F"/>
    <w:rsid w:val="009B7FBA"/>
    <w:rsid w:val="009C02CB"/>
    <w:rsid w:val="009C0554"/>
    <w:rsid w:val="009C0D06"/>
    <w:rsid w:val="009C0ECD"/>
    <w:rsid w:val="009C10AE"/>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D07CD"/>
    <w:rsid w:val="009D0968"/>
    <w:rsid w:val="009D0988"/>
    <w:rsid w:val="009D0F7B"/>
    <w:rsid w:val="009D1431"/>
    <w:rsid w:val="009D17BD"/>
    <w:rsid w:val="009D1965"/>
    <w:rsid w:val="009D1F17"/>
    <w:rsid w:val="009D21B1"/>
    <w:rsid w:val="009D21EE"/>
    <w:rsid w:val="009D245D"/>
    <w:rsid w:val="009D2470"/>
    <w:rsid w:val="009D2B03"/>
    <w:rsid w:val="009D305C"/>
    <w:rsid w:val="009D33FA"/>
    <w:rsid w:val="009D374D"/>
    <w:rsid w:val="009D37D3"/>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3969"/>
    <w:rsid w:val="009E40DE"/>
    <w:rsid w:val="009E422D"/>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D0F"/>
    <w:rsid w:val="009F5118"/>
    <w:rsid w:val="009F5538"/>
    <w:rsid w:val="009F587D"/>
    <w:rsid w:val="009F5956"/>
    <w:rsid w:val="009F5C5D"/>
    <w:rsid w:val="009F5E98"/>
    <w:rsid w:val="009F6268"/>
    <w:rsid w:val="009F638B"/>
    <w:rsid w:val="009F7AF2"/>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8B3"/>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677"/>
    <w:rsid w:val="00A37800"/>
    <w:rsid w:val="00A37AD7"/>
    <w:rsid w:val="00A37B31"/>
    <w:rsid w:val="00A37DE5"/>
    <w:rsid w:val="00A40192"/>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3BA5"/>
    <w:rsid w:val="00A5430D"/>
    <w:rsid w:val="00A54621"/>
    <w:rsid w:val="00A5511D"/>
    <w:rsid w:val="00A551C1"/>
    <w:rsid w:val="00A55BC9"/>
    <w:rsid w:val="00A55D55"/>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1F2"/>
    <w:rsid w:val="00A612FA"/>
    <w:rsid w:val="00A61DFE"/>
    <w:rsid w:val="00A61F05"/>
    <w:rsid w:val="00A61F8B"/>
    <w:rsid w:val="00A62220"/>
    <w:rsid w:val="00A624B0"/>
    <w:rsid w:val="00A62835"/>
    <w:rsid w:val="00A628FF"/>
    <w:rsid w:val="00A629E6"/>
    <w:rsid w:val="00A6360D"/>
    <w:rsid w:val="00A64439"/>
    <w:rsid w:val="00A64A89"/>
    <w:rsid w:val="00A64AC1"/>
    <w:rsid w:val="00A64E74"/>
    <w:rsid w:val="00A6513D"/>
    <w:rsid w:val="00A65331"/>
    <w:rsid w:val="00A65DD5"/>
    <w:rsid w:val="00A660DF"/>
    <w:rsid w:val="00A66126"/>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2E23"/>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425"/>
    <w:rsid w:val="00A928B4"/>
    <w:rsid w:val="00A92BB3"/>
    <w:rsid w:val="00A92D9A"/>
    <w:rsid w:val="00A92E2F"/>
    <w:rsid w:val="00A92FC6"/>
    <w:rsid w:val="00A92FC9"/>
    <w:rsid w:val="00A93EB4"/>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662"/>
    <w:rsid w:val="00AA598D"/>
    <w:rsid w:val="00AA5B10"/>
    <w:rsid w:val="00AA5E31"/>
    <w:rsid w:val="00AA610D"/>
    <w:rsid w:val="00AA68DA"/>
    <w:rsid w:val="00AA6A43"/>
    <w:rsid w:val="00AA6B5F"/>
    <w:rsid w:val="00AA6C0A"/>
    <w:rsid w:val="00AA7047"/>
    <w:rsid w:val="00AB0FBF"/>
    <w:rsid w:val="00AB1123"/>
    <w:rsid w:val="00AB1511"/>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BB4"/>
    <w:rsid w:val="00AB6FED"/>
    <w:rsid w:val="00AB7618"/>
    <w:rsid w:val="00AB7E84"/>
    <w:rsid w:val="00AB7EDB"/>
    <w:rsid w:val="00AB7F8B"/>
    <w:rsid w:val="00AC0B0C"/>
    <w:rsid w:val="00AC11E4"/>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696"/>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6C13"/>
    <w:rsid w:val="00AF79C1"/>
    <w:rsid w:val="00B00629"/>
    <w:rsid w:val="00B00A78"/>
    <w:rsid w:val="00B01038"/>
    <w:rsid w:val="00B01CA4"/>
    <w:rsid w:val="00B01D14"/>
    <w:rsid w:val="00B01E8F"/>
    <w:rsid w:val="00B025B8"/>
    <w:rsid w:val="00B02EC1"/>
    <w:rsid w:val="00B034ED"/>
    <w:rsid w:val="00B03641"/>
    <w:rsid w:val="00B03724"/>
    <w:rsid w:val="00B03BBA"/>
    <w:rsid w:val="00B03D41"/>
    <w:rsid w:val="00B0464E"/>
    <w:rsid w:val="00B0487C"/>
    <w:rsid w:val="00B04A53"/>
    <w:rsid w:val="00B04F6B"/>
    <w:rsid w:val="00B062DC"/>
    <w:rsid w:val="00B06521"/>
    <w:rsid w:val="00B065E1"/>
    <w:rsid w:val="00B066DF"/>
    <w:rsid w:val="00B066EB"/>
    <w:rsid w:val="00B06C41"/>
    <w:rsid w:val="00B070AD"/>
    <w:rsid w:val="00B07652"/>
    <w:rsid w:val="00B07780"/>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C"/>
    <w:rsid w:val="00B45ACE"/>
    <w:rsid w:val="00B46885"/>
    <w:rsid w:val="00B4691E"/>
    <w:rsid w:val="00B46EAB"/>
    <w:rsid w:val="00B47226"/>
    <w:rsid w:val="00B47716"/>
    <w:rsid w:val="00B4785C"/>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904"/>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30"/>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589"/>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2B"/>
    <w:rsid w:val="00B9147F"/>
    <w:rsid w:val="00B91B6C"/>
    <w:rsid w:val="00B91CA0"/>
    <w:rsid w:val="00B92729"/>
    <w:rsid w:val="00B927A5"/>
    <w:rsid w:val="00B927ED"/>
    <w:rsid w:val="00B928DC"/>
    <w:rsid w:val="00B9304B"/>
    <w:rsid w:val="00B9356A"/>
    <w:rsid w:val="00B949C5"/>
    <w:rsid w:val="00B94FCE"/>
    <w:rsid w:val="00B9525A"/>
    <w:rsid w:val="00B955FE"/>
    <w:rsid w:val="00B95D05"/>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1D85"/>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5F0"/>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082"/>
    <w:rsid w:val="00C00C40"/>
    <w:rsid w:val="00C013C2"/>
    <w:rsid w:val="00C01D29"/>
    <w:rsid w:val="00C0286E"/>
    <w:rsid w:val="00C028C9"/>
    <w:rsid w:val="00C02A5A"/>
    <w:rsid w:val="00C02C50"/>
    <w:rsid w:val="00C02D62"/>
    <w:rsid w:val="00C03F20"/>
    <w:rsid w:val="00C04C82"/>
    <w:rsid w:val="00C05574"/>
    <w:rsid w:val="00C05AC4"/>
    <w:rsid w:val="00C05B58"/>
    <w:rsid w:val="00C05E18"/>
    <w:rsid w:val="00C062AA"/>
    <w:rsid w:val="00C0663C"/>
    <w:rsid w:val="00C07226"/>
    <w:rsid w:val="00C0786C"/>
    <w:rsid w:val="00C07A30"/>
    <w:rsid w:val="00C07A92"/>
    <w:rsid w:val="00C101C5"/>
    <w:rsid w:val="00C102D8"/>
    <w:rsid w:val="00C1103A"/>
    <w:rsid w:val="00C11AE5"/>
    <w:rsid w:val="00C11C39"/>
    <w:rsid w:val="00C11ED3"/>
    <w:rsid w:val="00C11FBD"/>
    <w:rsid w:val="00C1234B"/>
    <w:rsid w:val="00C12514"/>
    <w:rsid w:val="00C126B3"/>
    <w:rsid w:val="00C12945"/>
    <w:rsid w:val="00C1345D"/>
    <w:rsid w:val="00C1372E"/>
    <w:rsid w:val="00C138E4"/>
    <w:rsid w:val="00C13C8F"/>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215"/>
    <w:rsid w:val="00C922FE"/>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10"/>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3"/>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7D5"/>
    <w:rsid w:val="00D079C9"/>
    <w:rsid w:val="00D07C3D"/>
    <w:rsid w:val="00D07DC7"/>
    <w:rsid w:val="00D07DCA"/>
    <w:rsid w:val="00D07F45"/>
    <w:rsid w:val="00D100B6"/>
    <w:rsid w:val="00D10643"/>
    <w:rsid w:val="00D10FA8"/>
    <w:rsid w:val="00D11004"/>
    <w:rsid w:val="00D110B2"/>
    <w:rsid w:val="00D110DD"/>
    <w:rsid w:val="00D1134E"/>
    <w:rsid w:val="00D11377"/>
    <w:rsid w:val="00D11CC7"/>
    <w:rsid w:val="00D11F75"/>
    <w:rsid w:val="00D1252E"/>
    <w:rsid w:val="00D1278F"/>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2A45"/>
    <w:rsid w:val="00D3353A"/>
    <w:rsid w:val="00D34101"/>
    <w:rsid w:val="00D351FE"/>
    <w:rsid w:val="00D352F2"/>
    <w:rsid w:val="00D356E9"/>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2C26"/>
    <w:rsid w:val="00D43448"/>
    <w:rsid w:val="00D439BD"/>
    <w:rsid w:val="00D43A17"/>
    <w:rsid w:val="00D43FBA"/>
    <w:rsid w:val="00D4440D"/>
    <w:rsid w:val="00D44B0C"/>
    <w:rsid w:val="00D44D68"/>
    <w:rsid w:val="00D44F3E"/>
    <w:rsid w:val="00D452F2"/>
    <w:rsid w:val="00D45386"/>
    <w:rsid w:val="00D45543"/>
    <w:rsid w:val="00D455DE"/>
    <w:rsid w:val="00D4569F"/>
    <w:rsid w:val="00D457B9"/>
    <w:rsid w:val="00D45FDA"/>
    <w:rsid w:val="00D4645E"/>
    <w:rsid w:val="00D467FF"/>
    <w:rsid w:val="00D46AF9"/>
    <w:rsid w:val="00D46EAB"/>
    <w:rsid w:val="00D4755E"/>
    <w:rsid w:val="00D4772F"/>
    <w:rsid w:val="00D479ED"/>
    <w:rsid w:val="00D47AF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5D2"/>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3B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241"/>
    <w:rsid w:val="00DB627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38"/>
    <w:rsid w:val="00E029AB"/>
    <w:rsid w:val="00E02A39"/>
    <w:rsid w:val="00E02DA9"/>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1FB0"/>
    <w:rsid w:val="00E22921"/>
    <w:rsid w:val="00E22CC4"/>
    <w:rsid w:val="00E2327C"/>
    <w:rsid w:val="00E236CF"/>
    <w:rsid w:val="00E2373A"/>
    <w:rsid w:val="00E237FB"/>
    <w:rsid w:val="00E23A45"/>
    <w:rsid w:val="00E2435E"/>
    <w:rsid w:val="00E2468C"/>
    <w:rsid w:val="00E2498E"/>
    <w:rsid w:val="00E24BBA"/>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0E18"/>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88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4C0"/>
    <w:rsid w:val="00E40542"/>
    <w:rsid w:val="00E4071C"/>
    <w:rsid w:val="00E408A6"/>
    <w:rsid w:val="00E40A03"/>
    <w:rsid w:val="00E40BF5"/>
    <w:rsid w:val="00E40F57"/>
    <w:rsid w:val="00E414A1"/>
    <w:rsid w:val="00E41679"/>
    <w:rsid w:val="00E418FC"/>
    <w:rsid w:val="00E41922"/>
    <w:rsid w:val="00E427C9"/>
    <w:rsid w:val="00E42940"/>
    <w:rsid w:val="00E431A8"/>
    <w:rsid w:val="00E4330F"/>
    <w:rsid w:val="00E43585"/>
    <w:rsid w:val="00E437FE"/>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7AA6"/>
    <w:rsid w:val="00E47D48"/>
    <w:rsid w:val="00E50637"/>
    <w:rsid w:val="00E5065F"/>
    <w:rsid w:val="00E50E75"/>
    <w:rsid w:val="00E51233"/>
    <w:rsid w:val="00E5151D"/>
    <w:rsid w:val="00E516B4"/>
    <w:rsid w:val="00E517D2"/>
    <w:rsid w:val="00E51935"/>
    <w:rsid w:val="00E51DD3"/>
    <w:rsid w:val="00E52129"/>
    <w:rsid w:val="00E52675"/>
    <w:rsid w:val="00E53768"/>
    <w:rsid w:val="00E53F34"/>
    <w:rsid w:val="00E54256"/>
    <w:rsid w:val="00E54529"/>
    <w:rsid w:val="00E5483C"/>
    <w:rsid w:val="00E54983"/>
    <w:rsid w:val="00E54BCD"/>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5007"/>
    <w:rsid w:val="00E756D4"/>
    <w:rsid w:val="00E75726"/>
    <w:rsid w:val="00E75C68"/>
    <w:rsid w:val="00E75FD2"/>
    <w:rsid w:val="00E76133"/>
    <w:rsid w:val="00E76334"/>
    <w:rsid w:val="00E7667D"/>
    <w:rsid w:val="00E768DA"/>
    <w:rsid w:val="00E76AC4"/>
    <w:rsid w:val="00E76EC7"/>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EA"/>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8C3"/>
    <w:rsid w:val="00EB0DC9"/>
    <w:rsid w:val="00EB116E"/>
    <w:rsid w:val="00EB1329"/>
    <w:rsid w:val="00EB1939"/>
    <w:rsid w:val="00EB20E9"/>
    <w:rsid w:val="00EB22F3"/>
    <w:rsid w:val="00EB250A"/>
    <w:rsid w:val="00EB2E22"/>
    <w:rsid w:val="00EB2E3C"/>
    <w:rsid w:val="00EB326F"/>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86A"/>
    <w:rsid w:val="00EF5982"/>
    <w:rsid w:val="00EF5FA0"/>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DA0"/>
    <w:rsid w:val="00F22EFB"/>
    <w:rsid w:val="00F23B98"/>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075"/>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5F7"/>
    <w:rsid w:val="00F71D3F"/>
    <w:rsid w:val="00F72034"/>
    <w:rsid w:val="00F72189"/>
    <w:rsid w:val="00F7228C"/>
    <w:rsid w:val="00F7232A"/>
    <w:rsid w:val="00F723F0"/>
    <w:rsid w:val="00F727B0"/>
    <w:rsid w:val="00F72AF4"/>
    <w:rsid w:val="00F72BF2"/>
    <w:rsid w:val="00F72E1E"/>
    <w:rsid w:val="00F72F20"/>
    <w:rsid w:val="00F730F7"/>
    <w:rsid w:val="00F73937"/>
    <w:rsid w:val="00F73C02"/>
    <w:rsid w:val="00F73C18"/>
    <w:rsid w:val="00F74094"/>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927"/>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EAB"/>
    <w:rsid w:val="00FA4FC0"/>
    <w:rsid w:val="00FA5067"/>
    <w:rsid w:val="00FA5214"/>
    <w:rsid w:val="00FA53D5"/>
    <w:rsid w:val="00FA540B"/>
    <w:rsid w:val="00FA545A"/>
    <w:rsid w:val="00FA5A12"/>
    <w:rsid w:val="00FA5A4E"/>
    <w:rsid w:val="00FA6913"/>
    <w:rsid w:val="00FA6C39"/>
    <w:rsid w:val="00FA6CAE"/>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015"/>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C7EB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3B7"/>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BAE"/>
    <w:rsid w:val="00FE0E55"/>
    <w:rsid w:val="00FE1381"/>
    <w:rsid w:val="00FE22CE"/>
    <w:rsid w:val="00FE2705"/>
    <w:rsid w:val="00FE27AB"/>
    <w:rsid w:val="00FE34EC"/>
    <w:rsid w:val="00FE3B21"/>
    <w:rsid w:val="00FE3B9A"/>
    <w:rsid w:val="00FE3F1C"/>
    <w:rsid w:val="00FE447E"/>
    <w:rsid w:val="00FE4BBA"/>
    <w:rsid w:val="00FE4E42"/>
    <w:rsid w:val="00FE4E94"/>
    <w:rsid w:val="00FE5479"/>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23C"/>
    <w:rsid w:val="00FF6E35"/>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1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2">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3">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4">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5">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6">
    <w:name w:val="(文字) (文字)1"/>
    <w:semiHidden/>
    <w:qFormat/>
    <w:rPr>
      <w:rFonts w:eastAsia="MS Gothic" w:cs="Arial"/>
      <w:kern w:val="2"/>
      <w:sz w:val="21"/>
      <w:lang w:val="en-GB" w:eastAsia="en-US" w:bidi="ar-SA"/>
    </w:rPr>
  </w:style>
  <w:style w:type="character" w:customStyle="1" w:styleId="Char">
    <w:name w:val="批注主题 Char"/>
    <w:basedOn w:val="16"/>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表段落11,목록 단,Task Body"/>
    <w:basedOn w:val="a1"/>
    <w:link w:val="affa"/>
    <w:uiPriority w:val="99"/>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7">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出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8">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ListParagraphChar1">
    <w:name w:val="List Paragraph Char1"/>
    <w:aliases w:val="목록단락 Char"/>
    <w:link w:val="19"/>
    <w:uiPriority w:val="34"/>
    <w:qFormat/>
    <w:locked/>
    <w:rsid w:val="000D6AE6"/>
    <w:rPr>
      <w:rFonts w:ascii="Times New Roman" w:eastAsia="MS Gothic" w:hAnsi="Times New Roman"/>
      <w:sz w:val="24"/>
      <w:lang w:val="en-GB"/>
    </w:rPr>
  </w:style>
  <w:style w:type="paragraph" w:customStyle="1" w:styleId="19">
    <w:name w:val="リスト段落1"/>
    <w:basedOn w:val="a1"/>
    <w:link w:val="ListParagraphChar1"/>
    <w:uiPriority w:val="34"/>
    <w:qFormat/>
    <w:rsid w:val="000D6AE6"/>
    <w:pPr>
      <w:widowControl/>
      <w:ind w:left="720"/>
      <w:jc w:val="left"/>
    </w:pPr>
    <w:rPr>
      <w:rFonts w:ascii="Times New Roman" w:eastAsia="MS Gothic" w:hAnsi="Times New Roman"/>
      <w:kern w:val="0"/>
      <w:szCs w:val="20"/>
      <w:lang w:val="en-GB"/>
    </w:rPr>
  </w:style>
  <w:style w:type="paragraph" w:customStyle="1" w:styleId="DraftProposal">
    <w:name w:val="Draft Proposal"/>
    <w:basedOn w:val="ad"/>
    <w:next w:val="a1"/>
    <w:uiPriority w:val="99"/>
    <w:qFormat/>
    <w:rsid w:val="00621A40"/>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641428984">
      <w:bodyDiv w:val="1"/>
      <w:marLeft w:val="0"/>
      <w:marRight w:val="0"/>
      <w:marTop w:val="0"/>
      <w:marBottom w:val="0"/>
      <w:divBdr>
        <w:top w:val="none" w:sz="0" w:space="0" w:color="auto"/>
        <w:left w:val="none" w:sz="0" w:space="0" w:color="auto"/>
        <w:bottom w:val="none" w:sz="0" w:space="0" w:color="auto"/>
        <w:right w:val="none" w:sz="0" w:space="0" w:color="auto"/>
      </w:divBdr>
      <w:divsChild>
        <w:div w:id="142478095">
          <w:marLeft w:val="0"/>
          <w:marRight w:val="0"/>
          <w:marTop w:val="0"/>
          <w:marBottom w:val="0"/>
          <w:divBdr>
            <w:top w:val="none" w:sz="0" w:space="0" w:color="auto"/>
            <w:left w:val="none" w:sz="0" w:space="0" w:color="auto"/>
            <w:bottom w:val="none" w:sz="0" w:space="0" w:color="auto"/>
            <w:right w:val="none" w:sz="0" w:space="0" w:color="auto"/>
          </w:divBdr>
          <w:divsChild>
            <w:div w:id="61874031">
              <w:marLeft w:val="0"/>
              <w:marRight w:val="0"/>
              <w:marTop w:val="0"/>
              <w:marBottom w:val="0"/>
              <w:divBdr>
                <w:top w:val="none" w:sz="0" w:space="0" w:color="auto"/>
                <w:left w:val="none" w:sz="0" w:space="0" w:color="auto"/>
                <w:bottom w:val="none" w:sz="0" w:space="0" w:color="auto"/>
                <w:right w:val="none" w:sz="0" w:space="0" w:color="auto"/>
              </w:divBdr>
              <w:divsChild>
                <w:div w:id="1822765630">
                  <w:marLeft w:val="0"/>
                  <w:marRight w:val="0"/>
                  <w:marTop w:val="0"/>
                  <w:marBottom w:val="600"/>
                  <w:divBdr>
                    <w:top w:val="none" w:sz="0" w:space="0" w:color="auto"/>
                    <w:left w:val="none" w:sz="0" w:space="0" w:color="auto"/>
                    <w:bottom w:val="none" w:sz="0" w:space="0" w:color="auto"/>
                    <w:right w:val="none" w:sz="0" w:space="0" w:color="auto"/>
                  </w:divBdr>
                  <w:divsChild>
                    <w:div w:id="1763991405">
                      <w:marLeft w:val="0"/>
                      <w:marRight w:val="0"/>
                      <w:marTop w:val="0"/>
                      <w:marBottom w:val="0"/>
                      <w:divBdr>
                        <w:top w:val="none" w:sz="0" w:space="0" w:color="auto"/>
                        <w:left w:val="none" w:sz="0" w:space="0" w:color="auto"/>
                        <w:bottom w:val="none" w:sz="0" w:space="0" w:color="auto"/>
                        <w:right w:val="none" w:sz="0" w:space="0" w:color="auto"/>
                      </w:divBdr>
                      <w:divsChild>
                        <w:div w:id="113863417">
                          <w:marLeft w:val="0"/>
                          <w:marRight w:val="0"/>
                          <w:marTop w:val="0"/>
                          <w:marBottom w:val="0"/>
                          <w:divBdr>
                            <w:top w:val="none" w:sz="0" w:space="0" w:color="auto"/>
                            <w:left w:val="none" w:sz="0" w:space="0" w:color="auto"/>
                            <w:bottom w:val="none" w:sz="0" w:space="0" w:color="auto"/>
                            <w:right w:val="none" w:sz="0" w:space="0" w:color="auto"/>
                          </w:divBdr>
                          <w:divsChild>
                            <w:div w:id="343358812">
                              <w:marLeft w:val="0"/>
                              <w:marRight w:val="0"/>
                              <w:marTop w:val="0"/>
                              <w:marBottom w:val="0"/>
                              <w:divBdr>
                                <w:top w:val="none" w:sz="0" w:space="0" w:color="auto"/>
                                <w:left w:val="none" w:sz="0" w:space="0" w:color="auto"/>
                                <w:bottom w:val="none" w:sz="0" w:space="0" w:color="auto"/>
                                <w:right w:val="none" w:sz="0" w:space="0" w:color="auto"/>
                              </w:divBdr>
                              <w:divsChild>
                                <w:div w:id="1413621897">
                                  <w:marLeft w:val="0"/>
                                  <w:marRight w:val="0"/>
                                  <w:marTop w:val="0"/>
                                  <w:marBottom w:val="0"/>
                                  <w:divBdr>
                                    <w:top w:val="none" w:sz="0" w:space="0" w:color="auto"/>
                                    <w:left w:val="none" w:sz="0" w:space="0" w:color="auto"/>
                                    <w:bottom w:val="none" w:sz="0" w:space="0" w:color="auto"/>
                                    <w:right w:val="none" w:sz="0" w:space="0" w:color="auto"/>
                                  </w:divBdr>
                                  <w:divsChild>
                                    <w:div w:id="36819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177022">
                      <w:marLeft w:val="0"/>
                      <w:marRight w:val="0"/>
                      <w:marTop w:val="210"/>
                      <w:marBottom w:val="0"/>
                      <w:divBdr>
                        <w:top w:val="none" w:sz="0" w:space="0" w:color="auto"/>
                        <w:left w:val="none" w:sz="0" w:space="0" w:color="auto"/>
                        <w:bottom w:val="none" w:sz="0" w:space="0" w:color="auto"/>
                        <w:right w:val="none" w:sz="0" w:space="0" w:color="auto"/>
                      </w:divBdr>
                      <w:divsChild>
                        <w:div w:id="1877816904">
                          <w:marLeft w:val="0"/>
                          <w:marRight w:val="0"/>
                          <w:marTop w:val="0"/>
                          <w:marBottom w:val="0"/>
                          <w:divBdr>
                            <w:top w:val="none" w:sz="0" w:space="0" w:color="auto"/>
                            <w:left w:val="none" w:sz="0" w:space="0" w:color="auto"/>
                            <w:bottom w:val="none" w:sz="0" w:space="0" w:color="auto"/>
                            <w:right w:val="none" w:sz="0" w:space="0" w:color="auto"/>
                          </w:divBdr>
                        </w:div>
                        <w:div w:id="206995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848280">
      <w:bodyDiv w:val="1"/>
      <w:marLeft w:val="0"/>
      <w:marRight w:val="0"/>
      <w:marTop w:val="0"/>
      <w:marBottom w:val="0"/>
      <w:divBdr>
        <w:top w:val="none" w:sz="0" w:space="0" w:color="auto"/>
        <w:left w:val="none" w:sz="0" w:space="0" w:color="auto"/>
        <w:bottom w:val="none" w:sz="0" w:space="0" w:color="auto"/>
        <w:right w:val="none" w:sz="0" w:space="0" w:color="auto"/>
      </w:divBdr>
      <w:divsChild>
        <w:div w:id="1065837695">
          <w:marLeft w:val="0"/>
          <w:marRight w:val="0"/>
          <w:marTop w:val="0"/>
          <w:marBottom w:val="0"/>
          <w:divBdr>
            <w:top w:val="none" w:sz="0" w:space="0" w:color="auto"/>
            <w:left w:val="none" w:sz="0" w:space="0" w:color="auto"/>
            <w:bottom w:val="none" w:sz="0" w:space="0" w:color="auto"/>
            <w:right w:val="none" w:sz="0" w:space="0" w:color="auto"/>
          </w:divBdr>
          <w:divsChild>
            <w:div w:id="2045052716">
              <w:marLeft w:val="0"/>
              <w:marRight w:val="0"/>
              <w:marTop w:val="0"/>
              <w:marBottom w:val="0"/>
              <w:divBdr>
                <w:top w:val="none" w:sz="0" w:space="0" w:color="auto"/>
                <w:left w:val="none" w:sz="0" w:space="0" w:color="auto"/>
                <w:bottom w:val="none" w:sz="0" w:space="0" w:color="auto"/>
                <w:right w:val="none" w:sz="0" w:space="0" w:color="auto"/>
              </w:divBdr>
              <w:divsChild>
                <w:div w:id="452331170">
                  <w:marLeft w:val="0"/>
                  <w:marRight w:val="0"/>
                  <w:marTop w:val="0"/>
                  <w:marBottom w:val="600"/>
                  <w:divBdr>
                    <w:top w:val="none" w:sz="0" w:space="0" w:color="auto"/>
                    <w:left w:val="none" w:sz="0" w:space="0" w:color="auto"/>
                    <w:bottom w:val="none" w:sz="0" w:space="0" w:color="auto"/>
                    <w:right w:val="none" w:sz="0" w:space="0" w:color="auto"/>
                  </w:divBdr>
                  <w:divsChild>
                    <w:div w:id="1965771802">
                      <w:marLeft w:val="0"/>
                      <w:marRight w:val="0"/>
                      <w:marTop w:val="0"/>
                      <w:marBottom w:val="0"/>
                      <w:divBdr>
                        <w:top w:val="none" w:sz="0" w:space="0" w:color="auto"/>
                        <w:left w:val="none" w:sz="0" w:space="0" w:color="auto"/>
                        <w:bottom w:val="none" w:sz="0" w:space="0" w:color="auto"/>
                        <w:right w:val="none" w:sz="0" w:space="0" w:color="auto"/>
                      </w:divBdr>
                      <w:divsChild>
                        <w:div w:id="333533806">
                          <w:marLeft w:val="0"/>
                          <w:marRight w:val="0"/>
                          <w:marTop w:val="0"/>
                          <w:marBottom w:val="0"/>
                          <w:divBdr>
                            <w:top w:val="none" w:sz="0" w:space="0" w:color="auto"/>
                            <w:left w:val="none" w:sz="0" w:space="0" w:color="auto"/>
                            <w:bottom w:val="none" w:sz="0" w:space="0" w:color="auto"/>
                            <w:right w:val="none" w:sz="0" w:space="0" w:color="auto"/>
                          </w:divBdr>
                          <w:divsChild>
                            <w:div w:id="1042361818">
                              <w:marLeft w:val="0"/>
                              <w:marRight w:val="0"/>
                              <w:marTop w:val="0"/>
                              <w:marBottom w:val="0"/>
                              <w:divBdr>
                                <w:top w:val="none" w:sz="0" w:space="0" w:color="auto"/>
                                <w:left w:val="none" w:sz="0" w:space="0" w:color="auto"/>
                                <w:bottom w:val="none" w:sz="0" w:space="0" w:color="auto"/>
                                <w:right w:val="none" w:sz="0" w:space="0" w:color="auto"/>
                              </w:divBdr>
                              <w:divsChild>
                                <w:div w:id="627009635">
                                  <w:marLeft w:val="0"/>
                                  <w:marRight w:val="0"/>
                                  <w:marTop w:val="0"/>
                                  <w:marBottom w:val="0"/>
                                  <w:divBdr>
                                    <w:top w:val="none" w:sz="0" w:space="0" w:color="auto"/>
                                    <w:left w:val="none" w:sz="0" w:space="0" w:color="auto"/>
                                    <w:bottom w:val="none" w:sz="0" w:space="0" w:color="auto"/>
                                    <w:right w:val="none" w:sz="0" w:space="0" w:color="auto"/>
                                  </w:divBdr>
                                  <w:divsChild>
                                    <w:div w:id="66027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89030">
                      <w:marLeft w:val="0"/>
                      <w:marRight w:val="0"/>
                      <w:marTop w:val="210"/>
                      <w:marBottom w:val="0"/>
                      <w:divBdr>
                        <w:top w:val="none" w:sz="0" w:space="0" w:color="auto"/>
                        <w:left w:val="none" w:sz="0" w:space="0" w:color="auto"/>
                        <w:bottom w:val="none" w:sz="0" w:space="0" w:color="auto"/>
                        <w:right w:val="none" w:sz="0" w:space="0" w:color="auto"/>
                      </w:divBdr>
                      <w:divsChild>
                        <w:div w:id="345057189">
                          <w:marLeft w:val="0"/>
                          <w:marRight w:val="0"/>
                          <w:marTop w:val="0"/>
                          <w:marBottom w:val="0"/>
                          <w:divBdr>
                            <w:top w:val="none" w:sz="0" w:space="0" w:color="auto"/>
                            <w:left w:val="none" w:sz="0" w:space="0" w:color="auto"/>
                            <w:bottom w:val="none" w:sz="0" w:space="0" w:color="auto"/>
                            <w:right w:val="none" w:sz="0" w:space="0" w:color="auto"/>
                          </w:divBdr>
                        </w:div>
                        <w:div w:id="183016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728243">
      <w:bodyDiv w:val="1"/>
      <w:marLeft w:val="0"/>
      <w:marRight w:val="0"/>
      <w:marTop w:val="0"/>
      <w:marBottom w:val="0"/>
      <w:divBdr>
        <w:top w:val="none" w:sz="0" w:space="0" w:color="auto"/>
        <w:left w:val="none" w:sz="0" w:space="0" w:color="auto"/>
        <w:bottom w:val="none" w:sz="0" w:space="0" w:color="auto"/>
        <w:right w:val="none" w:sz="0" w:space="0" w:color="auto"/>
      </w:divBdr>
      <w:divsChild>
        <w:div w:id="1008099271">
          <w:marLeft w:val="0"/>
          <w:marRight w:val="0"/>
          <w:marTop w:val="0"/>
          <w:marBottom w:val="0"/>
          <w:divBdr>
            <w:top w:val="none" w:sz="0" w:space="0" w:color="auto"/>
            <w:left w:val="none" w:sz="0" w:space="0" w:color="auto"/>
            <w:bottom w:val="none" w:sz="0" w:space="0" w:color="auto"/>
            <w:right w:val="none" w:sz="0" w:space="0" w:color="auto"/>
          </w:divBdr>
          <w:divsChild>
            <w:div w:id="396516603">
              <w:marLeft w:val="0"/>
              <w:marRight w:val="0"/>
              <w:marTop w:val="0"/>
              <w:marBottom w:val="0"/>
              <w:divBdr>
                <w:top w:val="none" w:sz="0" w:space="0" w:color="auto"/>
                <w:left w:val="none" w:sz="0" w:space="0" w:color="auto"/>
                <w:bottom w:val="none" w:sz="0" w:space="0" w:color="auto"/>
                <w:right w:val="none" w:sz="0" w:space="0" w:color="auto"/>
              </w:divBdr>
              <w:divsChild>
                <w:div w:id="797605237">
                  <w:marLeft w:val="0"/>
                  <w:marRight w:val="0"/>
                  <w:marTop w:val="0"/>
                  <w:marBottom w:val="600"/>
                  <w:divBdr>
                    <w:top w:val="none" w:sz="0" w:space="0" w:color="auto"/>
                    <w:left w:val="none" w:sz="0" w:space="0" w:color="auto"/>
                    <w:bottom w:val="none" w:sz="0" w:space="0" w:color="auto"/>
                    <w:right w:val="none" w:sz="0" w:space="0" w:color="auto"/>
                  </w:divBdr>
                  <w:divsChild>
                    <w:div w:id="53163552">
                      <w:marLeft w:val="0"/>
                      <w:marRight w:val="0"/>
                      <w:marTop w:val="0"/>
                      <w:marBottom w:val="0"/>
                      <w:divBdr>
                        <w:top w:val="none" w:sz="0" w:space="0" w:color="auto"/>
                        <w:left w:val="none" w:sz="0" w:space="0" w:color="auto"/>
                        <w:bottom w:val="none" w:sz="0" w:space="0" w:color="auto"/>
                        <w:right w:val="none" w:sz="0" w:space="0" w:color="auto"/>
                      </w:divBdr>
                      <w:divsChild>
                        <w:div w:id="1023827568">
                          <w:marLeft w:val="0"/>
                          <w:marRight w:val="0"/>
                          <w:marTop w:val="0"/>
                          <w:marBottom w:val="0"/>
                          <w:divBdr>
                            <w:top w:val="none" w:sz="0" w:space="0" w:color="auto"/>
                            <w:left w:val="none" w:sz="0" w:space="0" w:color="auto"/>
                            <w:bottom w:val="none" w:sz="0" w:space="0" w:color="auto"/>
                            <w:right w:val="none" w:sz="0" w:space="0" w:color="auto"/>
                          </w:divBdr>
                          <w:divsChild>
                            <w:div w:id="924848314">
                              <w:marLeft w:val="0"/>
                              <w:marRight w:val="0"/>
                              <w:marTop w:val="0"/>
                              <w:marBottom w:val="0"/>
                              <w:divBdr>
                                <w:top w:val="none" w:sz="0" w:space="0" w:color="auto"/>
                                <w:left w:val="none" w:sz="0" w:space="0" w:color="auto"/>
                                <w:bottom w:val="none" w:sz="0" w:space="0" w:color="auto"/>
                                <w:right w:val="none" w:sz="0" w:space="0" w:color="auto"/>
                              </w:divBdr>
                              <w:divsChild>
                                <w:div w:id="2081783618">
                                  <w:marLeft w:val="0"/>
                                  <w:marRight w:val="0"/>
                                  <w:marTop w:val="0"/>
                                  <w:marBottom w:val="0"/>
                                  <w:divBdr>
                                    <w:top w:val="none" w:sz="0" w:space="0" w:color="auto"/>
                                    <w:left w:val="none" w:sz="0" w:space="0" w:color="auto"/>
                                    <w:bottom w:val="none" w:sz="0" w:space="0" w:color="auto"/>
                                    <w:right w:val="none" w:sz="0" w:space="0" w:color="auto"/>
                                  </w:divBdr>
                                  <w:divsChild>
                                    <w:div w:id="76141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99704">
                      <w:marLeft w:val="0"/>
                      <w:marRight w:val="0"/>
                      <w:marTop w:val="210"/>
                      <w:marBottom w:val="0"/>
                      <w:divBdr>
                        <w:top w:val="none" w:sz="0" w:space="0" w:color="auto"/>
                        <w:left w:val="none" w:sz="0" w:space="0" w:color="auto"/>
                        <w:bottom w:val="none" w:sz="0" w:space="0" w:color="auto"/>
                        <w:right w:val="none" w:sz="0" w:space="0" w:color="auto"/>
                      </w:divBdr>
                      <w:divsChild>
                        <w:div w:id="98911527">
                          <w:marLeft w:val="0"/>
                          <w:marRight w:val="0"/>
                          <w:marTop w:val="0"/>
                          <w:marBottom w:val="0"/>
                          <w:divBdr>
                            <w:top w:val="none" w:sz="0" w:space="0" w:color="auto"/>
                            <w:left w:val="none" w:sz="0" w:space="0" w:color="auto"/>
                            <w:bottom w:val="none" w:sz="0" w:space="0" w:color="auto"/>
                            <w:right w:val="none" w:sz="0" w:space="0" w:color="auto"/>
                          </w:divBdr>
                        </w:div>
                        <w:div w:id="203241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408B98-9E95-4C47-93BA-AFBE15F41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1013</Words>
  <Characters>5777</Characters>
  <Application>Microsoft Office Word</Application>
  <DocSecurity>0</DocSecurity>
  <Lines>48</Lines>
  <Paragraphs>13</Paragraphs>
  <ScaleCrop>false</ScaleCrop>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X13</dc:creator>
  <cp:lastModifiedBy>X13</cp:lastModifiedBy>
  <cp:revision>5</cp:revision>
  <dcterms:created xsi:type="dcterms:W3CDTF">2024-06-07T07:10:00Z</dcterms:created>
  <dcterms:modified xsi:type="dcterms:W3CDTF">2024-06-10T17:22:00Z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