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outlineLvl w:val="0"/>
        <w:rPr>
          <w:rFonts w:hint="default" w:eastAsia="宋体"/>
          <w:b/>
          <w:sz w:val="24"/>
          <w:lang w:val="en-US" w:eastAsia="zh-CN"/>
        </w:rPr>
      </w:pPr>
      <w:bookmarkStart w:id="0" w:name="_Hlt450066087"/>
      <w:bookmarkEnd w:id="0"/>
      <w:bookmarkStart w:id="1" w:name="_Hlt450051172"/>
      <w:bookmarkEnd w:id="1"/>
      <w:bookmarkStart w:id="2" w:name="_Hlt450066085"/>
      <w:bookmarkEnd w:id="2"/>
      <w:bookmarkStart w:id="3" w:name="_Hlt448930105"/>
      <w:bookmarkEnd w:id="3"/>
      <w:bookmarkStart w:id="4" w:name="_Hlt449016246"/>
      <w:bookmarkEnd w:id="4"/>
      <w:bookmarkStart w:id="5" w:name="_Hlt450039480"/>
      <w:bookmarkEnd w:id="5"/>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408784</w:t>
      </w:r>
    </w:p>
    <w:p>
      <w:pPr>
        <w:pStyle w:val="124"/>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pStyle w:val="124"/>
        <w:keepNext/>
        <w:adjustRightInd w:val="0"/>
        <w:outlineLvl w:val="0"/>
        <w:rPr>
          <w:rFonts w:hint="eastAsia" w:cs="Arial"/>
          <w:b/>
          <w:sz w:val="24"/>
          <w:szCs w:val="24"/>
          <w:lang w:eastAsia="zh-TW"/>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ind w:firstLine="280" w:firstLineChars="100"/>
              <w:rPr>
                <w:rFonts w:hint="default" w:eastAsiaTheme="minorEastAsia"/>
                <w:lang w:val="en-US" w:eastAsia="zh-CN"/>
              </w:rPr>
            </w:pPr>
            <w:r>
              <w:rPr>
                <w:rFonts w:hint="eastAsia"/>
                <w:b/>
                <w:sz w:val="28"/>
                <w:lang w:val="en-US" w:eastAsia="zh-CN"/>
              </w:rPr>
              <w:t>2313</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val="en-US" w:eastAsia="zh-CN"/>
              </w:rPr>
              <w:t>5</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(NR_RF_FR1_enh-Core) CR for TS 38.101-1: Add ACLR requirement for PC2 intra-band non-contiguous UL CA</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lang w:eastAsia="zh-TW"/>
              </w:rPr>
            </w:pPr>
            <w:bookmarkStart w:id="6" w:name="OLE_LINK6"/>
            <w:r>
              <w:rPr>
                <w:rFonts w:hint="eastAsia"/>
                <w:lang w:val="en-US" w:eastAsia="zh-CN"/>
              </w:rPr>
              <w:t>ZTE Corporation</w:t>
            </w:r>
            <w:bookmarkEnd w:id="6"/>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rFonts w:hint="eastAsia"/>
                <w:color w:val="0D0D0D" w:themeColor="text1" w:themeTint="F2"/>
                <w14:textFill>
                  <w14:solidFill>
                    <w14:schemeClr w14:val="tx1">
                      <w14:lumMod w14:val="95000"/>
                      <w14:lumOff w14:val="5000"/>
                    </w14:schemeClr>
                  </w14:solidFill>
                </w14:textFill>
              </w:rPr>
              <w:t>NR_RF_FR1_enh-Core</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2024-0</w:t>
            </w:r>
            <w:r>
              <w:rPr>
                <w:rFonts w:hint="eastAsia"/>
                <w:lang w:val="en-US" w:eastAsia="zh-CN"/>
              </w:rPr>
              <w:t>5</w:t>
            </w:r>
            <w:r>
              <w:rPr>
                <w:rFonts w:hint="eastAsia"/>
                <w:lang w:eastAsia="zh-TW"/>
              </w:rPr>
              <w:t>-</w:t>
            </w:r>
            <w:r>
              <w:rPr>
                <w:rFonts w:hint="eastAsia"/>
                <w:lang w:val="en-US" w:eastAsia="zh-CN"/>
              </w:rPr>
              <w:t>10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eastAsia" w:eastAsiaTheme="minorEastAsia"/>
                <w:b/>
                <w:lang w:eastAsia="zh-CN"/>
              </w:rPr>
            </w:pPr>
            <w:r>
              <w:rPr>
                <w:rFonts w:hint="eastAsia"/>
                <w:b/>
                <w:lang w:val="en-US" w:eastAsia="zh-CN"/>
              </w:rPr>
              <w:t>A</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eastAsia="zh-TW"/>
              </w:rPr>
              <w:t>8</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7"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lang w:eastAsia="zh-TW"/>
              </w:rPr>
            </w:pPr>
            <w:r>
              <w:t>PC2 intra-band non-contiguous UL CA</w:t>
            </w:r>
            <w:r>
              <w:rPr>
                <w:rFonts w:hint="eastAsia"/>
                <w:lang w:val="en-US" w:eastAsia="zh-CN"/>
              </w:rPr>
              <w:t xml:space="preserve"> was introduced in Rel-17. In current specification, there are only general requirements for intra-band non-contiguous CA ACLR. However, ACLR requirement for PC2 is different from PC3, so the seperate requirement table for PC2 intra-band contiguous CA ACLR is needed.</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lang w:val="en-US" w:eastAsia="zh-TW"/>
              </w:rPr>
            </w:pPr>
            <w:r>
              <w:rPr>
                <w:rFonts w:hint="eastAsia"/>
                <w:lang w:val="en-US" w:eastAsia="zh-CN"/>
              </w:rPr>
              <w:t>Add a separate ACLR requirement table for PC2 intra-band non-contiguous UL CA.</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eastAsia" w:eastAsiaTheme="minorEastAsia"/>
                <w:lang w:val="en-US" w:eastAsia="zh-CN"/>
              </w:rPr>
            </w:pPr>
            <w:r>
              <w:rPr>
                <w:rFonts w:hint="eastAsia"/>
                <w:lang w:val="en-US" w:eastAsia="zh-CN"/>
              </w:rPr>
              <w:t>The feature to support PC2 intra-band non-contiguous UL CA is not completed.</w:t>
            </w:r>
          </w:p>
        </w:tc>
      </w:tr>
      <w:bookmarkEnd w:id="7"/>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lang w:eastAsia="zh-TW"/>
              </w:rPr>
            </w:pPr>
            <w:r>
              <w:t>6.5A.2.4.1.2</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color w:val="FF0000"/>
          <w:szCs w:val="32"/>
          <w:lang w:eastAsia="zh-TW"/>
        </w:rPr>
      </w:pPr>
      <w:r>
        <w:rPr>
          <w:rFonts w:eastAsia="??"/>
          <w:color w:val="FF0000"/>
          <w:szCs w:val="32"/>
        </w:rPr>
        <w:t>&lt;&lt; Start of changes &gt;&gt;</w:t>
      </w:r>
    </w:p>
    <w:p>
      <w:pPr>
        <w:pStyle w:val="9"/>
      </w:pPr>
      <w:bookmarkStart w:id="8" w:name="_Toc29802938"/>
      <w:bookmarkStart w:id="9" w:name="_Toc36107680"/>
      <w:bookmarkStart w:id="10" w:name="_Toc29801889"/>
      <w:bookmarkStart w:id="11" w:name="_Toc21344402"/>
      <w:bookmarkStart w:id="12" w:name="_Toc37251454"/>
      <w:bookmarkStart w:id="13" w:name="_Toc29802313"/>
      <w:bookmarkStart w:id="14" w:name="_Toc29801890"/>
      <w:bookmarkStart w:id="15" w:name="_Toc36107681"/>
      <w:bookmarkStart w:id="16" w:name="_Toc29802939"/>
      <w:bookmarkStart w:id="17" w:name="_Toc37251455"/>
      <w:bookmarkStart w:id="18" w:name="_Toc29802314"/>
      <w:bookmarkStart w:id="19" w:name="_Toc21344403"/>
      <w:r>
        <w:t>6.5A.2.4.1.1</w:t>
      </w:r>
      <w:r>
        <w:tab/>
      </w:r>
      <w:r>
        <w:t>NR ACLR for intra-band contiguous CA</w:t>
      </w:r>
      <w:bookmarkEnd w:id="8"/>
      <w:bookmarkEnd w:id="9"/>
      <w:bookmarkEnd w:id="10"/>
      <w:bookmarkEnd w:id="11"/>
      <w:bookmarkEnd w:id="12"/>
      <w:bookmarkEnd w:id="13"/>
    </w:p>
    <w:p>
      <w:pPr>
        <w:rPr>
          <w:rFonts w:cs="v5.0.0"/>
        </w:rPr>
      </w:pPr>
      <w:r>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Pr>
          <w:rFonts w:cs="v5.0.0"/>
        </w:rPr>
        <w:t xml:space="preserve">Table 6.5A.2.4.1.1-1 </w:t>
      </w:r>
      <w:ins w:id="0" w:author="ZTE, Li Lu" w:date="2024-05-23T16:15:02Z">
        <w:r>
          <w:rPr>
            <w:rFonts w:hint="eastAsia" w:eastAsia="宋体" w:cs="v5.0.0"/>
            <w:lang w:val="en-US" w:eastAsia="zh-CN"/>
          </w:rPr>
          <w:t>fo</w:t>
        </w:r>
      </w:ins>
      <w:ins w:id="1" w:author="ZTE, Li Lu" w:date="2024-05-23T16:15:03Z">
        <w:r>
          <w:rPr>
            <w:rFonts w:hint="eastAsia" w:eastAsia="宋体" w:cs="v5.0.0"/>
            <w:lang w:val="en-US" w:eastAsia="zh-CN"/>
          </w:rPr>
          <w:t>r p</w:t>
        </w:r>
      </w:ins>
      <w:ins w:id="2" w:author="ZTE, Li Lu" w:date="2024-05-23T16:15:04Z">
        <w:r>
          <w:rPr>
            <w:rFonts w:hint="eastAsia" w:eastAsia="宋体" w:cs="v5.0.0"/>
            <w:lang w:val="en-US" w:eastAsia="zh-CN"/>
          </w:rPr>
          <w:t>ower</w:t>
        </w:r>
      </w:ins>
      <w:ins w:id="3" w:author="ZTE, Li Lu" w:date="2024-05-23T16:15:05Z">
        <w:r>
          <w:rPr>
            <w:rFonts w:hint="eastAsia" w:eastAsia="宋体" w:cs="v5.0.0"/>
            <w:lang w:val="en-US" w:eastAsia="zh-CN"/>
          </w:rPr>
          <w:t xml:space="preserve"> cla</w:t>
        </w:r>
      </w:ins>
      <w:ins w:id="4" w:author="ZTE, Li Lu" w:date="2024-05-23T16:15:06Z">
        <w:r>
          <w:rPr>
            <w:rFonts w:hint="eastAsia" w:eastAsia="宋体" w:cs="v5.0.0"/>
            <w:lang w:val="en-US" w:eastAsia="zh-CN"/>
          </w:rPr>
          <w:t>ss</w:t>
        </w:r>
      </w:ins>
      <w:ins w:id="5" w:author="ZTE, Li Lu" w:date="2024-05-23T16:15:07Z">
        <w:r>
          <w:rPr>
            <w:rFonts w:hint="eastAsia" w:eastAsia="宋体" w:cs="v5.0.0"/>
            <w:lang w:val="en-US" w:eastAsia="zh-CN"/>
          </w:rPr>
          <w:t xml:space="preserve"> 3 </w:t>
        </w:r>
      </w:ins>
      <w:r>
        <w:rPr>
          <w:rFonts w:cs="v5.0.0"/>
        </w:rPr>
        <w:t>and 6.5A.2.4.1.1-2</w:t>
      </w:r>
      <w:ins w:id="6" w:author="ZTE, Li Lu" w:date="2024-05-23T16:15:11Z">
        <w:r>
          <w:rPr>
            <w:rFonts w:hint="eastAsia" w:eastAsia="宋体" w:cs="v5.0.0"/>
            <w:lang w:val="en-US" w:eastAsia="zh-CN"/>
          </w:rPr>
          <w:t xml:space="preserve"> fo</w:t>
        </w:r>
      </w:ins>
      <w:ins w:id="7" w:author="ZTE, Li Lu" w:date="2024-05-23T16:15:12Z">
        <w:r>
          <w:rPr>
            <w:rFonts w:hint="eastAsia" w:eastAsia="宋体" w:cs="v5.0.0"/>
            <w:lang w:val="en-US" w:eastAsia="zh-CN"/>
          </w:rPr>
          <w:t>r p</w:t>
        </w:r>
      </w:ins>
      <w:ins w:id="8" w:author="ZTE, Li Lu" w:date="2024-05-23T16:15:13Z">
        <w:r>
          <w:rPr>
            <w:rFonts w:hint="eastAsia" w:eastAsia="宋体" w:cs="v5.0.0"/>
            <w:lang w:val="en-US" w:eastAsia="zh-CN"/>
          </w:rPr>
          <w:t xml:space="preserve">ower </w:t>
        </w:r>
      </w:ins>
      <w:ins w:id="9" w:author="ZTE, Li Lu" w:date="2024-05-23T16:15:14Z">
        <w:r>
          <w:rPr>
            <w:rFonts w:hint="eastAsia" w:eastAsia="宋体" w:cs="v5.0.0"/>
            <w:lang w:val="en-US" w:eastAsia="zh-CN"/>
          </w:rPr>
          <w:t xml:space="preserve">class </w:t>
        </w:r>
      </w:ins>
      <w:ins w:id="10" w:author="ZTE, Li Lu" w:date="2024-05-23T16:15:18Z">
        <w:r>
          <w:rPr>
            <w:rFonts w:hint="eastAsia" w:eastAsia="宋体" w:cs="v5.0.0"/>
            <w:lang w:val="en-US" w:eastAsia="zh-CN"/>
          </w:rPr>
          <w:t>2</w:t>
        </w:r>
      </w:ins>
      <w:r>
        <w:t xml:space="preserve">. </w:t>
      </w:r>
      <w:r>
        <w:rPr>
          <w:rFonts w:cs="v5.0.0"/>
        </w:rPr>
        <w:t xml:space="preserve">If the measured adjacent channel power is greater than –50dBm then the </w:t>
      </w:r>
      <w:r>
        <w:t>NR</w:t>
      </w:r>
      <w:r>
        <w:rPr>
          <w:vertAlign w:val="subscript"/>
        </w:rPr>
        <w:t>ACLR</w:t>
      </w:r>
      <w:r>
        <w:rPr>
          <w:rFonts w:cs="v5.0.0"/>
        </w:rPr>
        <w:t xml:space="preserve"> shall be higher than the value specified in Table 6.5A.2.4.1.1-1 </w:t>
      </w:r>
      <w:ins w:id="11" w:author="ZTE, Li Lu" w:date="2024-05-23T16:15:38Z">
        <w:r>
          <w:rPr>
            <w:rFonts w:hint="eastAsia" w:eastAsia="宋体" w:cs="v5.0.0"/>
            <w:lang w:val="en-US" w:eastAsia="zh-CN"/>
          </w:rPr>
          <w:t xml:space="preserve">for power class 3 </w:t>
        </w:r>
      </w:ins>
      <w:r>
        <w:rPr>
          <w:rFonts w:cs="v5.0.0"/>
        </w:rPr>
        <w:t>and 6.5A.2.4.1.1-2</w:t>
      </w:r>
      <w:ins w:id="12" w:author="ZTE, Li Lu" w:date="2024-05-23T16:15:54Z">
        <w:r>
          <w:rPr>
            <w:rFonts w:cs="v5.0.0"/>
          </w:rPr>
          <w:t xml:space="preserve"> </w:t>
        </w:r>
      </w:ins>
      <w:ins w:id="13" w:author="ZTE, Li Lu" w:date="2024-05-23T16:15:54Z">
        <w:r>
          <w:rPr>
            <w:rFonts w:hint="eastAsia" w:eastAsia="宋体" w:cs="v5.0.0"/>
            <w:lang w:val="en-US" w:eastAsia="zh-CN"/>
          </w:rPr>
          <w:t xml:space="preserve">for power class </w:t>
        </w:r>
      </w:ins>
      <w:ins w:id="14" w:author="ZTE, Li Lu" w:date="2024-05-23T16:15:56Z">
        <w:r>
          <w:rPr>
            <w:rFonts w:hint="eastAsia" w:eastAsia="宋体" w:cs="v5.0.0"/>
            <w:lang w:val="en-US" w:eastAsia="zh-CN"/>
          </w:rPr>
          <w:t>2</w:t>
        </w:r>
      </w:ins>
      <w:r>
        <w:rPr>
          <w:rFonts w:cs="v5.0.0"/>
        </w:rPr>
        <w:t>.</w:t>
      </w:r>
    </w:p>
    <w:p>
      <w:pPr>
        <w:pStyle w:val="98"/>
        <w:rPr>
          <w:rFonts w:hint="default" w:eastAsia="宋体" w:cs="v5.0.0"/>
          <w:lang w:val="en-US" w:eastAsia="zh-CN"/>
        </w:rPr>
      </w:pPr>
      <w:r>
        <w:t>Table 6.5A.2.4.1.1-1: General requirements for intra-band contiguous CA ACLR</w:t>
      </w:r>
      <w:ins w:id="15" w:author="ZTE, Li Lu" w:date="2024-05-23T16:14:32Z">
        <w:r>
          <w:rPr>
            <w:rFonts w:hint="eastAsia" w:eastAsia="宋体"/>
            <w:lang w:val="en-US" w:eastAsia="zh-CN"/>
          </w:rPr>
          <w:t xml:space="preserve"> </w:t>
        </w:r>
      </w:ins>
      <w:ins w:id="16" w:author="ZTE, Li Lu" w:date="2024-05-23T16:14:33Z">
        <w:r>
          <w:rPr>
            <w:rFonts w:hint="eastAsia" w:eastAsia="宋体"/>
            <w:lang w:val="en-US" w:eastAsia="zh-CN"/>
          </w:rPr>
          <w:t>powe</w:t>
        </w:r>
      </w:ins>
      <w:ins w:id="17" w:author="ZTE, Li Lu" w:date="2024-05-23T16:14:34Z">
        <w:r>
          <w:rPr>
            <w:rFonts w:hint="eastAsia" w:eastAsia="宋体"/>
            <w:lang w:val="en-US" w:eastAsia="zh-CN"/>
          </w:rPr>
          <w:t xml:space="preserve">r </w:t>
        </w:r>
      </w:ins>
      <w:ins w:id="18" w:author="ZTE, Li Lu" w:date="2024-05-23T16:14:35Z">
        <w:r>
          <w:rPr>
            <w:rFonts w:hint="eastAsia" w:eastAsia="宋体"/>
            <w:lang w:val="en-US" w:eastAsia="zh-CN"/>
          </w:rPr>
          <w:t>cla</w:t>
        </w:r>
      </w:ins>
      <w:ins w:id="19" w:author="ZTE, Li Lu" w:date="2024-05-23T16:14:36Z">
        <w:r>
          <w:rPr>
            <w:rFonts w:hint="eastAsia" w:eastAsia="宋体"/>
            <w:lang w:val="en-US" w:eastAsia="zh-CN"/>
          </w:rPr>
          <w:t xml:space="preserve">ss </w:t>
        </w:r>
      </w:ins>
      <w:ins w:id="20" w:author="ZTE, Li Lu" w:date="2024-05-23T16:14:37Z">
        <w:r>
          <w:rPr>
            <w:rFonts w:hint="eastAsia" w:eastAsia="宋体"/>
            <w:lang w:val="en-US" w:eastAsia="zh-CN"/>
          </w:rPr>
          <w:t>3</w:t>
        </w:r>
      </w:ins>
    </w:p>
    <w:tbl>
      <w:tblPr>
        <w:tblStyle w:val="71"/>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835" w:type="dxa"/>
          </w:tcPr>
          <w:p>
            <w:pPr>
              <w:pStyle w:val="94"/>
            </w:pPr>
          </w:p>
        </w:tc>
        <w:tc>
          <w:tcPr>
            <w:tcW w:w="5209" w:type="dxa"/>
          </w:tcPr>
          <w:p>
            <w:pPr>
              <w:pStyle w:val="94"/>
            </w:pPr>
            <w:r>
              <w:t>ACLR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CA ACLR</w:t>
            </w:r>
          </w:p>
        </w:tc>
        <w:tc>
          <w:tcPr>
            <w:tcW w:w="5209" w:type="dxa"/>
            <w:vAlign w:val="center"/>
          </w:tcPr>
          <w:p>
            <w:pPr>
              <w:pStyle w:val="95"/>
              <w:rPr>
                <w:rFonts w:cs="Arial"/>
              </w:rPr>
            </w:pPr>
            <w:r>
              <w:rPr>
                <w:rFonts w:cs="Arial"/>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CA Measurement bandwidth</w:t>
            </w:r>
          </w:p>
          <w:p>
            <w:pPr>
              <w:pStyle w:val="95"/>
              <w:rPr>
                <w:rFonts w:cs="Arial"/>
              </w:rPr>
            </w:pPr>
            <w:r>
              <w:rPr>
                <w:rFonts w:cs="Arial"/>
              </w:rPr>
              <w:t>(NOTE 1)</w:t>
            </w:r>
          </w:p>
        </w:tc>
        <w:tc>
          <w:tcPr>
            <w:tcW w:w="5209" w:type="dxa"/>
            <w:vAlign w:val="center"/>
          </w:tcPr>
          <w:p>
            <w:pPr>
              <w:pStyle w:val="95"/>
              <w:rPr>
                <w:rFonts w:cs="Arial"/>
                <w:lang w:eastAsia="zh-CN"/>
              </w:rPr>
            </w:pPr>
            <w:r>
              <w:rPr>
                <w:rFonts w:cs="Arial"/>
                <w:lang w:eastAsia="zh-CN"/>
              </w:rPr>
              <w:t>Nominal channel space+MBW</w:t>
            </w:r>
            <w:r>
              <w:rPr>
                <w:rFonts w:cs="Arial"/>
                <w:vertAlign w:val="subscript"/>
                <w:lang w:eastAsia="zh-CN"/>
              </w:rPr>
              <w:t>ACLR,low</w:t>
            </w:r>
            <w:r>
              <w:rPr>
                <w:rFonts w:cs="Arial"/>
                <w:lang w:eastAsia="zh-CN"/>
              </w:rPr>
              <w:t>/2+ MBW</w:t>
            </w:r>
            <w:r>
              <w:rPr>
                <w:rFonts w:cs="Arial"/>
                <w:vertAlign w:val="subscript"/>
                <w:lang w:eastAsia="zh-CN"/>
              </w:rPr>
              <w:t>ACLR,high</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Adjacent channel centre frequency offset (in MHz)</w:t>
            </w:r>
          </w:p>
        </w:tc>
        <w:tc>
          <w:tcPr>
            <w:tcW w:w="5209" w:type="dxa"/>
            <w:vAlign w:val="center"/>
          </w:tcPr>
          <w:p>
            <w:pPr>
              <w:pStyle w:val="95"/>
              <w:rPr>
                <w:rFonts w:cs="Arial"/>
              </w:rPr>
            </w:pPr>
            <w:r>
              <w:rPr>
                <w:rFonts w:cs="Arial"/>
              </w:rPr>
              <w:t>+ BW</w:t>
            </w:r>
            <w:r>
              <w:rPr>
                <w:rFonts w:cs="Arial"/>
                <w:vertAlign w:val="subscript"/>
              </w:rPr>
              <w:t>Channel_CA</w:t>
            </w:r>
          </w:p>
          <w:p>
            <w:pPr>
              <w:pStyle w:val="95"/>
              <w:rPr>
                <w:rFonts w:cs="Arial"/>
              </w:rPr>
            </w:pPr>
            <w:r>
              <w:rPr>
                <w:rFonts w:cs="Arial"/>
              </w:rPr>
              <w:t>/</w:t>
            </w:r>
          </w:p>
          <w:p>
            <w:pPr>
              <w:pStyle w:val="95"/>
              <w:rPr>
                <w:rFonts w:cs="Arial"/>
              </w:rPr>
            </w:pPr>
            <w:r>
              <w:rPr>
                <w:rFonts w:cs="Arial"/>
              </w:rPr>
              <w:t>- BW</w:t>
            </w:r>
            <w:r>
              <w:rPr>
                <w:rFonts w:cs="Arial"/>
                <w:vertAlign w:val="subscript"/>
              </w:rPr>
              <w:t>Channel_CA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lang w:eastAsia="zh-CN"/>
              </w:rPr>
            </w:pPr>
            <w:r>
              <w:rPr>
                <w:rFonts w:hint="eastAsia" w:cs="Arial"/>
                <w:lang w:eastAsia="zh-CN"/>
              </w:rPr>
              <w:t>Dif</w:t>
            </w:r>
            <w:r>
              <w:rPr>
                <w:rFonts w:cs="Arial"/>
                <w:lang w:eastAsia="zh-CN"/>
              </w:rPr>
              <w:t>ference between ACLR MBW center and F</w:t>
            </w:r>
            <w:r>
              <w:rPr>
                <w:rFonts w:cs="Arial"/>
                <w:vertAlign w:val="subscript"/>
                <w:lang w:eastAsia="zh-CN"/>
              </w:rPr>
              <w:t>c,low</w:t>
            </w:r>
          </w:p>
        </w:tc>
        <w:tc>
          <w:tcPr>
            <w:tcW w:w="5209" w:type="dxa"/>
            <w:vAlign w:val="center"/>
          </w:tcPr>
          <w:p>
            <w:pPr>
              <w:pStyle w:val="95"/>
              <w:rPr>
                <w:rFonts w:cs="Arial"/>
                <w:lang w:eastAsia="zh-CN"/>
              </w:rPr>
            </w:pPr>
            <w:r>
              <w:rPr>
                <w:rFonts w:hint="eastAsia" w:cs="Arial"/>
                <w:lang w:eastAsia="zh-CN"/>
              </w:rPr>
              <w:t>M</w:t>
            </w:r>
            <w:r>
              <w:rPr>
                <w:rFonts w:cs="Arial"/>
                <w:lang w:eastAsia="zh-CN"/>
              </w:rPr>
              <w:t>BW</w:t>
            </w:r>
            <w:r>
              <w:rPr>
                <w:rFonts w:cs="Arial"/>
                <w:vertAlign w:val="subscript"/>
                <w:lang w:eastAsia="zh-CN"/>
              </w:rPr>
              <w:t>shift</w:t>
            </w:r>
            <w:r>
              <w:rPr>
                <w:rFonts w:cs="Arial"/>
                <w:lang w:eastAsia="zh-CN"/>
              </w:rPr>
              <w:t>= (MBW</w:t>
            </w:r>
            <w:r>
              <w:rPr>
                <w:rFonts w:cs="Arial"/>
                <w:vertAlign w:val="subscript"/>
                <w:lang w:eastAsia="zh-CN"/>
              </w:rPr>
              <w:t>ACLR_CA</w:t>
            </w:r>
            <w:r>
              <w:rPr>
                <w:rFonts w:cs="Arial"/>
                <w:lang w:eastAsia="zh-CN"/>
              </w:rPr>
              <w:t>-MBW</w:t>
            </w:r>
            <w:r>
              <w:rPr>
                <w:rFonts w:cs="Arial"/>
                <w:vertAlign w:val="subscript"/>
                <w:lang w:eastAsia="zh-CN"/>
              </w:rPr>
              <w:t>ACLR,low</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4" w:type="dxa"/>
            <w:gridSpan w:val="2"/>
            <w:vAlign w:val="center"/>
          </w:tcPr>
          <w:p>
            <w:pPr>
              <w:pStyle w:val="109"/>
              <w:rPr>
                <w:lang w:val="en-US" w:eastAsia="zh-CN"/>
              </w:rPr>
            </w:pPr>
            <w:r>
              <w:rPr>
                <w:rFonts w:hint="eastAsia"/>
                <w:lang w:eastAsia="zh-CN"/>
              </w:rPr>
              <w:t>NOTE 1:</w:t>
            </w:r>
            <w:r>
              <w:tab/>
            </w:r>
            <w:r>
              <w:rPr>
                <w:lang w:eastAsia="zh-CN"/>
              </w:rPr>
              <w:t>MBW</w:t>
            </w:r>
            <w:r>
              <w:rPr>
                <w:vertAlign w:val="subscript"/>
                <w:lang w:eastAsia="zh-CN"/>
              </w:rPr>
              <w:t>ACLR,low</w:t>
            </w:r>
            <w:r>
              <w:rPr>
                <w:lang w:val="en-US" w:eastAsia="zh-CN"/>
              </w:rPr>
              <w:t xml:space="preserve"> and </w:t>
            </w:r>
            <w:r>
              <w:rPr>
                <w:lang w:eastAsia="zh-CN"/>
              </w:rPr>
              <w:t>MBW</w:t>
            </w:r>
            <w:r>
              <w:rPr>
                <w:vertAlign w:val="subscript"/>
                <w:lang w:eastAsia="zh-CN"/>
              </w:rPr>
              <w:t>ACLR,high</w:t>
            </w:r>
            <w:r>
              <w:rPr>
                <w:lang w:val="en-US" w:eastAsia="zh-CN"/>
              </w:rPr>
              <w:t xml:space="preserve"> are the single-channel ACLR measurement bandwidths specified for channel bandwidths BW</w:t>
            </w:r>
            <w:r>
              <w:rPr>
                <w:vertAlign w:val="subscript"/>
                <w:lang w:val="en-US" w:eastAsia="zh-CN"/>
              </w:rPr>
              <w:t>channel(low)</w:t>
            </w:r>
            <w:r>
              <w:rPr>
                <w:lang w:val="en-US" w:eastAsia="zh-CN"/>
              </w:rPr>
              <w:t xml:space="preserve"> and BW</w:t>
            </w:r>
            <w:r>
              <w:rPr>
                <w:vertAlign w:val="subscript"/>
                <w:lang w:val="en-US" w:eastAsia="zh-CN"/>
              </w:rPr>
              <w:t>channel(high)</w:t>
            </w:r>
            <w:r>
              <w:rPr>
                <w:lang w:val="en-US" w:eastAsia="zh-CN"/>
              </w:rPr>
              <w:t xml:space="preserve"> in 6.5.2.4.1, respectively.</w:t>
            </w:r>
          </w:p>
        </w:tc>
      </w:tr>
    </w:tbl>
    <w:p/>
    <w:p>
      <w:pPr>
        <w:pStyle w:val="98"/>
        <w:rPr>
          <w:rFonts w:cs="v5.0.0"/>
        </w:rPr>
      </w:pPr>
      <w:r>
        <w:t xml:space="preserve">Table 6.5A.2.4.1.1-2: </w:t>
      </w:r>
      <w:ins w:id="21" w:author="ZTE, Li Lu" w:date="2024-05-23T16:14:42Z">
        <w:r>
          <w:rPr>
            <w:rFonts w:hint="eastAsia" w:eastAsia="宋体"/>
            <w:lang w:val="en-US" w:eastAsia="zh-CN"/>
          </w:rPr>
          <w:t>G</w:t>
        </w:r>
      </w:ins>
      <w:ins w:id="22" w:author="ZTE, Li Lu" w:date="2024-05-23T16:14:43Z">
        <w:r>
          <w:rPr>
            <w:rFonts w:hint="eastAsia" w:eastAsia="宋体"/>
            <w:lang w:val="en-US" w:eastAsia="zh-CN"/>
          </w:rPr>
          <w:t>enera</w:t>
        </w:r>
      </w:ins>
      <w:ins w:id="23" w:author="ZTE, Li Lu" w:date="2024-05-23T16:14:44Z">
        <w:r>
          <w:rPr>
            <w:rFonts w:hint="eastAsia" w:eastAsia="宋体"/>
            <w:lang w:val="en-US" w:eastAsia="zh-CN"/>
          </w:rPr>
          <w:t xml:space="preserve">l </w:t>
        </w:r>
      </w:ins>
      <w:r>
        <w:t>requirements for intra-band contiguous CA ACLR power class 2</w:t>
      </w:r>
    </w:p>
    <w:tbl>
      <w:tblPr>
        <w:tblStyle w:val="71"/>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835" w:type="dxa"/>
          </w:tcPr>
          <w:p>
            <w:pPr>
              <w:pStyle w:val="94"/>
            </w:pPr>
          </w:p>
        </w:tc>
        <w:tc>
          <w:tcPr>
            <w:tcW w:w="5209" w:type="dxa"/>
          </w:tcPr>
          <w:p>
            <w:pPr>
              <w:pStyle w:val="94"/>
            </w:pPr>
            <w:r>
              <w:t>ACLR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CA ACLR</w:t>
            </w:r>
          </w:p>
        </w:tc>
        <w:tc>
          <w:tcPr>
            <w:tcW w:w="5209" w:type="dxa"/>
            <w:vAlign w:val="center"/>
          </w:tcPr>
          <w:p>
            <w:pPr>
              <w:pStyle w:val="95"/>
              <w:rPr>
                <w:rFonts w:cs="Arial"/>
              </w:rPr>
            </w:pPr>
            <w:r>
              <w:rPr>
                <w:rFonts w:cs="Arial"/>
              </w:rPr>
              <w:t>31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CA Measurement bandwidth</w:t>
            </w:r>
          </w:p>
          <w:p>
            <w:pPr>
              <w:pStyle w:val="95"/>
              <w:rPr>
                <w:rFonts w:cs="Arial"/>
              </w:rPr>
            </w:pPr>
            <w:r>
              <w:rPr>
                <w:rFonts w:cs="Arial"/>
              </w:rPr>
              <w:t>(NOTE 1)</w:t>
            </w:r>
          </w:p>
        </w:tc>
        <w:tc>
          <w:tcPr>
            <w:tcW w:w="5209" w:type="dxa"/>
            <w:vAlign w:val="center"/>
          </w:tcPr>
          <w:p>
            <w:pPr>
              <w:pStyle w:val="95"/>
              <w:rPr>
                <w:rFonts w:cs="Arial"/>
                <w:lang w:eastAsia="zh-CN"/>
              </w:rPr>
            </w:pPr>
            <w:r>
              <w:rPr>
                <w:rFonts w:cs="Arial"/>
                <w:lang w:eastAsia="zh-CN"/>
              </w:rPr>
              <w:t>Nominal channel space+MBW</w:t>
            </w:r>
            <w:r>
              <w:rPr>
                <w:rFonts w:cs="Arial"/>
                <w:vertAlign w:val="subscript"/>
                <w:lang w:eastAsia="zh-CN"/>
              </w:rPr>
              <w:t>ACLR,low</w:t>
            </w:r>
            <w:r>
              <w:rPr>
                <w:rFonts w:cs="Arial"/>
                <w:lang w:eastAsia="zh-CN"/>
              </w:rPr>
              <w:t>/2+ MBW</w:t>
            </w:r>
            <w:r>
              <w:rPr>
                <w:rFonts w:cs="Arial"/>
                <w:vertAlign w:val="subscript"/>
                <w:lang w:eastAsia="zh-CN"/>
              </w:rPr>
              <w:t>ACLR,high</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Adjacent channel centre frequency offset (in MHz)</w:t>
            </w:r>
          </w:p>
        </w:tc>
        <w:tc>
          <w:tcPr>
            <w:tcW w:w="5209" w:type="dxa"/>
            <w:vAlign w:val="center"/>
          </w:tcPr>
          <w:p>
            <w:pPr>
              <w:pStyle w:val="95"/>
              <w:rPr>
                <w:rFonts w:cs="Arial"/>
              </w:rPr>
            </w:pPr>
            <w:r>
              <w:rPr>
                <w:rFonts w:cs="Arial"/>
              </w:rPr>
              <w:t>+ BW</w:t>
            </w:r>
            <w:r>
              <w:rPr>
                <w:rFonts w:cs="Arial"/>
                <w:vertAlign w:val="subscript"/>
              </w:rPr>
              <w:t>Channel_CA</w:t>
            </w:r>
          </w:p>
          <w:p>
            <w:pPr>
              <w:pStyle w:val="95"/>
              <w:rPr>
                <w:rFonts w:cs="Arial"/>
              </w:rPr>
            </w:pPr>
            <w:r>
              <w:rPr>
                <w:rFonts w:cs="Arial"/>
              </w:rPr>
              <w:t>/</w:t>
            </w:r>
          </w:p>
          <w:p>
            <w:pPr>
              <w:pStyle w:val="95"/>
              <w:rPr>
                <w:rFonts w:cs="Arial"/>
              </w:rPr>
            </w:pPr>
            <w:r>
              <w:rPr>
                <w:rFonts w:cs="Arial"/>
              </w:rPr>
              <w:t>- BW</w:t>
            </w:r>
            <w:r>
              <w:rPr>
                <w:rFonts w:cs="Arial"/>
                <w:vertAlign w:val="subscript"/>
              </w:rPr>
              <w:t>Channel_CA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lang w:eastAsia="zh-CN"/>
              </w:rPr>
            </w:pPr>
            <w:r>
              <w:rPr>
                <w:rFonts w:hint="eastAsia" w:cs="Arial"/>
                <w:lang w:eastAsia="zh-CN"/>
              </w:rPr>
              <w:t>Dif</w:t>
            </w:r>
            <w:r>
              <w:rPr>
                <w:rFonts w:cs="Arial"/>
                <w:lang w:eastAsia="zh-CN"/>
              </w:rPr>
              <w:t>ference between ACLR MBW center and F</w:t>
            </w:r>
            <w:r>
              <w:rPr>
                <w:rFonts w:cs="Arial"/>
                <w:vertAlign w:val="subscript"/>
                <w:lang w:eastAsia="zh-CN"/>
              </w:rPr>
              <w:t>c,low</w:t>
            </w:r>
          </w:p>
        </w:tc>
        <w:tc>
          <w:tcPr>
            <w:tcW w:w="5209" w:type="dxa"/>
            <w:vAlign w:val="center"/>
          </w:tcPr>
          <w:p>
            <w:pPr>
              <w:pStyle w:val="95"/>
              <w:rPr>
                <w:rFonts w:cs="Arial"/>
                <w:lang w:eastAsia="zh-CN"/>
              </w:rPr>
            </w:pPr>
            <w:r>
              <w:rPr>
                <w:rFonts w:hint="eastAsia" w:cs="Arial"/>
                <w:lang w:eastAsia="zh-CN"/>
              </w:rPr>
              <w:t>M</w:t>
            </w:r>
            <w:r>
              <w:rPr>
                <w:rFonts w:cs="Arial"/>
                <w:lang w:eastAsia="zh-CN"/>
              </w:rPr>
              <w:t>BW</w:t>
            </w:r>
            <w:r>
              <w:rPr>
                <w:rFonts w:cs="Arial"/>
                <w:vertAlign w:val="subscript"/>
                <w:lang w:eastAsia="zh-CN"/>
              </w:rPr>
              <w:t>shift</w:t>
            </w:r>
            <w:r>
              <w:rPr>
                <w:rFonts w:cs="Arial"/>
                <w:lang w:eastAsia="zh-CN"/>
              </w:rPr>
              <w:t>= (MBW</w:t>
            </w:r>
            <w:r>
              <w:rPr>
                <w:rFonts w:cs="Arial"/>
                <w:vertAlign w:val="subscript"/>
                <w:lang w:eastAsia="zh-CN"/>
              </w:rPr>
              <w:t>ACLR_CA</w:t>
            </w:r>
            <w:r>
              <w:rPr>
                <w:rFonts w:cs="Arial"/>
                <w:lang w:eastAsia="zh-CN"/>
              </w:rPr>
              <w:t>-MBW</w:t>
            </w:r>
            <w:r>
              <w:rPr>
                <w:rFonts w:cs="Arial"/>
                <w:vertAlign w:val="subscript"/>
                <w:lang w:eastAsia="zh-CN"/>
              </w:rPr>
              <w:t>ACLR,low</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4" w:type="dxa"/>
            <w:gridSpan w:val="2"/>
            <w:vAlign w:val="center"/>
          </w:tcPr>
          <w:p>
            <w:pPr>
              <w:pStyle w:val="109"/>
              <w:rPr>
                <w:lang w:val="en-US" w:eastAsia="zh-CN"/>
              </w:rPr>
            </w:pPr>
            <w:r>
              <w:rPr>
                <w:rFonts w:hint="eastAsia"/>
                <w:lang w:eastAsia="zh-CN"/>
              </w:rPr>
              <w:t>NOTE 1:</w:t>
            </w:r>
            <w:r>
              <w:tab/>
            </w:r>
            <w:r>
              <w:rPr>
                <w:lang w:eastAsia="zh-CN"/>
              </w:rPr>
              <w:t>MBW</w:t>
            </w:r>
            <w:r>
              <w:rPr>
                <w:vertAlign w:val="subscript"/>
                <w:lang w:eastAsia="zh-CN"/>
              </w:rPr>
              <w:t>ACLR,low</w:t>
            </w:r>
            <w:r>
              <w:rPr>
                <w:lang w:val="en-US" w:eastAsia="zh-CN"/>
              </w:rPr>
              <w:t xml:space="preserve"> and </w:t>
            </w:r>
            <w:r>
              <w:rPr>
                <w:lang w:eastAsia="zh-CN"/>
              </w:rPr>
              <w:t>MBW</w:t>
            </w:r>
            <w:r>
              <w:rPr>
                <w:vertAlign w:val="subscript"/>
                <w:lang w:eastAsia="zh-CN"/>
              </w:rPr>
              <w:t>ACLR,high</w:t>
            </w:r>
            <w:r>
              <w:rPr>
                <w:lang w:val="en-US" w:eastAsia="zh-CN"/>
              </w:rPr>
              <w:t xml:space="preserve"> are the single-channel ACLR measurement bandwidths specified for channel bandwidths BW</w:t>
            </w:r>
            <w:r>
              <w:rPr>
                <w:vertAlign w:val="subscript"/>
                <w:lang w:val="en-US" w:eastAsia="zh-CN"/>
              </w:rPr>
              <w:t>channel(low)</w:t>
            </w:r>
            <w:r>
              <w:rPr>
                <w:lang w:val="en-US" w:eastAsia="zh-CN"/>
              </w:rPr>
              <w:t xml:space="preserve"> and BW</w:t>
            </w:r>
            <w:r>
              <w:rPr>
                <w:vertAlign w:val="subscript"/>
                <w:lang w:val="en-US" w:eastAsia="zh-CN"/>
              </w:rPr>
              <w:t>channel(high)</w:t>
            </w:r>
            <w:r>
              <w:rPr>
                <w:lang w:val="en-US" w:eastAsia="zh-CN"/>
              </w:rPr>
              <w:t xml:space="preserve"> in 6.5.2.4.1, respectively.</w:t>
            </w:r>
          </w:p>
        </w:tc>
      </w:tr>
    </w:tbl>
    <w:p/>
    <w:bookmarkEnd w:id="14"/>
    <w:bookmarkEnd w:id="15"/>
    <w:bookmarkEnd w:id="16"/>
    <w:bookmarkEnd w:id="17"/>
    <w:bookmarkEnd w:id="18"/>
    <w:bookmarkEnd w:id="19"/>
    <w:p>
      <w:pPr>
        <w:pStyle w:val="9"/>
      </w:pPr>
      <w:r>
        <w:t>6.5A.2.4.1.2</w:t>
      </w:r>
      <w:r>
        <w:tab/>
      </w:r>
      <w:r>
        <w:t>NR ACLR for intra-band non-contiguous CA</w:t>
      </w:r>
    </w:p>
    <w:p>
      <w:r>
        <w:t>For intra-band non-contiguous carrier aggregation, CA Adjacent Channel Leakage power Ratio(CA</w:t>
      </w:r>
      <w:r>
        <w:rPr>
          <w:vertAlign w:val="subscript"/>
        </w:rPr>
        <w:t>ACLR</w:t>
      </w:r>
      <w:r>
        <w:t>) is the ratio of the sum of the filtered mean power centred on each assigned channel frequency to the filtered mean power centred on an adjacent NR channel frequency at nominal channel spacing. In case the gap bandwidth Wgap between 2 uplink CCs is smaller than maximum of the 2 uplink channel bandwidths then no CA</w:t>
      </w:r>
      <w:r>
        <w:rPr>
          <w:vertAlign w:val="subscript"/>
        </w:rPr>
        <w:t>ACLR</w:t>
      </w:r>
      <w:r>
        <w:t xml:space="preserve"> requirement is set for the gap. Each assigned NR channel power and adjacent NR channel power are measured with rectangular filters with measurement bandwidths specified in Table </w:t>
      </w:r>
      <w:ins w:id="24" w:author="ZTE, Li Lu" w:date="2024-05-23T16:16:32Z">
        <w:bookmarkStart w:id="20" w:name="_GoBack"/>
        <w:bookmarkEnd w:id="20"/>
        <w:r>
          <w:rPr/>
          <w:t>6.5A.2.4.1.2-1</w:t>
        </w:r>
      </w:ins>
      <w:ins w:id="25" w:author="ZTE, Li Lu" w:date="2024-05-23T16:16:32Z">
        <w:r>
          <w:rPr>
            <w:rFonts w:hint="eastAsia" w:eastAsia="宋体"/>
            <w:lang w:val="en-US" w:eastAsia="zh-CN"/>
          </w:rPr>
          <w:t xml:space="preserve"> for power class 3</w:t>
        </w:r>
      </w:ins>
      <w:ins w:id="26" w:author="ZTE, Li Lu" w:date="2024-05-23T16:16:32Z">
        <w:r>
          <w:rPr>
            <w:rFonts w:cs="v5.0.0"/>
          </w:rPr>
          <w:t xml:space="preserve"> and 6.5A.2.4.1.</w:t>
        </w:r>
      </w:ins>
      <w:ins w:id="27" w:author="ZTE, Li Lu" w:date="2024-05-23T16:16:32Z">
        <w:r>
          <w:rPr>
            <w:rFonts w:hint="eastAsia" w:cs="v5.0.0"/>
            <w:lang w:val="en-US" w:eastAsia="zh-CN"/>
          </w:rPr>
          <w:t>2</w:t>
        </w:r>
      </w:ins>
      <w:ins w:id="28" w:author="ZTE, Li Lu" w:date="2024-05-23T16:16:32Z">
        <w:r>
          <w:rPr>
            <w:rFonts w:cs="v5.0.0"/>
          </w:rPr>
          <w:t>-2</w:t>
        </w:r>
      </w:ins>
      <w:ins w:id="29" w:author="ZTE, Li Lu" w:date="2024-05-23T16:16:32Z">
        <w:r>
          <w:rPr>
            <w:rFonts w:hint="eastAsia" w:eastAsia="宋体"/>
            <w:lang w:val="en-US" w:eastAsia="zh-CN"/>
          </w:rPr>
          <w:t xml:space="preserve"> for power class 2</w:t>
        </w:r>
      </w:ins>
      <w:del w:id="30" w:author="ZTE, Li Lu" w:date="2024-05-23T16:16:32Z">
        <w:r>
          <w:rPr/>
          <w:delText>6.5.2.4.1-1</w:delText>
        </w:r>
      </w:del>
      <w:r>
        <w:t>. If the measured adjacent channel power is greater than –50dBm then the ACLR shall be higher than the value specified in Table 6.5A.2.4.1.2-1</w:t>
      </w:r>
      <w:ins w:id="31" w:author="ZTE, Li Lu" w:date="2024-05-23T16:17:00Z">
        <w:r>
          <w:rPr>
            <w:rFonts w:hint="eastAsia" w:eastAsia="宋体" w:cs="v5.0.0"/>
            <w:lang w:val="en-US" w:eastAsia="zh-CN"/>
          </w:rPr>
          <w:t xml:space="preserve"> for power class 3</w:t>
        </w:r>
      </w:ins>
      <w:ins w:id="32" w:author="ZTE, Li Lu" w:date="2024-05-23T16:17:00Z">
        <w:r>
          <w:rPr>
            <w:rFonts w:cs="v5.0.0"/>
          </w:rPr>
          <w:t xml:space="preserve"> and 6.5A.2.4.1.</w:t>
        </w:r>
      </w:ins>
      <w:ins w:id="33" w:author="ZTE, Li Lu" w:date="2024-05-23T16:17:00Z">
        <w:r>
          <w:rPr>
            <w:rFonts w:hint="eastAsia" w:cs="v5.0.0"/>
            <w:lang w:val="en-US" w:eastAsia="zh-CN"/>
          </w:rPr>
          <w:t>2</w:t>
        </w:r>
      </w:ins>
      <w:ins w:id="34" w:author="ZTE, Li Lu" w:date="2024-05-23T16:17:00Z">
        <w:r>
          <w:rPr>
            <w:rFonts w:cs="v5.0.0"/>
          </w:rPr>
          <w:t>-2</w:t>
        </w:r>
      </w:ins>
      <w:ins w:id="35" w:author="ZTE, Li Lu" w:date="2024-05-23T16:17:00Z">
        <w:r>
          <w:rPr>
            <w:rFonts w:hint="eastAsia" w:eastAsia="宋体" w:cs="v5.0.0"/>
            <w:lang w:val="en-US" w:eastAsia="zh-CN"/>
          </w:rPr>
          <w:t xml:space="preserve"> for power class 2</w:t>
        </w:r>
      </w:ins>
      <w:r>
        <w:t>.</w:t>
      </w:r>
    </w:p>
    <w:p>
      <w:pPr>
        <w:pStyle w:val="98"/>
        <w:rPr>
          <w:rFonts w:hint="default" w:eastAsia="宋体" w:cs="v5.0.0"/>
          <w:lang w:val="en-US" w:eastAsia="zh-CN"/>
        </w:rPr>
      </w:pPr>
      <w:r>
        <w:t>Table 6.5A.2.4.1.2-1: General requirements for intra-band non-contiguous CA ACLR</w:t>
      </w:r>
      <w:ins w:id="36" w:author="ZTE, Li Lu" w:date="2024-05-23T16:14:48Z">
        <w:r>
          <w:rPr>
            <w:rFonts w:hint="eastAsia" w:eastAsia="宋体"/>
            <w:lang w:val="en-US" w:eastAsia="zh-CN"/>
          </w:rPr>
          <w:t xml:space="preserve"> po</w:t>
        </w:r>
      </w:ins>
      <w:ins w:id="37" w:author="ZTE, Li Lu" w:date="2024-05-23T16:14:49Z">
        <w:r>
          <w:rPr>
            <w:rFonts w:hint="eastAsia" w:eastAsia="宋体"/>
            <w:lang w:val="en-US" w:eastAsia="zh-CN"/>
          </w:rPr>
          <w:t>wer c</w:t>
        </w:r>
      </w:ins>
      <w:ins w:id="38" w:author="ZTE, Li Lu" w:date="2024-05-23T16:14:50Z">
        <w:r>
          <w:rPr>
            <w:rFonts w:hint="eastAsia" w:eastAsia="宋体"/>
            <w:lang w:val="en-US" w:eastAsia="zh-CN"/>
          </w:rPr>
          <w:t>lass</w:t>
        </w:r>
      </w:ins>
      <w:ins w:id="39" w:author="ZTE, Li Lu" w:date="2024-05-23T16:14:51Z">
        <w:r>
          <w:rPr>
            <w:rFonts w:hint="eastAsia" w:eastAsia="宋体"/>
            <w:lang w:val="en-US" w:eastAsia="zh-CN"/>
          </w:rPr>
          <w:t xml:space="preserve"> </w:t>
        </w:r>
      </w:ins>
      <w:ins w:id="40" w:author="ZTE, Li Lu" w:date="2024-05-23T16:14:52Z">
        <w:r>
          <w:rPr>
            <w:rFonts w:hint="eastAsia" w:eastAsia="宋体"/>
            <w:lang w:val="en-US" w:eastAsia="zh-CN"/>
          </w:rPr>
          <w:t>3</w:t>
        </w:r>
      </w:ins>
    </w:p>
    <w:tbl>
      <w:tblPr>
        <w:tblStyle w:val="71"/>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835" w:type="dxa"/>
          </w:tcPr>
          <w:p>
            <w:pPr>
              <w:pStyle w:val="94"/>
              <w:rPr>
                <w:rFonts w:cs="Arial"/>
              </w:rPr>
            </w:pPr>
          </w:p>
        </w:tc>
        <w:tc>
          <w:tcPr>
            <w:tcW w:w="5209" w:type="dxa"/>
          </w:tcPr>
          <w:p>
            <w:pPr>
              <w:pStyle w:val="94"/>
              <w:rPr>
                <w:rFonts w:cs="Arial"/>
              </w:rPr>
            </w:pPr>
            <w:r>
              <w:rPr>
                <w:rFonts w:cs="Arial"/>
              </w:rPr>
              <w:t>ACLR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835" w:type="dxa"/>
          </w:tcPr>
          <w:p>
            <w:pPr>
              <w:pStyle w:val="95"/>
              <w:rPr>
                <w:rFonts w:cs="Arial"/>
              </w:rPr>
            </w:pPr>
            <w:r>
              <w:rPr>
                <w:rFonts w:cs="Arial"/>
              </w:rPr>
              <w:t>CA ACLR</w:t>
            </w:r>
          </w:p>
        </w:tc>
        <w:tc>
          <w:tcPr>
            <w:tcW w:w="5209" w:type="dxa"/>
          </w:tcPr>
          <w:p>
            <w:pPr>
              <w:pStyle w:val="95"/>
              <w:rPr>
                <w:rFonts w:cs="Arial"/>
              </w:rPr>
            </w:pPr>
            <w:r>
              <w:rPr>
                <w:rFonts w:cs="Arial"/>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835" w:type="dxa"/>
          </w:tcPr>
          <w:p>
            <w:pPr>
              <w:pStyle w:val="95"/>
              <w:rPr>
                <w:rFonts w:cs="Arial"/>
              </w:rPr>
            </w:pPr>
            <w:r>
              <w:rPr>
                <w:rFonts w:cs="Arial"/>
              </w:rPr>
              <w:t>CA Measurement bandwidth for each sub block</w:t>
            </w:r>
          </w:p>
          <w:p>
            <w:pPr>
              <w:pStyle w:val="95"/>
              <w:rPr>
                <w:rFonts w:cs="Arial"/>
              </w:rPr>
            </w:pPr>
            <w:r>
              <w:rPr>
                <w:rFonts w:cs="Arial"/>
              </w:rPr>
              <w:t>(NOTE 1)</w:t>
            </w:r>
          </w:p>
        </w:tc>
        <w:tc>
          <w:tcPr>
            <w:tcW w:w="5209" w:type="dxa"/>
          </w:tcPr>
          <w:p>
            <w:pPr>
              <w:pStyle w:val="95"/>
              <w:rPr>
                <w:rFonts w:cs="Arial"/>
              </w:rPr>
            </w:pPr>
            <w:r>
              <w:rPr>
                <w:rFonts w:cs="Arial"/>
                <w:lang w:eastAsia="zh-CN"/>
              </w:rPr>
              <w:t>MBW</w:t>
            </w:r>
            <w:r>
              <w:rPr>
                <w:rFonts w:cs="Arial"/>
                <w:vertAlign w:val="subscript"/>
                <w:lang w:eastAsia="zh-CN"/>
              </w:rPr>
              <w:t>ACLR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835" w:type="dxa"/>
          </w:tcPr>
          <w:p>
            <w:pPr>
              <w:pStyle w:val="95"/>
              <w:rPr>
                <w:rFonts w:cs="Arial"/>
              </w:rPr>
            </w:pPr>
            <w:r>
              <w:rPr>
                <w:rFonts w:cs="Arial"/>
              </w:rPr>
              <w:t>Adjacent channel centre frequency offset (in MHz)</w:t>
            </w:r>
          </w:p>
        </w:tc>
        <w:tc>
          <w:tcPr>
            <w:tcW w:w="5209" w:type="dxa"/>
          </w:tcPr>
          <w:p>
            <w:pPr>
              <w:pStyle w:val="95"/>
              <w:rPr>
                <w:rFonts w:cs="Arial"/>
              </w:rPr>
            </w:pPr>
            <w:r>
              <w:rPr>
                <w:rFonts w:cs="Arial"/>
              </w:rPr>
              <w:t>+ BW</w:t>
            </w:r>
            <w:r>
              <w:rPr>
                <w:rFonts w:cs="Arial"/>
                <w:vertAlign w:val="subscript"/>
              </w:rPr>
              <w:t>Channel</w:t>
            </w:r>
          </w:p>
          <w:p>
            <w:pPr>
              <w:pStyle w:val="95"/>
              <w:rPr>
                <w:rFonts w:cs="Arial"/>
              </w:rPr>
            </w:pPr>
            <w:r>
              <w:rPr>
                <w:rFonts w:cs="Arial"/>
              </w:rPr>
              <w:t>/</w:t>
            </w:r>
          </w:p>
          <w:p>
            <w:pPr>
              <w:pStyle w:val="95"/>
              <w:rPr>
                <w:rFonts w:cs="Arial"/>
              </w:rPr>
            </w:pPr>
            <w:r>
              <w:rPr>
                <w:rFonts w:cs="Arial"/>
              </w:rPr>
              <w:t>- BW</w:t>
            </w:r>
            <w:r>
              <w:rPr>
                <w:rFonts w:cs="Arial"/>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044" w:type="dxa"/>
            <w:gridSpan w:val="2"/>
            <w:vAlign w:val="center"/>
          </w:tcPr>
          <w:p>
            <w:pPr>
              <w:pStyle w:val="95"/>
              <w:jc w:val="left"/>
              <w:rPr>
                <w:rFonts w:cs="Arial"/>
                <w:szCs w:val="18"/>
                <w:lang w:eastAsia="zh-CN"/>
              </w:rPr>
            </w:pPr>
            <w:r>
              <w:rPr>
                <w:rFonts w:hint="eastAsia" w:cs="Arial"/>
                <w:szCs w:val="18"/>
                <w:lang w:eastAsia="zh-CN"/>
              </w:rPr>
              <w:t xml:space="preserve">NOTE 1: </w:t>
            </w:r>
            <w:r>
              <w:rPr>
                <w:rFonts w:cs="Arial"/>
                <w:lang w:eastAsia="zh-CN"/>
              </w:rPr>
              <w:t>MBW</w:t>
            </w:r>
            <w:r>
              <w:rPr>
                <w:rFonts w:cs="Arial"/>
                <w:vertAlign w:val="subscript"/>
                <w:lang w:eastAsia="zh-CN"/>
              </w:rPr>
              <w:t>ACLR</w:t>
            </w:r>
            <w:r>
              <w:rPr>
                <w:rFonts w:cs="Arial"/>
                <w:szCs w:val="18"/>
                <w:lang w:val="en-US" w:eastAsia="zh-CN"/>
              </w:rPr>
              <w:t xml:space="preserve"> is the single-channel ACLR measurement bandwidths specified in 6.5.2.4.1.</w:t>
            </w:r>
          </w:p>
        </w:tc>
      </w:tr>
    </w:tbl>
    <w:p>
      <w:pPr>
        <w:pStyle w:val="98"/>
        <w:rPr>
          <w:ins w:id="41" w:author="ZTE, Li Lu" w:date="2024-04-23T11:40:26Z"/>
        </w:rPr>
      </w:pPr>
    </w:p>
    <w:p>
      <w:pPr>
        <w:pStyle w:val="98"/>
        <w:rPr>
          <w:ins w:id="42" w:author="ZTE, Li Lu" w:date="2024-04-23T11:40:21Z"/>
          <w:rFonts w:cs="v5.0.0"/>
        </w:rPr>
      </w:pPr>
      <w:ins w:id="43" w:author="ZTE, Li Lu" w:date="2024-04-23T11:40:21Z">
        <w:r>
          <w:rPr/>
          <w:t>Table 6.5A.2.4.1.</w:t>
        </w:r>
      </w:ins>
      <w:ins w:id="44" w:author="ZTE, Li Lu" w:date="2024-04-23T11:40:31Z">
        <w:r>
          <w:rPr>
            <w:rFonts w:hint="eastAsia"/>
            <w:lang w:val="en-US" w:eastAsia="zh-CN"/>
          </w:rPr>
          <w:t>2</w:t>
        </w:r>
      </w:ins>
      <w:ins w:id="45" w:author="ZTE, Li Lu" w:date="2024-04-23T11:40:21Z">
        <w:r>
          <w:rPr/>
          <w:t xml:space="preserve">-2: </w:t>
        </w:r>
      </w:ins>
      <w:ins w:id="46" w:author="ZTE, Li Lu" w:date="2024-05-23T16:14:54Z">
        <w:r>
          <w:rPr>
            <w:rFonts w:hint="eastAsia" w:eastAsia="宋体"/>
            <w:lang w:val="en-US" w:eastAsia="zh-CN"/>
          </w:rPr>
          <w:t>Gen</w:t>
        </w:r>
      </w:ins>
      <w:ins w:id="47" w:author="ZTE, Li Lu" w:date="2024-05-23T16:14:55Z">
        <w:r>
          <w:rPr>
            <w:rFonts w:hint="eastAsia" w:eastAsia="宋体"/>
            <w:lang w:val="en-US" w:eastAsia="zh-CN"/>
          </w:rPr>
          <w:t xml:space="preserve">eral </w:t>
        </w:r>
      </w:ins>
      <w:ins w:id="48" w:author="ZTE, Li Lu" w:date="2024-04-23T11:40:21Z">
        <w:r>
          <w:rPr/>
          <w:t xml:space="preserve">requirements for intra-band </w:t>
        </w:r>
      </w:ins>
      <w:ins w:id="49" w:author="ZTE, Li Lu" w:date="2024-04-23T11:40:55Z">
        <w:r>
          <w:rPr>
            <w:rFonts w:hint="eastAsia"/>
            <w:lang w:val="en-US" w:eastAsia="zh-CN"/>
          </w:rPr>
          <w:t>non</w:t>
        </w:r>
      </w:ins>
      <w:ins w:id="50" w:author="ZTE, Li Lu" w:date="2024-04-23T11:40:57Z">
        <w:r>
          <w:rPr>
            <w:rFonts w:hint="eastAsia"/>
            <w:lang w:val="en-US" w:eastAsia="zh-CN"/>
          </w:rPr>
          <w:t>-</w:t>
        </w:r>
      </w:ins>
      <w:ins w:id="51" w:author="ZTE, Li Lu" w:date="2024-04-23T11:40:21Z">
        <w:r>
          <w:rPr/>
          <w:t>contiguous CA ACLR power class 2</w:t>
        </w:r>
      </w:ins>
    </w:p>
    <w:tbl>
      <w:tblPr>
        <w:tblStyle w:val="71"/>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 w:author="ZTE, Li Lu" w:date="2024-04-23T11:41:34Z"/>
        </w:trPr>
        <w:tc>
          <w:tcPr>
            <w:tcW w:w="2835" w:type="dxa"/>
          </w:tcPr>
          <w:p>
            <w:pPr>
              <w:pStyle w:val="94"/>
              <w:rPr>
                <w:ins w:id="53" w:author="ZTE, Li Lu" w:date="2024-04-23T11:41:34Z"/>
                <w:rFonts w:cs="Arial"/>
              </w:rPr>
            </w:pPr>
          </w:p>
        </w:tc>
        <w:tc>
          <w:tcPr>
            <w:tcW w:w="5209" w:type="dxa"/>
          </w:tcPr>
          <w:p>
            <w:pPr>
              <w:pStyle w:val="94"/>
              <w:rPr>
                <w:ins w:id="54" w:author="ZTE, Li Lu" w:date="2024-04-23T11:41:34Z"/>
                <w:rFonts w:cs="Arial"/>
              </w:rPr>
            </w:pPr>
            <w:ins w:id="55" w:author="ZTE, Li Lu" w:date="2024-04-23T11:41:34Z">
              <w:r>
                <w:rPr>
                  <w:rFonts w:cs="Arial"/>
                </w:rPr>
                <w:t>ACLR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6" w:author="ZTE, Li Lu" w:date="2024-04-23T11:41:34Z"/>
        </w:trPr>
        <w:tc>
          <w:tcPr>
            <w:tcW w:w="2835" w:type="dxa"/>
          </w:tcPr>
          <w:p>
            <w:pPr>
              <w:pStyle w:val="95"/>
              <w:rPr>
                <w:ins w:id="57" w:author="ZTE, Li Lu" w:date="2024-04-23T11:41:34Z"/>
                <w:rFonts w:cs="Arial"/>
              </w:rPr>
            </w:pPr>
            <w:ins w:id="58" w:author="ZTE, Li Lu" w:date="2024-04-23T11:41:34Z">
              <w:r>
                <w:rPr>
                  <w:rFonts w:cs="Arial"/>
                </w:rPr>
                <w:t>CA ACLR</w:t>
              </w:r>
            </w:ins>
          </w:p>
        </w:tc>
        <w:tc>
          <w:tcPr>
            <w:tcW w:w="5209" w:type="dxa"/>
          </w:tcPr>
          <w:p>
            <w:pPr>
              <w:pStyle w:val="95"/>
              <w:rPr>
                <w:ins w:id="59" w:author="ZTE, Li Lu" w:date="2024-04-23T11:41:34Z"/>
                <w:rFonts w:cs="Arial"/>
              </w:rPr>
            </w:pPr>
            <w:ins w:id="60" w:author="ZTE, Li Lu" w:date="2024-04-23T11:41:34Z">
              <w:r>
                <w:rPr>
                  <w:rFonts w:cs="Arial"/>
                </w:rPr>
                <w:t>3</w:t>
              </w:r>
            </w:ins>
            <w:ins w:id="61" w:author="ZTE, Li Lu" w:date="2024-04-23T11:41:37Z">
              <w:r>
                <w:rPr>
                  <w:rFonts w:hint="eastAsia" w:cs="Arial"/>
                  <w:lang w:val="en-US" w:eastAsia="zh-CN"/>
                </w:rPr>
                <w:t>1</w:t>
              </w:r>
            </w:ins>
            <w:ins w:id="62" w:author="ZTE, Li Lu" w:date="2024-04-23T11:41:34Z">
              <w:r>
                <w:rPr>
                  <w:rFonts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 w:author="ZTE, Li Lu" w:date="2024-04-23T11:41:34Z"/>
        </w:trPr>
        <w:tc>
          <w:tcPr>
            <w:tcW w:w="2835" w:type="dxa"/>
          </w:tcPr>
          <w:p>
            <w:pPr>
              <w:pStyle w:val="95"/>
              <w:rPr>
                <w:ins w:id="64" w:author="ZTE, Li Lu" w:date="2024-04-23T11:41:34Z"/>
                <w:rFonts w:cs="Arial"/>
              </w:rPr>
            </w:pPr>
            <w:ins w:id="65" w:author="ZTE, Li Lu" w:date="2024-04-23T11:41:34Z">
              <w:r>
                <w:rPr>
                  <w:rFonts w:cs="Arial"/>
                </w:rPr>
                <w:t>CA Measurement bandwidth for each sub block</w:t>
              </w:r>
            </w:ins>
          </w:p>
          <w:p>
            <w:pPr>
              <w:pStyle w:val="95"/>
              <w:rPr>
                <w:ins w:id="66" w:author="ZTE, Li Lu" w:date="2024-04-23T11:41:34Z"/>
                <w:rFonts w:cs="Arial"/>
              </w:rPr>
            </w:pPr>
            <w:ins w:id="67" w:author="ZTE, Li Lu" w:date="2024-04-23T11:41:34Z">
              <w:r>
                <w:rPr>
                  <w:rFonts w:cs="Arial"/>
                </w:rPr>
                <w:t>(NOTE 1)</w:t>
              </w:r>
            </w:ins>
          </w:p>
        </w:tc>
        <w:tc>
          <w:tcPr>
            <w:tcW w:w="5209" w:type="dxa"/>
          </w:tcPr>
          <w:p>
            <w:pPr>
              <w:pStyle w:val="95"/>
              <w:rPr>
                <w:ins w:id="68" w:author="ZTE, Li Lu" w:date="2024-04-23T11:41:34Z"/>
                <w:rFonts w:cs="Arial"/>
              </w:rPr>
            </w:pPr>
            <w:ins w:id="69" w:author="ZTE, Li Lu" w:date="2024-04-23T11:41:34Z">
              <w:r>
                <w:rPr>
                  <w:rFonts w:cs="Arial"/>
                  <w:lang w:eastAsia="zh-CN"/>
                </w:rPr>
                <w:t>MBW</w:t>
              </w:r>
            </w:ins>
            <w:ins w:id="70" w:author="ZTE, Li Lu" w:date="2024-04-23T11:41:34Z">
              <w:r>
                <w:rPr>
                  <w:rFonts w:cs="Arial"/>
                  <w:vertAlign w:val="subscript"/>
                  <w:lang w:eastAsia="zh-CN"/>
                </w:rPr>
                <w:t>ACLR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1" w:author="ZTE, Li Lu" w:date="2024-04-23T11:41:34Z"/>
        </w:trPr>
        <w:tc>
          <w:tcPr>
            <w:tcW w:w="2835" w:type="dxa"/>
          </w:tcPr>
          <w:p>
            <w:pPr>
              <w:pStyle w:val="95"/>
              <w:rPr>
                <w:ins w:id="72" w:author="ZTE, Li Lu" w:date="2024-04-23T11:41:34Z"/>
                <w:rFonts w:cs="Arial"/>
              </w:rPr>
            </w:pPr>
            <w:ins w:id="73" w:author="ZTE, Li Lu" w:date="2024-04-23T11:41:34Z">
              <w:r>
                <w:rPr>
                  <w:rFonts w:cs="Arial"/>
                </w:rPr>
                <w:t>Adjacent channel centre frequency offset (in MHz)</w:t>
              </w:r>
            </w:ins>
          </w:p>
        </w:tc>
        <w:tc>
          <w:tcPr>
            <w:tcW w:w="5209" w:type="dxa"/>
          </w:tcPr>
          <w:p>
            <w:pPr>
              <w:pStyle w:val="95"/>
              <w:rPr>
                <w:ins w:id="74" w:author="ZTE, Li Lu" w:date="2024-04-23T11:41:34Z"/>
                <w:rFonts w:cs="Arial"/>
              </w:rPr>
            </w:pPr>
            <w:ins w:id="75" w:author="ZTE, Li Lu" w:date="2024-04-23T11:41:34Z">
              <w:r>
                <w:rPr>
                  <w:rFonts w:cs="Arial"/>
                </w:rPr>
                <w:t>+ BW</w:t>
              </w:r>
            </w:ins>
            <w:ins w:id="76" w:author="ZTE, Li Lu" w:date="2024-04-23T11:41:34Z">
              <w:r>
                <w:rPr>
                  <w:rFonts w:cs="Arial"/>
                  <w:vertAlign w:val="subscript"/>
                </w:rPr>
                <w:t>Channel</w:t>
              </w:r>
            </w:ins>
          </w:p>
          <w:p>
            <w:pPr>
              <w:pStyle w:val="95"/>
              <w:rPr>
                <w:ins w:id="77" w:author="ZTE, Li Lu" w:date="2024-04-23T11:41:34Z"/>
                <w:rFonts w:cs="Arial"/>
              </w:rPr>
            </w:pPr>
            <w:ins w:id="78" w:author="ZTE, Li Lu" w:date="2024-04-23T11:41:34Z">
              <w:r>
                <w:rPr>
                  <w:rFonts w:cs="Arial"/>
                </w:rPr>
                <w:t>/</w:t>
              </w:r>
            </w:ins>
          </w:p>
          <w:p>
            <w:pPr>
              <w:pStyle w:val="95"/>
              <w:rPr>
                <w:ins w:id="79" w:author="ZTE, Li Lu" w:date="2024-04-23T11:41:34Z"/>
                <w:rFonts w:cs="Arial"/>
              </w:rPr>
            </w:pPr>
            <w:ins w:id="80" w:author="ZTE, Li Lu" w:date="2024-04-23T11:41:34Z">
              <w:r>
                <w:rPr>
                  <w:rFonts w:cs="Arial"/>
                </w:rPr>
                <w:t>- BW</w:t>
              </w:r>
            </w:ins>
            <w:ins w:id="81" w:author="ZTE, Li Lu" w:date="2024-04-23T11:41:34Z">
              <w:r>
                <w:rPr>
                  <w:rFonts w:cs="Arial"/>
                  <w:vertAlign w:val="subscript"/>
                </w:rPr>
                <w:t>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2" w:author="ZTE, Li Lu" w:date="2024-04-23T11:41:34Z"/>
        </w:trPr>
        <w:tc>
          <w:tcPr>
            <w:tcW w:w="8044" w:type="dxa"/>
            <w:gridSpan w:val="2"/>
            <w:vAlign w:val="center"/>
          </w:tcPr>
          <w:p>
            <w:pPr>
              <w:pStyle w:val="95"/>
              <w:jc w:val="left"/>
              <w:rPr>
                <w:ins w:id="83" w:author="ZTE, Li Lu" w:date="2024-04-23T11:41:34Z"/>
                <w:rFonts w:cs="Arial"/>
                <w:szCs w:val="18"/>
                <w:lang w:eastAsia="zh-CN"/>
              </w:rPr>
            </w:pPr>
            <w:ins w:id="84" w:author="ZTE, Li Lu" w:date="2024-04-23T11:41:34Z">
              <w:r>
                <w:rPr>
                  <w:rFonts w:hint="eastAsia" w:cs="Arial"/>
                  <w:szCs w:val="18"/>
                  <w:lang w:eastAsia="zh-CN"/>
                </w:rPr>
                <w:t xml:space="preserve">NOTE 1: </w:t>
              </w:r>
            </w:ins>
            <w:ins w:id="85" w:author="ZTE, Li Lu" w:date="2024-04-23T11:41:34Z">
              <w:r>
                <w:rPr>
                  <w:rFonts w:cs="Arial"/>
                  <w:lang w:eastAsia="zh-CN"/>
                </w:rPr>
                <w:t>MBW</w:t>
              </w:r>
            </w:ins>
            <w:ins w:id="86" w:author="ZTE, Li Lu" w:date="2024-04-23T11:41:34Z">
              <w:r>
                <w:rPr>
                  <w:rFonts w:cs="Arial"/>
                  <w:vertAlign w:val="subscript"/>
                  <w:lang w:eastAsia="zh-CN"/>
                </w:rPr>
                <w:t>ACLR</w:t>
              </w:r>
            </w:ins>
            <w:ins w:id="87" w:author="ZTE, Li Lu" w:date="2024-04-23T11:41:34Z">
              <w:r>
                <w:rPr>
                  <w:rFonts w:cs="Arial"/>
                  <w:szCs w:val="18"/>
                  <w:lang w:val="en-US" w:eastAsia="zh-CN"/>
                </w:rPr>
                <w:t xml:space="preserve"> is the single-channel ACLR measurement bandwidths specified in 6.5.2.4.1.</w:t>
              </w:r>
            </w:ins>
          </w:p>
        </w:tc>
      </w:tr>
    </w:tbl>
    <w:p>
      <w:pPr>
        <w:pStyle w:val="4"/>
        <w:ind w:left="0" w:firstLine="0"/>
        <w:rPr>
          <w:rFonts w:eastAsia="??"/>
          <w:color w:val="FF0000"/>
          <w:szCs w:val="32"/>
        </w:rPr>
      </w:pPr>
    </w:p>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Segoe Print"/>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4F930B9"/>
    <w:rsid w:val="068D1662"/>
    <w:rsid w:val="075F5709"/>
    <w:rsid w:val="082204C9"/>
    <w:rsid w:val="08604372"/>
    <w:rsid w:val="0C0F5551"/>
    <w:rsid w:val="0CC960C6"/>
    <w:rsid w:val="0EF32FEF"/>
    <w:rsid w:val="0F902772"/>
    <w:rsid w:val="10473422"/>
    <w:rsid w:val="107E4A2D"/>
    <w:rsid w:val="122D012F"/>
    <w:rsid w:val="16B84834"/>
    <w:rsid w:val="178E6BDA"/>
    <w:rsid w:val="187C287E"/>
    <w:rsid w:val="1C2B35C6"/>
    <w:rsid w:val="1CDC3C47"/>
    <w:rsid w:val="1FB541B8"/>
    <w:rsid w:val="222F54A5"/>
    <w:rsid w:val="23304FC0"/>
    <w:rsid w:val="24C72301"/>
    <w:rsid w:val="25585FF7"/>
    <w:rsid w:val="27606CD2"/>
    <w:rsid w:val="27B23589"/>
    <w:rsid w:val="27D22C23"/>
    <w:rsid w:val="2BA51071"/>
    <w:rsid w:val="2BFC5B91"/>
    <w:rsid w:val="2E31417B"/>
    <w:rsid w:val="2E615CCD"/>
    <w:rsid w:val="2F88414D"/>
    <w:rsid w:val="3099554A"/>
    <w:rsid w:val="317119AA"/>
    <w:rsid w:val="32504180"/>
    <w:rsid w:val="334D2CA1"/>
    <w:rsid w:val="3B7305C9"/>
    <w:rsid w:val="3C306A4A"/>
    <w:rsid w:val="3CAB109C"/>
    <w:rsid w:val="3E066C61"/>
    <w:rsid w:val="3FB1349B"/>
    <w:rsid w:val="415F71AC"/>
    <w:rsid w:val="44620134"/>
    <w:rsid w:val="4A4B0586"/>
    <w:rsid w:val="4A5516B8"/>
    <w:rsid w:val="4A737F34"/>
    <w:rsid w:val="4D0332CE"/>
    <w:rsid w:val="4E1359E8"/>
    <w:rsid w:val="4E193160"/>
    <w:rsid w:val="4FC116A9"/>
    <w:rsid w:val="50AA2519"/>
    <w:rsid w:val="510A221E"/>
    <w:rsid w:val="51F71823"/>
    <w:rsid w:val="538F2510"/>
    <w:rsid w:val="5694065E"/>
    <w:rsid w:val="5A1271BA"/>
    <w:rsid w:val="603C2666"/>
    <w:rsid w:val="62FB44AE"/>
    <w:rsid w:val="63091806"/>
    <w:rsid w:val="6BB75651"/>
    <w:rsid w:val="6C141EFD"/>
    <w:rsid w:val="6D7D0E20"/>
    <w:rsid w:val="6EAD5EEF"/>
    <w:rsid w:val="6EC05B95"/>
    <w:rsid w:val="738814D1"/>
    <w:rsid w:val="75562FCD"/>
    <w:rsid w:val="77262467"/>
    <w:rsid w:val="773D2B41"/>
    <w:rsid w:val="776942B0"/>
    <w:rsid w:val="7C0F4A7B"/>
    <w:rsid w:val="7C564EC2"/>
    <w:rsid w:val="7C9D4A3B"/>
    <w:rsid w:val="7EAA34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4</TotalTime>
  <ScaleCrop>false</ScaleCrop>
  <LinksUpToDate>false</LinksUpToDate>
  <CharactersWithSpaces>5511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 Li Lu</cp:lastModifiedBy>
  <cp:lastPrinted>1900-12-31T16:00:00Z</cp:lastPrinted>
  <dcterms:modified xsi:type="dcterms:W3CDTF">2024-05-23T07:22:06Z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2052-11.8.2.11718</vt:lpwstr>
  </property>
  <property fmtid="{D5CDD505-2E9C-101B-9397-08002B2CF9AE}" pid="22" name="ICV">
    <vt:lpwstr>CB6FD1A422F44DBE8C777AC2204220C7</vt:lpwstr>
  </property>
</Properties>
</file>