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w:t>
      </w:r>
      <w:r>
        <w:rPr>
          <w:b/>
          <w:i/>
          <w:sz w:val="28"/>
        </w:rPr>
        <w:fldChar w:fldCharType="end"/>
      </w:r>
      <w:r>
        <w:rPr>
          <w:rFonts w:hint="eastAsia" w:eastAsia="宋体"/>
          <w:b/>
          <w:i/>
          <w:sz w:val="28"/>
          <w:lang w:val="en-US" w:eastAsia="zh-CN"/>
        </w:rPr>
        <w:t>8269</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4460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[NR_redcap-Core] CR for the TCI state indication of R17 RedCap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NR_redcap-Core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bookmarkStart w:id="2" w:name="_GoBack"/>
            <w:bookmarkEnd w:id="2"/>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In 110 meeting, one CR R4-2403412 was approved to revise the MAC CE based TCI state switch delay and MAC CE based TCI state list update delay. Based on the revision, the description is more accurate and clear. Since the two procedures with same requirements are also applied to RedCap but in seperate chapters, so it is necessary to do the same revision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Repeat the same revisions approved for normal UE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8.10B.3, 8.10B.6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8.10B</w:t>
      </w:r>
      <w:r>
        <w:tab/>
      </w:r>
      <w:r>
        <w:t>Active TCI state switching delay for RedCap</w:t>
      </w:r>
    </w:p>
    <w:p>
      <w:pPr>
        <w:pStyle w:val="4"/>
      </w:pPr>
      <w:r>
        <w:t>8.10B.3</w:t>
      </w:r>
      <w:r>
        <w:tab/>
      </w:r>
      <w:r>
        <w:t>MAC-CE based TCI state switch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0" w:author="ZTE" w:date="2024-05-13T11:15:57Z">
        <w:r>
          <w:rPr>
            <w:lang w:eastAsia="ko-KR"/>
          </w:rPr>
          <w:t>for indication of UE-specific PDCCH TCI state</w:t>
        </w:r>
      </w:ins>
      <w:ins w:id="1" w:author="ZTE" w:date="2024-05-13T11:15:57Z">
        <w:r>
          <w:rPr>
            <w:rFonts w:eastAsia="Malgun Gothic"/>
            <w:lang w:val="en-US" w:eastAsia="zh-CN"/>
          </w:rPr>
          <w:t xml:space="preserve"> as defined in clause </w:t>
        </w:r>
      </w:ins>
      <w:ins w:id="2" w:author="ZTE" w:date="2024-05-13T11:15:57Z">
        <w:r>
          <w:rPr>
            <w:lang w:eastAsia="ko-KR"/>
          </w:rPr>
          <w:t>6.1.3.15 of TS 38.321 [7]</w:t>
        </w:r>
      </w:ins>
      <w:del w:id="3" w:author="ZTE" w:date="2024-05-13T11:15:57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p>
    <w:p>
      <w:pPr>
        <w:pStyle w:val="75"/>
      </w:pPr>
      <w:r>
        <w:t>-</w:t>
      </w:r>
      <w:r>
        <w:tab/>
      </w:r>
      <w:r>
        <w:t>T</w:t>
      </w:r>
      <w:r>
        <w:rPr>
          <w:vertAlign w:val="subscript"/>
        </w:rPr>
        <w:t xml:space="preserve">first-SSB </w:t>
      </w:r>
      <w:r>
        <w:t>is time to first SSB transmission after MAC CE command is decoded by the UE; The SSB shall be the QCL-TypeA or QCL-TypeC to target TCI state</w:t>
      </w:r>
    </w:p>
    <w:p>
      <w:pPr>
        <w:pStyle w:val="75"/>
      </w:pPr>
      <w:r>
        <w:t>-</w:t>
      </w:r>
      <w:r>
        <w:tab/>
      </w:r>
      <w:r>
        <w:t>T</w:t>
      </w:r>
      <w:r>
        <w:rPr>
          <w:vertAlign w:val="subscript"/>
        </w:rPr>
        <w:t xml:space="preserve">SSB-proc </w:t>
      </w:r>
      <w:r>
        <w:t xml:space="preserve">= 2 ms; </w:t>
      </w:r>
    </w:p>
    <w:p>
      <w:pPr>
        <w:pStyle w:val="75"/>
      </w:pPr>
      <w:r>
        <w:t>-</w:t>
      </w:r>
      <w:r>
        <w:tab/>
      </w:r>
      <w:r>
        <w:t>TO</w:t>
      </w:r>
      <w:r>
        <w:rPr>
          <w:vertAlign w:val="subscript"/>
        </w:rPr>
        <w:t>k</w:t>
      </w:r>
      <w:r>
        <w:t xml:space="preserve"> = 1 if target TCI state is not in the active TCI state list for PDSCH, 0 otherwise.</w:t>
      </w:r>
    </w:p>
    <w:p>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ins w:id="4" w:author="ZTE" w:date="2024-05-13T11:16:53Z">
        <w:r>
          <w:rPr>
            <w:lang w:eastAsia="ko-KR"/>
          </w:rPr>
          <w:t>for indication of UE-specific PDCCH TCI state</w:t>
        </w:r>
      </w:ins>
      <w:ins w:id="5" w:author="ZTE" w:date="2024-05-13T11:16:53Z">
        <w:r>
          <w:rPr>
            <w:rFonts w:eastAsia="Malgun Gothic"/>
            <w:lang w:val="en-US" w:eastAsia="zh-CN"/>
          </w:rPr>
          <w:t xml:space="preserve"> as defined in clause </w:t>
        </w:r>
      </w:ins>
      <w:ins w:id="6" w:author="ZTE" w:date="2024-05-13T11:16:53Z">
        <w:r>
          <w:rPr>
            <w:lang w:eastAsia="ko-KR"/>
          </w:rPr>
          <w:t>6.1.3.15 of TS 38.321 [7]</w:t>
        </w:r>
      </w:ins>
      <w:del w:id="7" w:author="ZTE" w:date="2024-05-13T11:16:53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t>
      </w:r>
    </w:p>
    <w:p>
      <w:r>
        <w:t xml:space="preserve">Where </w:t>
      </w:r>
    </w:p>
    <w:p>
      <w:pPr>
        <w:pStyle w:val="75"/>
      </w:pPr>
      <w:r>
        <w:t>-</w:t>
      </w:r>
      <w:r>
        <w:tab/>
      </w:r>
      <w:r>
        <w:t>T</w:t>
      </w:r>
      <w:r>
        <w:rPr>
          <w:vertAlign w:val="subscript"/>
        </w:rPr>
        <w:t xml:space="preserve"> L1-RSRP </w:t>
      </w:r>
      <w:r>
        <w:t xml:space="preserve">= 0 in FR1 or when the TCI state switching not involving QCL-TypeD in FR2. Otherwise, </w:t>
      </w:r>
    </w:p>
    <w:p>
      <w:pPr>
        <w:pStyle w:val="75"/>
      </w:pPr>
      <w:r>
        <w:t>-</w:t>
      </w:r>
      <w:r>
        <w:tab/>
      </w:r>
      <w:r>
        <w:t>T</w:t>
      </w:r>
      <w:r>
        <w:rPr>
          <w:vertAlign w:val="subscript"/>
        </w:rPr>
        <w:t xml:space="preserve"> L1-RSRP</w:t>
      </w:r>
      <w:r>
        <w:t xml:space="preserve"> is the time for Rx beam refinement in FR2, defined as</w:t>
      </w:r>
    </w:p>
    <w:p>
      <w:pPr>
        <w:pStyle w:val="75"/>
      </w:pPr>
      <w:r>
        <w:t>-</w:t>
      </w:r>
      <w:r>
        <w:tab/>
      </w:r>
      <w:r>
        <w:t>T</w:t>
      </w:r>
      <w:r>
        <w:rPr>
          <w:vertAlign w:val="subscript"/>
        </w:rPr>
        <w:t>L1-RSPR_Measurement_Period_SSB_RedCap</w:t>
      </w:r>
      <w:r>
        <w:t xml:space="preserve"> for SSB as specified in </w:t>
      </w:r>
      <w:r>
        <w:rPr>
          <w:lang w:eastAsia="ko-KR"/>
        </w:rPr>
        <w:t>clause</w:t>
      </w:r>
      <w:r>
        <w:t xml:space="preserve"> 9.5B.4.1, </w:t>
      </w:r>
    </w:p>
    <w:p>
      <w:pPr>
        <w:pStyle w:val="76"/>
      </w:pPr>
      <w:r>
        <w:t>-</w:t>
      </w:r>
      <w:r>
        <w:tab/>
      </w:r>
      <w:r>
        <w:t>with the assumption of M=1</w:t>
      </w:r>
    </w:p>
    <w:p>
      <w:pPr>
        <w:pStyle w:val="76"/>
      </w:pPr>
      <w:r>
        <w:t>-</w:t>
      </w:r>
      <w:r>
        <w:tab/>
      </w:r>
      <w:r>
        <w:t>with T</w:t>
      </w:r>
      <w:r>
        <w:rPr>
          <w:vertAlign w:val="subscript"/>
        </w:rPr>
        <w:t>Report</w:t>
      </w:r>
      <w:r>
        <w:t xml:space="preserve"> = 0</w:t>
      </w:r>
    </w:p>
    <w:p>
      <w:pPr>
        <w:pStyle w:val="75"/>
      </w:pPr>
      <w:r>
        <w:t>-</w:t>
      </w:r>
      <w:r>
        <w:tab/>
      </w:r>
      <w:r>
        <w:t>T</w:t>
      </w:r>
      <w:r>
        <w:rPr>
          <w:vertAlign w:val="subscript"/>
        </w:rPr>
        <w:t xml:space="preserve">L1-RSRP_Measurement_Period_CSI-RS_RedCap </w:t>
      </w:r>
      <w:r>
        <w:t xml:space="preserve">for CSI-RS as specified in </w:t>
      </w:r>
      <w:r>
        <w:rPr>
          <w:lang w:eastAsia="ko-KR"/>
        </w:rPr>
        <w:t>clause</w:t>
      </w:r>
      <w:r>
        <w:t xml:space="preserve"> 9.5B.4.2</w:t>
      </w:r>
    </w:p>
    <w:p>
      <w:pPr>
        <w:pStyle w:val="76"/>
      </w:pPr>
      <w:r>
        <w:t>-</w:t>
      </w:r>
      <w:r>
        <w:tab/>
      </w:r>
      <w:r>
        <w:t xml:space="preserve">configured with higher layer parameter </w:t>
      </w:r>
      <w:r>
        <w:rPr>
          <w:i/>
        </w:rPr>
        <w:t>repetition</w:t>
      </w:r>
      <w:r>
        <w:t xml:space="preserve"> set to ON </w:t>
      </w:r>
    </w:p>
    <w:p>
      <w:pPr>
        <w:pStyle w:val="76"/>
      </w:pPr>
      <w:r>
        <w:t>-</w:t>
      </w:r>
      <w:r>
        <w:tab/>
      </w:r>
      <w:r>
        <w:t>with the assumption of M=1 for periodic CSI-RS</w:t>
      </w:r>
    </w:p>
    <w:p>
      <w:pPr>
        <w:pStyle w:val="76"/>
        <w:rPr>
          <w:i/>
        </w:rPr>
      </w:pPr>
      <w:r>
        <w:t>-</w:t>
      </w:r>
      <w:r>
        <w:tab/>
      </w:r>
      <w:r>
        <w:t xml:space="preserve">for aperiodic CSI-RS if number of resources in resource set at least equal to </w:t>
      </w:r>
      <w:r>
        <w:rPr>
          <w:i/>
        </w:rPr>
        <w:t>MaxNumberRxBeam</w:t>
      </w:r>
    </w:p>
    <w:p>
      <w:pPr>
        <w:pStyle w:val="76"/>
      </w:pPr>
      <w:r>
        <w:t>-</w:t>
      </w:r>
      <w:r>
        <w:tab/>
      </w:r>
      <w:r>
        <w:t>with T</w:t>
      </w:r>
      <w:r>
        <w:rPr>
          <w:vertAlign w:val="subscript"/>
        </w:rPr>
        <w:t>Report</w:t>
      </w:r>
      <w:r>
        <w:t xml:space="preserve"> = 0</w:t>
      </w:r>
    </w:p>
    <w:p>
      <w:pPr>
        <w:pStyle w:val="76"/>
      </w:pPr>
      <w:r>
        <w:t>-</w:t>
      </w:r>
      <w:r>
        <w:tab/>
      </w:r>
      <w:r>
        <w:t>TO</w:t>
      </w:r>
      <w:r>
        <w:rPr>
          <w:vertAlign w:val="subscript"/>
        </w:rPr>
        <w:t>uk</w:t>
      </w:r>
      <w:r>
        <w:t xml:space="preserve"> = 1 for CSI-RS based L1-RSRP measurement, and 0 for SSB based L1-RSRP measurement when TCI state switching involves QCL-TypeD</w:t>
      </w:r>
    </w:p>
    <w:p>
      <w:pPr>
        <w:pStyle w:val="76"/>
      </w:pPr>
      <w:r>
        <w:t>-</w:t>
      </w:r>
      <w:r>
        <w:tab/>
      </w:r>
      <w:r>
        <w:t>TO</w:t>
      </w:r>
      <w:r>
        <w:rPr>
          <w:vertAlign w:val="subscript"/>
        </w:rPr>
        <w:t>uk</w:t>
      </w:r>
      <w:r>
        <w:t xml:space="preserve"> = 1 when TCI state switching involves other QCL types</w:t>
      </w:r>
      <w:r>
        <w:rPr>
          <w:rFonts w:hint="eastAsia"/>
        </w:rPr>
        <w:t xml:space="preserve"> only</w:t>
      </w:r>
    </w:p>
    <w:p>
      <w:pPr>
        <w:pStyle w:val="76"/>
      </w:pPr>
      <w:r>
        <w:t>-</w:t>
      </w:r>
      <w:r>
        <w:tab/>
      </w:r>
      <w:r>
        <w:t>T</w:t>
      </w:r>
      <w:r>
        <w:rPr>
          <w:vertAlign w:val="subscript"/>
        </w:rPr>
        <w:t xml:space="preserve">first-SSB </w:t>
      </w:r>
      <w:r>
        <w:t xml:space="preserve">is time to first SSB transmission after L1-RSRP measurement when TCI state switching involves QCL-TypeD; </w:t>
      </w:r>
    </w:p>
    <w:p>
      <w:pPr>
        <w:pStyle w:val="76"/>
      </w:pPr>
      <w:r>
        <w:t>-</w:t>
      </w:r>
      <w:r>
        <w:tab/>
      </w:r>
      <w:r>
        <w:t>T</w:t>
      </w:r>
      <w:r>
        <w:rPr>
          <w:vertAlign w:val="subscript"/>
        </w:rPr>
        <w:t xml:space="preserve">first-SSB </w:t>
      </w:r>
      <w:r>
        <w:t>is time to first SSB transmission after MAC CE command is decoded by the UE for other QCL types;</w:t>
      </w:r>
    </w:p>
    <w:p>
      <w:pPr>
        <w:rPr>
          <w:rFonts w:hint="eastAsia"/>
          <w:lang w:eastAsia="zh-CN"/>
        </w:rPr>
      </w:pPr>
      <w:r>
        <w:t>-</w:t>
      </w:r>
      <w:r>
        <w:tab/>
      </w:r>
      <w:r>
        <w:t xml:space="preserve">The SSB shall be the QCL-TypeA or QCL-TypeC to target TCI state </w:t>
      </w:r>
    </w:p>
    <w:p>
      <w:pPr>
        <w:pStyle w:val="2"/>
        <w:pBdr>
          <w:top w:val="none" w:color="auto" w:sz="0" w:space="0"/>
        </w:pBdr>
        <w:jc w:val="center"/>
        <w:rPr>
          <w:color w:val="FF0000"/>
          <w:lang w:eastAsia="zh-CN"/>
        </w:rPr>
      </w:pPr>
      <w:bookmarkStart w:id="1" w:name="OLE_LINK1"/>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bookmarkEnd w:id="1"/>
    <w:p>
      <w:pPr>
        <w:rPr>
          <w:rFonts w:hint="default" w:eastAsia="宋体"/>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8.10B.6</w:t>
      </w:r>
      <w:r>
        <w:tab/>
      </w:r>
      <w:r>
        <w:t>Active TCI state list update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8" w:author="ZTE" w:date="2024-05-13T11:18:29Z">
        <w:r>
          <w:rPr>
            <w:rFonts w:eastAsia="Malgun Gothic"/>
            <w:lang w:val="en-US" w:eastAsia="zh-CN"/>
          </w:rPr>
          <w:t xml:space="preserve">for activation/deactivation of UE-specific PDSCH TCI state as defined in clause </w:t>
        </w:r>
      </w:ins>
      <w:ins w:id="9" w:author="ZTE" w:date="2024-05-13T11:18:29Z">
        <w:r>
          <w:rPr>
            <w:lang w:eastAsia="ko-KR"/>
          </w:rPr>
          <w:t>6.1.3.14 of TS 38.321 [7]</w:t>
        </w:r>
      </w:ins>
      <w:del w:id="10" w:author="ZTE" w:date="2024-05-13T11:18:29Z">
        <w:r>
          <w:rPr>
            <w:rFonts w:eastAsia="Malgun Gothic"/>
          </w:rPr>
          <w:delText>active TCI state list update</w:delText>
        </w:r>
      </w:del>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8.10.3.</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8FA69A6"/>
    <w:rsid w:val="0DF61D42"/>
    <w:rsid w:val="0EB9334C"/>
    <w:rsid w:val="17386BD9"/>
    <w:rsid w:val="18131D1F"/>
    <w:rsid w:val="1DE01D73"/>
    <w:rsid w:val="203C17F2"/>
    <w:rsid w:val="25641766"/>
    <w:rsid w:val="27567996"/>
    <w:rsid w:val="33334BF1"/>
    <w:rsid w:val="35D863F5"/>
    <w:rsid w:val="35FA4AC4"/>
    <w:rsid w:val="4C742A69"/>
    <w:rsid w:val="51DE4FE3"/>
    <w:rsid w:val="52E876C0"/>
    <w:rsid w:val="553A7E63"/>
    <w:rsid w:val="56110F69"/>
    <w:rsid w:val="59F927C1"/>
    <w:rsid w:val="5D29734F"/>
    <w:rsid w:val="68151A59"/>
    <w:rsid w:val="69DD23A3"/>
    <w:rsid w:val="6BFB3534"/>
    <w:rsid w:val="6F3742B2"/>
    <w:rsid w:val="70FA1198"/>
    <w:rsid w:val="713E68F1"/>
    <w:rsid w:val="71A96A6F"/>
    <w:rsid w:val="73CD5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2024-05-28T03:23:52Z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