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01C28F27"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7D43C2">
        <w:rPr>
          <w:rFonts w:ascii="Arial" w:hAnsi="Arial" w:cs="Arial"/>
          <w:b/>
          <w:kern w:val="2"/>
          <w:sz w:val="24"/>
          <w:szCs w:val="24"/>
          <w:lang w:eastAsia="zh-CN"/>
        </w:rPr>
        <w:t>10</w:t>
      </w:r>
      <w:r w:rsidR="00670341">
        <w:rPr>
          <w:rFonts w:ascii="Arial" w:hAnsi="Arial" w:cs="Arial"/>
          <w:b/>
          <w:kern w:val="2"/>
          <w:sz w:val="24"/>
          <w:szCs w:val="24"/>
          <w:lang w:eastAsia="zh-CN"/>
        </w:rPr>
        <w:t>4</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670341">
        <w:rPr>
          <w:rFonts w:ascii="Arial" w:hAnsi="Arial" w:cs="Arial"/>
          <w:b/>
          <w:kern w:val="2"/>
          <w:sz w:val="24"/>
          <w:szCs w:val="24"/>
          <w:lang w:eastAsia="zh-CN"/>
        </w:rPr>
        <w:tab/>
      </w:r>
      <w:r w:rsidR="005C1221">
        <w:rPr>
          <w:rFonts w:ascii="Arial" w:hAnsi="Arial" w:cs="Arial"/>
          <w:b/>
          <w:kern w:val="2"/>
          <w:sz w:val="24"/>
          <w:szCs w:val="24"/>
          <w:lang w:eastAsia="zh-CN"/>
        </w:rPr>
        <w:tab/>
      </w:r>
      <w:r w:rsidR="00F9767A" w:rsidRPr="00F9767A">
        <w:rPr>
          <w:rFonts w:ascii="Arial" w:hAnsi="Arial" w:cs="Arial"/>
          <w:b/>
          <w:kern w:val="2"/>
          <w:sz w:val="24"/>
          <w:szCs w:val="24"/>
          <w:lang w:eastAsia="zh-CN"/>
        </w:rPr>
        <w:t>RP-</w:t>
      </w:r>
      <w:r w:rsidR="007D43C2" w:rsidRPr="00F9767A">
        <w:rPr>
          <w:rFonts w:ascii="Arial" w:hAnsi="Arial" w:cs="Arial"/>
          <w:b/>
          <w:kern w:val="2"/>
          <w:sz w:val="24"/>
          <w:szCs w:val="24"/>
          <w:lang w:eastAsia="zh-CN"/>
        </w:rPr>
        <w:t>2</w:t>
      </w:r>
      <w:r w:rsidR="00670341">
        <w:rPr>
          <w:rFonts w:ascii="Arial" w:hAnsi="Arial" w:cs="Arial"/>
          <w:b/>
          <w:kern w:val="2"/>
          <w:sz w:val="24"/>
          <w:szCs w:val="24"/>
          <w:lang w:eastAsia="zh-CN"/>
        </w:rPr>
        <w:t>4</w:t>
      </w:r>
      <w:r w:rsidR="0017162B">
        <w:rPr>
          <w:rFonts w:ascii="Arial" w:hAnsi="Arial" w:cs="Arial"/>
          <w:b/>
          <w:kern w:val="2"/>
          <w:sz w:val="24"/>
          <w:szCs w:val="24"/>
          <w:lang w:eastAsia="zh-CN"/>
        </w:rPr>
        <w:t>1330</w:t>
      </w:r>
    </w:p>
    <w:p w14:paraId="0E0AA466" w14:textId="1613CEE5" w:rsidR="005C1221" w:rsidRPr="004D606B" w:rsidRDefault="00670341" w:rsidP="00C27C45">
      <w:pPr>
        <w:jc w:val="left"/>
        <w:rPr>
          <w:b/>
        </w:rPr>
      </w:pPr>
      <w:r>
        <w:rPr>
          <w:rFonts w:ascii="Arial" w:hAnsi="Arial"/>
          <w:b/>
          <w:sz w:val="24"/>
        </w:rPr>
        <w:t>Shanghai, China, 17-20 June,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ADE40FC"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A2F1D" w:rsidRPr="001A2F1D">
        <w:rPr>
          <w:b/>
          <w:kern w:val="2"/>
          <w:lang w:eastAsia="zh-CN"/>
        </w:rPr>
        <w:t>9.</w:t>
      </w:r>
      <w:r w:rsidR="00E1603D">
        <w:rPr>
          <w:b/>
          <w:kern w:val="2"/>
          <w:lang w:eastAsia="zh-CN"/>
        </w:rPr>
        <w:t>2.2</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7D3E4436"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E3BEC">
        <w:rPr>
          <w:b/>
          <w:kern w:val="2"/>
          <w:lang w:eastAsia="zh-CN"/>
        </w:rPr>
        <w:t xml:space="preserve">Rel-19 </w:t>
      </w:r>
      <w:r w:rsidR="00E1603D">
        <w:rPr>
          <w:b/>
          <w:kern w:val="2"/>
          <w:lang w:eastAsia="zh-CN"/>
        </w:rPr>
        <w:t xml:space="preserve">Ambient IoT SI </w:t>
      </w:r>
      <w:r w:rsidR="0098766A">
        <w:rPr>
          <w:b/>
          <w:kern w:val="2"/>
          <w:lang w:eastAsia="zh-CN"/>
        </w:rPr>
        <w:t>workplan management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431FE8C6" w14:textId="77777777" w:rsidR="008E62F9" w:rsidRDefault="009D459C" w:rsidP="009D459C">
      <w:pPr>
        <w:rPr>
          <w:rFonts w:eastAsiaTheme="minorEastAsia"/>
          <w:lang w:eastAsia="zh-CN"/>
        </w:rPr>
      </w:pPr>
      <w:bookmarkStart w:id="2" w:name="_Ref129681832"/>
      <w:r>
        <w:rPr>
          <w:rFonts w:eastAsiaTheme="minorEastAsia"/>
          <w:lang w:eastAsia="zh-CN"/>
        </w:rPr>
        <w:t xml:space="preserve">Progress of the </w:t>
      </w:r>
      <w:r w:rsidR="00406988">
        <w:rPr>
          <w:rFonts w:eastAsiaTheme="minorEastAsia"/>
          <w:lang w:eastAsia="zh-CN"/>
        </w:rPr>
        <w:t xml:space="preserve">Rel-19 </w:t>
      </w:r>
      <w:r>
        <w:rPr>
          <w:rFonts w:eastAsiaTheme="minorEastAsia"/>
          <w:lang w:eastAsia="zh-CN"/>
        </w:rPr>
        <w:t>Ambient IoT SI has been generally as expected at this stage.</w:t>
      </w:r>
    </w:p>
    <w:p w14:paraId="10C67F76" w14:textId="3771A551" w:rsidR="009D459C" w:rsidRDefault="009D459C" w:rsidP="009D459C">
      <w:pPr>
        <w:rPr>
          <w:rFonts w:eastAsiaTheme="minorEastAsia"/>
          <w:lang w:eastAsia="zh-CN"/>
        </w:rPr>
      </w:pPr>
      <w:r>
        <w:rPr>
          <w:rFonts w:eastAsiaTheme="minorEastAsia"/>
          <w:lang w:eastAsia="zh-CN"/>
        </w:rPr>
        <w:t xml:space="preserve">However, </w:t>
      </w:r>
      <w:r w:rsidR="008E62F9">
        <w:rPr>
          <w:rFonts w:eastAsiaTheme="minorEastAsia"/>
          <w:lang w:eastAsia="zh-CN"/>
        </w:rPr>
        <w:t xml:space="preserve">in RAN1, </w:t>
      </w:r>
      <w:r>
        <w:rPr>
          <w:rFonts w:eastAsiaTheme="minorEastAsia"/>
          <w:lang w:eastAsia="zh-CN"/>
        </w:rPr>
        <w:t>we have observed uncertainty among companies</w:t>
      </w:r>
      <w:r w:rsidR="004F427A">
        <w:rPr>
          <w:rFonts w:eastAsiaTheme="minorEastAsia"/>
          <w:lang w:eastAsia="zh-CN"/>
        </w:rPr>
        <w:t>,</w:t>
      </w:r>
      <w:r>
        <w:rPr>
          <w:rFonts w:eastAsiaTheme="minorEastAsia"/>
          <w:lang w:eastAsia="zh-CN"/>
        </w:rPr>
        <w:t xml:space="preserve"> and RAN1 Feature Leads</w:t>
      </w:r>
      <w:r w:rsidR="004F427A">
        <w:rPr>
          <w:rFonts w:eastAsiaTheme="minorEastAsia"/>
          <w:lang w:eastAsia="zh-CN"/>
        </w:rPr>
        <w:t>,</w:t>
      </w:r>
      <w:r>
        <w:rPr>
          <w:rFonts w:eastAsiaTheme="minorEastAsia"/>
          <w:lang w:eastAsia="zh-CN"/>
        </w:rPr>
        <w:t xml:space="preserve"> on what should be done for the remaining time of the SI on (i) device architectures and (ii) carrier-wave waveform characteristics.</w:t>
      </w:r>
    </w:p>
    <w:p w14:paraId="592F31CA" w14:textId="5C98703A" w:rsidR="002B7267" w:rsidRPr="009D459C" w:rsidRDefault="009D459C" w:rsidP="002B7267">
      <w:pPr>
        <w:rPr>
          <w:lang w:val="en-GB" w:eastAsia="zh-CN"/>
        </w:rPr>
      </w:pPr>
      <w:r>
        <w:rPr>
          <w:rFonts w:eastAsiaTheme="minorEastAsia"/>
          <w:lang w:eastAsia="zh-CN"/>
        </w:rPr>
        <w:t>Since the rapporteurs’ workplan [1] calls for those two objectives to finish their RAN1 work in August (RAN1#118),</w:t>
      </w:r>
      <w:r w:rsidR="00076DA7">
        <w:rPr>
          <w:rFonts w:eastAsiaTheme="minorEastAsia"/>
          <w:lang w:eastAsia="zh-CN"/>
        </w:rPr>
        <w:t xml:space="preserve"> we believe</w:t>
      </w:r>
      <w:r>
        <w:rPr>
          <w:rFonts w:eastAsiaTheme="minorEastAsia"/>
          <w:lang w:eastAsia="zh-CN"/>
        </w:rPr>
        <w:t xml:space="preserve"> it is timely for RAN to provide guidance to make efficient use of companies’ efforts</w:t>
      </w:r>
      <w:r w:rsidR="0047249C">
        <w:rPr>
          <w:lang w:val="en-GB" w:eastAsia="zh-CN"/>
        </w:rPr>
        <w:t xml:space="preserve"> in Q3</w:t>
      </w:r>
      <w:r w:rsidR="004F427A">
        <w:rPr>
          <w:lang w:val="en-GB" w:eastAsia="zh-CN"/>
        </w:rPr>
        <w:noBreakHyphen/>
      </w:r>
      <w:r w:rsidR="0047249C">
        <w:rPr>
          <w:lang w:val="en-GB" w:eastAsia="zh-CN"/>
        </w:rPr>
        <w:t>2024</w:t>
      </w:r>
      <w:r w:rsidR="004F427A">
        <w:rPr>
          <w:lang w:val="en-GB" w:eastAsia="zh-CN"/>
        </w:rPr>
        <w:t xml:space="preserve">, and </w:t>
      </w:r>
      <w:r w:rsidR="004F427A">
        <w:rPr>
          <w:rFonts w:eastAsiaTheme="minorEastAsia"/>
          <w:lang w:eastAsia="zh-CN"/>
        </w:rPr>
        <w:t>properly manage the SI progress</w:t>
      </w:r>
      <w:r w:rsidR="0047249C">
        <w:rPr>
          <w:lang w:val="en-GB" w:eastAsia="zh-CN"/>
        </w:rPr>
        <w:t>.</w:t>
      </w:r>
    </w:p>
    <w:p w14:paraId="0295F9A3" w14:textId="74ACDF65" w:rsidR="002B7267" w:rsidRPr="00E4139F" w:rsidRDefault="00203874" w:rsidP="002B7267">
      <w:pPr>
        <w:pStyle w:val="Heading1"/>
        <w:rPr>
          <w:lang w:eastAsia="zh-CN"/>
        </w:rPr>
      </w:pPr>
      <w:r>
        <w:rPr>
          <w:lang w:eastAsia="zh-CN"/>
        </w:rPr>
        <w:t xml:space="preserve">Ambient IoT </w:t>
      </w:r>
      <w:r w:rsidR="00530D40">
        <w:rPr>
          <w:lang w:eastAsia="zh-CN"/>
        </w:rPr>
        <w:t>SI w</w:t>
      </w:r>
      <w:r w:rsidR="00A54342">
        <w:rPr>
          <w:lang w:eastAsia="zh-CN"/>
        </w:rPr>
        <w:t>orkplan management</w:t>
      </w:r>
    </w:p>
    <w:p w14:paraId="079EC469" w14:textId="0DD22044" w:rsidR="00C22210" w:rsidRDefault="00851D09" w:rsidP="000B0BBE">
      <w:pPr>
        <w:rPr>
          <w:lang w:eastAsia="zh-CN"/>
        </w:rPr>
      </w:pPr>
      <w:r>
        <w:rPr>
          <w:lang w:eastAsia="zh-CN"/>
        </w:rPr>
        <w:t>In RAN1, the</w:t>
      </w:r>
      <w:r w:rsidR="00C25876">
        <w:rPr>
          <w:lang w:eastAsia="zh-CN"/>
        </w:rPr>
        <w:t xml:space="preserve"> </w:t>
      </w:r>
      <w:r w:rsidR="009D459C">
        <w:rPr>
          <w:lang w:eastAsia="zh-CN"/>
        </w:rPr>
        <w:t xml:space="preserve">Ambient IoT </w:t>
      </w:r>
      <w:r w:rsidR="00C25876">
        <w:rPr>
          <w:lang w:eastAsia="zh-CN"/>
        </w:rPr>
        <w:t xml:space="preserve">SI is </w:t>
      </w:r>
      <w:r>
        <w:rPr>
          <w:lang w:eastAsia="zh-CN"/>
        </w:rPr>
        <w:t>functionally</w:t>
      </w:r>
      <w:r w:rsidR="00C25876">
        <w:rPr>
          <w:lang w:eastAsia="zh-CN"/>
        </w:rPr>
        <w:t xml:space="preserve"> divided into </w:t>
      </w:r>
      <w:r w:rsidR="00C77A7E">
        <w:rPr>
          <w:lang w:eastAsia="zh-CN"/>
        </w:rPr>
        <w:t>4</w:t>
      </w:r>
      <w:r w:rsidR="00C25876">
        <w:rPr>
          <w:lang w:eastAsia="zh-CN"/>
        </w:rPr>
        <w:t xml:space="preserve"> parts</w:t>
      </w:r>
      <w:r w:rsidR="004F427A">
        <w:rPr>
          <w:lang w:eastAsia="zh-CN"/>
        </w:rPr>
        <w:t>, which collect the objectives of the SID</w:t>
      </w:r>
      <w:r w:rsidR="00C25876">
        <w:rPr>
          <w:lang w:eastAsia="zh-CN"/>
        </w:rPr>
        <w:t>:</w:t>
      </w:r>
    </w:p>
    <w:p w14:paraId="53426D97" w14:textId="241EDDE9" w:rsidR="00C25876" w:rsidRDefault="00C25876" w:rsidP="00C25876">
      <w:pPr>
        <w:pStyle w:val="ListParagraph"/>
        <w:numPr>
          <w:ilvl w:val="0"/>
          <w:numId w:val="25"/>
        </w:numPr>
        <w:ind w:firstLineChars="0"/>
        <w:rPr>
          <w:lang w:eastAsia="ko-KR"/>
        </w:rPr>
      </w:pPr>
      <w:r>
        <w:rPr>
          <w:lang w:eastAsia="ko-KR"/>
        </w:rPr>
        <w:t>Evaluation</w:t>
      </w:r>
      <w:r w:rsidR="00C77A7E">
        <w:rPr>
          <w:lang w:eastAsia="ko-KR"/>
        </w:rPr>
        <w:t xml:space="preserve"> assumptions</w:t>
      </w:r>
    </w:p>
    <w:p w14:paraId="4F33F295" w14:textId="7CA5BE27" w:rsidR="00C77A7E" w:rsidRDefault="00C77A7E" w:rsidP="00C25876">
      <w:pPr>
        <w:pStyle w:val="ListParagraph"/>
        <w:numPr>
          <w:ilvl w:val="0"/>
          <w:numId w:val="25"/>
        </w:numPr>
        <w:ind w:firstLineChars="0"/>
        <w:rPr>
          <w:lang w:eastAsia="ko-KR"/>
        </w:rPr>
      </w:pPr>
      <w:r>
        <w:rPr>
          <w:lang w:eastAsia="ko-KR"/>
        </w:rPr>
        <w:t>Device architectures</w:t>
      </w:r>
    </w:p>
    <w:p w14:paraId="7CA9BF8A" w14:textId="7CD5786F" w:rsidR="00C25876" w:rsidRDefault="00C25876" w:rsidP="00C25876">
      <w:pPr>
        <w:pStyle w:val="ListParagraph"/>
        <w:numPr>
          <w:ilvl w:val="0"/>
          <w:numId w:val="25"/>
        </w:numPr>
        <w:ind w:firstLineChars="0"/>
        <w:rPr>
          <w:lang w:eastAsia="ko-KR"/>
        </w:rPr>
      </w:pPr>
      <w:r>
        <w:rPr>
          <w:lang w:eastAsia="ko-KR"/>
        </w:rPr>
        <w:t xml:space="preserve">Solutions, </w:t>
      </w:r>
      <w:proofErr w:type="gramStart"/>
      <w:r>
        <w:rPr>
          <w:lang w:eastAsia="ko-KR"/>
        </w:rPr>
        <w:t>i.e.</w:t>
      </w:r>
      <w:proofErr w:type="gramEnd"/>
      <w:r>
        <w:rPr>
          <w:lang w:eastAsia="ko-KR"/>
        </w:rPr>
        <w:t xml:space="preserve"> design</w:t>
      </w:r>
      <w:r w:rsidR="005738FD">
        <w:rPr>
          <w:lang w:eastAsia="ko-KR"/>
        </w:rPr>
        <w:t xml:space="preserve"> of the physical layer</w:t>
      </w:r>
    </w:p>
    <w:p w14:paraId="087466B5" w14:textId="4F854E1C" w:rsidR="00C25876" w:rsidRPr="00C25876" w:rsidRDefault="00C25876" w:rsidP="00C25876">
      <w:pPr>
        <w:pStyle w:val="ListParagraph"/>
        <w:numPr>
          <w:ilvl w:val="0"/>
          <w:numId w:val="25"/>
        </w:numPr>
        <w:ind w:firstLineChars="0"/>
        <w:rPr>
          <w:lang w:eastAsia="ko-KR"/>
        </w:rPr>
      </w:pPr>
      <w:r>
        <w:rPr>
          <w:lang w:eastAsia="ko-KR"/>
        </w:rPr>
        <w:t>Carrier-wave</w:t>
      </w:r>
      <w:r w:rsidR="00176EB9">
        <w:rPr>
          <w:lang w:eastAsia="ko-KR"/>
        </w:rPr>
        <w:t xml:space="preserve"> waveform</w:t>
      </w:r>
      <w:r>
        <w:rPr>
          <w:lang w:eastAsia="ko-KR"/>
        </w:rPr>
        <w:t xml:space="preserve"> characteristics</w:t>
      </w:r>
    </w:p>
    <w:p w14:paraId="20C23C5C" w14:textId="50B3CC0E" w:rsidR="0042429A" w:rsidRDefault="004F427A" w:rsidP="0042429A">
      <w:pPr>
        <w:rPr>
          <w:rFonts w:eastAsiaTheme="minorEastAsia"/>
          <w:lang w:eastAsia="zh-CN"/>
        </w:rPr>
      </w:pPr>
      <w:r>
        <w:rPr>
          <w:rFonts w:eastAsiaTheme="minorEastAsia"/>
          <w:lang w:eastAsia="zh-CN"/>
        </w:rPr>
        <w:t xml:space="preserve">Relevant to this paper, there are separate RAN1 Feature Leads assigned to the #2 device architectures, and #4 CW waveform characteristics </w:t>
      </w:r>
      <w:r w:rsidR="00EA23B6">
        <w:rPr>
          <w:rFonts w:eastAsiaTheme="minorEastAsia"/>
          <w:lang w:eastAsia="zh-CN"/>
        </w:rPr>
        <w:t>parts, since each is discussed under a dedicated agenda item in RAN1</w:t>
      </w:r>
      <w:r w:rsidR="00B2494A">
        <w:rPr>
          <w:rFonts w:eastAsiaTheme="minorEastAsia"/>
          <w:lang w:eastAsia="zh-CN"/>
        </w:rPr>
        <w:t>.</w:t>
      </w:r>
      <w:r>
        <w:rPr>
          <w:rFonts w:eastAsiaTheme="minorEastAsia"/>
          <w:lang w:eastAsia="zh-CN"/>
        </w:rPr>
        <w:t xml:space="preserve"> The SID and its mapping, in relevant part, to the RAN1 agenda is excerpted in Figure 1.</w:t>
      </w:r>
    </w:p>
    <w:p w14:paraId="5CFF829A" w14:textId="20770DA9" w:rsidR="004F427A" w:rsidRPr="00333C29" w:rsidRDefault="004F427A" w:rsidP="0042429A">
      <w:pPr>
        <w:rPr>
          <w:rFonts w:eastAsiaTheme="minorEastAsia"/>
          <w:lang w:eastAsia="zh-CN"/>
        </w:rPr>
      </w:pPr>
      <w:r>
        <w:rPr>
          <w:rFonts w:eastAsiaTheme="minorEastAsia"/>
          <w:lang w:eastAsia="zh-CN"/>
        </w:rPr>
        <w:t>We have observed uncertainty among companies, and RAN1 Feature Leads, on what should be done in RAN1 for the remaining time of the SI on (i) device architectures and (ii) carrier-wave waveform characteristics.</w:t>
      </w:r>
    </w:p>
    <w:tbl>
      <w:tblPr>
        <w:tblStyle w:val="TableGrid"/>
        <w:tblW w:w="0" w:type="auto"/>
        <w:tblLook w:val="04A0" w:firstRow="1" w:lastRow="0" w:firstColumn="1" w:lastColumn="0" w:noHBand="0" w:noVBand="1"/>
      </w:tblPr>
      <w:tblGrid>
        <w:gridCol w:w="9307"/>
      </w:tblGrid>
      <w:tr w:rsidR="00A7767C" w14:paraId="249417D2" w14:textId="77777777" w:rsidTr="00A7767C">
        <w:tc>
          <w:tcPr>
            <w:tcW w:w="9307" w:type="dxa"/>
          </w:tcPr>
          <w:p w14:paraId="10DEF656" w14:textId="3B0ED2F5" w:rsidR="006C4BCA" w:rsidRPr="0042589D" w:rsidRDefault="006C4BCA" w:rsidP="00A7767C">
            <w:pPr>
              <w:overflowPunct w:val="0"/>
              <w:snapToGrid/>
              <w:ind w:right="-96"/>
              <w:textAlignment w:val="baseline"/>
              <w:rPr>
                <w:i/>
                <w:iCs/>
                <w:sz w:val="20"/>
                <w:szCs w:val="20"/>
                <w:lang w:eastAsia="ja-JP"/>
              </w:rPr>
            </w:pPr>
            <w:r w:rsidRPr="0042589D">
              <w:rPr>
                <w:i/>
                <w:iCs/>
                <w:sz w:val="20"/>
                <w:szCs w:val="20"/>
                <w:lang w:eastAsia="ja-JP"/>
              </w:rPr>
              <w:t xml:space="preserve">Discussed under RAN1 agenda item </w:t>
            </w:r>
            <w:r w:rsidRPr="0042589D">
              <w:rPr>
                <w:i/>
                <w:iCs/>
                <w:color w:val="00B0F0"/>
                <w:sz w:val="20"/>
                <w:szCs w:val="20"/>
                <w:lang w:eastAsia="ja-JP"/>
              </w:rPr>
              <w:t>9.4.1.2</w:t>
            </w:r>
            <w:r w:rsidR="001F7D42">
              <w:rPr>
                <w:i/>
                <w:iCs/>
                <w:color w:val="00B0F0"/>
                <w:sz w:val="20"/>
                <w:szCs w:val="20"/>
                <w:lang w:eastAsia="ja-JP"/>
              </w:rPr>
              <w:t xml:space="preserve"> (device architectures)</w:t>
            </w:r>
            <w:r w:rsidRPr="0042589D">
              <w:rPr>
                <w:i/>
                <w:iCs/>
                <w:sz w:val="20"/>
                <w:szCs w:val="20"/>
                <w:lang w:eastAsia="ja-JP"/>
              </w:rPr>
              <w:t xml:space="preserve">, </w:t>
            </w:r>
            <w:r w:rsidRPr="0042589D">
              <w:rPr>
                <w:i/>
                <w:iCs/>
                <w:color w:val="E36C0A" w:themeColor="accent6" w:themeShade="BF"/>
                <w:sz w:val="20"/>
                <w:szCs w:val="20"/>
                <w:lang w:eastAsia="ja-JP"/>
              </w:rPr>
              <w:t>9.4.2.4</w:t>
            </w:r>
            <w:r w:rsidR="001F7D42">
              <w:rPr>
                <w:i/>
                <w:iCs/>
                <w:color w:val="E36C0A" w:themeColor="accent6" w:themeShade="BF"/>
                <w:sz w:val="20"/>
                <w:szCs w:val="20"/>
                <w:lang w:eastAsia="ja-JP"/>
              </w:rPr>
              <w:t xml:space="preserve"> (CW waveform characteristics)</w:t>
            </w:r>
          </w:p>
          <w:p w14:paraId="5AD15229" w14:textId="34D9B140" w:rsidR="003D0108" w:rsidRPr="003D0108" w:rsidRDefault="003D0108" w:rsidP="00A7767C">
            <w:pPr>
              <w:overflowPunct w:val="0"/>
              <w:snapToGrid/>
              <w:ind w:right="-96"/>
              <w:textAlignment w:val="baseline"/>
              <w:rPr>
                <w:b/>
                <w:bCs/>
                <w:sz w:val="20"/>
                <w:szCs w:val="20"/>
                <w:u w:val="single"/>
                <w:lang w:eastAsia="ja-JP"/>
              </w:rPr>
            </w:pPr>
            <w:r w:rsidRPr="003D0108">
              <w:rPr>
                <w:b/>
                <w:bCs/>
                <w:sz w:val="20"/>
                <w:szCs w:val="20"/>
                <w:u w:val="single"/>
                <w:lang w:eastAsia="ja-JP"/>
              </w:rPr>
              <w:t>From SID [2]:</w:t>
            </w:r>
          </w:p>
          <w:p w14:paraId="5FAF19AB" w14:textId="4E923A3F" w:rsidR="00A7767C" w:rsidRPr="00A7767C" w:rsidRDefault="00A7767C" w:rsidP="00A7767C">
            <w:pPr>
              <w:overflowPunct w:val="0"/>
              <w:snapToGrid/>
              <w:ind w:right="-96"/>
              <w:textAlignment w:val="baseline"/>
              <w:rPr>
                <w:b/>
                <w:sz w:val="20"/>
                <w:szCs w:val="20"/>
                <w:lang w:eastAsia="ja-JP"/>
              </w:rPr>
            </w:pPr>
            <w:r w:rsidRPr="00A7767C">
              <w:rPr>
                <w:sz w:val="20"/>
                <w:szCs w:val="20"/>
                <w:lang w:eastAsia="ja-JP"/>
              </w:rPr>
              <w:t>The following objectives are set, within the General Scope:</w:t>
            </w:r>
          </w:p>
          <w:p w14:paraId="6C92B0FD" w14:textId="13DEDFCF" w:rsidR="00A7767C" w:rsidRDefault="00A7767C" w:rsidP="006C4BCA">
            <w:pPr>
              <w:numPr>
                <w:ilvl w:val="0"/>
                <w:numId w:val="26"/>
              </w:numPr>
              <w:overflowPunct w:val="0"/>
              <w:snapToGrid/>
              <w:spacing w:after="180"/>
              <w:ind w:right="-96"/>
              <w:jc w:val="left"/>
              <w:textAlignment w:val="baseline"/>
              <w:rPr>
                <w:sz w:val="20"/>
                <w:szCs w:val="20"/>
                <w:lang w:eastAsia="ja-JP"/>
              </w:rPr>
            </w:pPr>
            <w:r w:rsidRPr="00A7767C">
              <w:rPr>
                <w:sz w:val="20"/>
                <w:szCs w:val="20"/>
                <w:lang w:eastAsia="ja-JP"/>
              </w:rPr>
              <w:t>Evaluation assumptions</w:t>
            </w:r>
          </w:p>
          <w:p w14:paraId="683CB96D" w14:textId="664C32BB" w:rsidR="006C4BCA" w:rsidRPr="00A7767C" w:rsidRDefault="006C4BCA" w:rsidP="006C4BCA">
            <w:pPr>
              <w:overflowPunct w:val="0"/>
              <w:snapToGrid/>
              <w:spacing w:after="180"/>
              <w:ind w:left="360" w:right="-96"/>
              <w:jc w:val="left"/>
              <w:textAlignment w:val="baseline"/>
              <w:rPr>
                <w:sz w:val="20"/>
                <w:szCs w:val="20"/>
                <w:lang w:eastAsia="ja-JP"/>
              </w:rPr>
            </w:pPr>
            <w:r>
              <w:rPr>
                <w:sz w:val="20"/>
                <w:szCs w:val="20"/>
                <w:lang w:eastAsia="ja-JP"/>
              </w:rPr>
              <w:t>…</w:t>
            </w:r>
          </w:p>
          <w:p w14:paraId="726A78C7" w14:textId="77777777" w:rsidR="006C4BCA" w:rsidRPr="006C4BCA" w:rsidRDefault="006C4BCA" w:rsidP="00A7767C">
            <w:pPr>
              <w:pStyle w:val="ListParagraph"/>
              <w:numPr>
                <w:ilvl w:val="0"/>
                <w:numId w:val="27"/>
              </w:numPr>
              <w:overflowPunct w:val="0"/>
              <w:snapToGrid/>
              <w:spacing w:after="180"/>
              <w:ind w:right="-96" w:firstLineChars="0"/>
              <w:jc w:val="left"/>
              <w:textAlignment w:val="baseline"/>
              <w:rPr>
                <w:rFonts w:eastAsia="DengXian"/>
                <w:vanish/>
                <w:sz w:val="20"/>
                <w:szCs w:val="20"/>
                <w:lang w:val="en-GB" w:eastAsia="en-GB"/>
              </w:rPr>
            </w:pPr>
          </w:p>
          <w:p w14:paraId="48E5ABAE" w14:textId="77777777" w:rsidR="006C4BCA" w:rsidRPr="006C4BCA" w:rsidRDefault="006C4BCA" w:rsidP="00A7767C">
            <w:pPr>
              <w:pStyle w:val="ListParagraph"/>
              <w:numPr>
                <w:ilvl w:val="0"/>
                <w:numId w:val="27"/>
              </w:numPr>
              <w:overflowPunct w:val="0"/>
              <w:snapToGrid/>
              <w:spacing w:after="180"/>
              <w:ind w:right="-96" w:firstLineChars="0"/>
              <w:jc w:val="left"/>
              <w:textAlignment w:val="baseline"/>
              <w:rPr>
                <w:rFonts w:eastAsia="DengXian"/>
                <w:vanish/>
                <w:sz w:val="20"/>
                <w:szCs w:val="20"/>
                <w:lang w:val="en-GB" w:eastAsia="en-GB"/>
              </w:rPr>
            </w:pPr>
          </w:p>
          <w:p w14:paraId="529CDA90" w14:textId="79A84ED8" w:rsidR="00A7767C" w:rsidRPr="00A7767C" w:rsidRDefault="00A7767C" w:rsidP="00A7767C">
            <w:pPr>
              <w:numPr>
                <w:ilvl w:val="0"/>
                <w:numId w:val="27"/>
              </w:numPr>
              <w:overflowPunct w:val="0"/>
              <w:snapToGrid/>
              <w:spacing w:after="180"/>
              <w:ind w:right="-96"/>
              <w:jc w:val="left"/>
              <w:textAlignment w:val="baseline"/>
              <w:rPr>
                <w:color w:val="00B0F0"/>
                <w:sz w:val="20"/>
                <w:szCs w:val="20"/>
                <w:lang w:val="en-GB" w:eastAsia="ja-JP"/>
              </w:rPr>
            </w:pPr>
            <w:r w:rsidRPr="00A7767C">
              <w:rPr>
                <w:rFonts w:eastAsia="DengXian" w:hint="eastAsia"/>
                <w:color w:val="00B0F0"/>
                <w:sz w:val="20"/>
                <w:szCs w:val="20"/>
                <w:lang w:val="en-GB" w:eastAsia="en-GB"/>
              </w:rPr>
              <w:t xml:space="preserve">Identify basic blocks/components of possible Ambient IoT </w:t>
            </w:r>
            <w:r w:rsidRPr="00A7767C">
              <w:rPr>
                <w:rFonts w:eastAsia="DengXian"/>
                <w:color w:val="00B0F0"/>
                <w:sz w:val="20"/>
                <w:szCs w:val="20"/>
                <w:lang w:val="en-GB" w:eastAsia="en-GB"/>
              </w:rPr>
              <w:t>device architectures, taking into account state of the art implementations of low-power low-complexity devices which meet the RAN design target for power consumption and complexity. [RAN1]</w:t>
            </w:r>
          </w:p>
          <w:p w14:paraId="3B3686D3" w14:textId="449C306C" w:rsidR="00280D37" w:rsidRPr="004F668A" w:rsidRDefault="006C4BCA" w:rsidP="004F668A">
            <w:pPr>
              <w:overflowPunct w:val="0"/>
              <w:snapToGrid/>
              <w:ind w:left="360" w:right="-96"/>
              <w:jc w:val="left"/>
              <w:textAlignment w:val="baseline"/>
              <w:rPr>
                <w:sz w:val="20"/>
                <w:szCs w:val="20"/>
                <w:lang w:eastAsia="ja-JP"/>
              </w:rPr>
            </w:pPr>
            <w:r>
              <w:rPr>
                <w:sz w:val="20"/>
                <w:szCs w:val="20"/>
                <w:lang w:eastAsia="ja-JP"/>
              </w:rPr>
              <w:t>…</w:t>
            </w:r>
          </w:p>
          <w:p w14:paraId="16DB5BCC" w14:textId="77777777" w:rsidR="00280D37" w:rsidRPr="00280D37" w:rsidRDefault="00280D37" w:rsidP="00280D37">
            <w:pPr>
              <w:numPr>
                <w:ilvl w:val="0"/>
                <w:numId w:val="26"/>
              </w:numPr>
              <w:overflowPunct w:val="0"/>
              <w:snapToGrid/>
              <w:spacing w:after="180"/>
              <w:ind w:right="-96"/>
              <w:jc w:val="left"/>
              <w:textAlignment w:val="baseline"/>
              <w:rPr>
                <w:sz w:val="20"/>
                <w:szCs w:val="20"/>
                <w:lang w:eastAsia="ja-JP"/>
              </w:rPr>
            </w:pPr>
            <w:r w:rsidRPr="00280D37">
              <w:rPr>
                <w:sz w:val="20"/>
                <w:szCs w:val="20"/>
                <w:lang w:eastAsia="ja-JP"/>
              </w:rPr>
              <w:t xml:space="preserve">Study necessary and feasible </w:t>
            </w:r>
            <w:r w:rsidRPr="00280D37">
              <w:rPr>
                <w:sz w:val="20"/>
                <w:szCs w:val="20"/>
                <w:lang w:val="en-GB" w:eastAsia="ja-JP"/>
              </w:rPr>
              <w:t>solutions</w:t>
            </w:r>
            <w:r w:rsidRPr="00280D37">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09FD9FF" w14:textId="23A3C006" w:rsidR="00280D37" w:rsidRPr="00280D37" w:rsidRDefault="00280D37" w:rsidP="00280D37">
            <w:pPr>
              <w:overflowPunct w:val="0"/>
              <w:snapToGrid/>
              <w:spacing w:after="180"/>
              <w:ind w:right="-96"/>
              <w:jc w:val="left"/>
              <w:textAlignment w:val="baseline"/>
              <w:rPr>
                <w:sz w:val="20"/>
                <w:szCs w:val="20"/>
                <w:lang w:eastAsia="ja-JP"/>
              </w:rPr>
            </w:pPr>
            <w:r>
              <w:rPr>
                <w:sz w:val="20"/>
                <w:szCs w:val="20"/>
                <w:lang w:eastAsia="ja-JP"/>
              </w:rPr>
              <w:tab/>
              <w:t>…</w:t>
            </w:r>
          </w:p>
          <w:p w14:paraId="0F7ACD6D" w14:textId="77777777" w:rsidR="00280D37" w:rsidRPr="00280D37" w:rsidRDefault="00280D37" w:rsidP="00280D37">
            <w:pPr>
              <w:numPr>
                <w:ilvl w:val="1"/>
                <w:numId w:val="28"/>
              </w:numPr>
              <w:overflowPunct w:val="0"/>
              <w:snapToGrid/>
              <w:spacing w:after="180"/>
              <w:ind w:right="-96"/>
              <w:jc w:val="left"/>
              <w:textAlignment w:val="baseline"/>
              <w:rPr>
                <w:color w:val="E36C0A" w:themeColor="accent6" w:themeShade="BF"/>
                <w:sz w:val="20"/>
                <w:szCs w:val="20"/>
                <w:lang w:eastAsia="ja-JP"/>
              </w:rPr>
            </w:pPr>
            <w:r w:rsidRPr="00280D37">
              <w:rPr>
                <w:color w:val="E36C0A" w:themeColor="accent6" w:themeShade="BF"/>
                <w:sz w:val="20"/>
                <w:szCs w:val="20"/>
                <w:lang w:eastAsia="ja-JP"/>
              </w:rPr>
              <w:t xml:space="preserve">Study </w:t>
            </w:r>
            <w:bookmarkStart w:id="3" w:name="_Hlk167799562"/>
            <w:r w:rsidRPr="00280D37">
              <w:rPr>
                <w:color w:val="E36C0A" w:themeColor="accent6" w:themeShade="BF"/>
                <w:sz w:val="20"/>
                <w:szCs w:val="20"/>
                <w:lang w:eastAsia="ja-JP"/>
              </w:rPr>
              <w:t xml:space="preserve">necessary characteristics of carrier-wave waveform </w:t>
            </w:r>
            <w:bookmarkEnd w:id="3"/>
            <w:r w:rsidRPr="00280D37">
              <w:rPr>
                <w:color w:val="E36C0A" w:themeColor="accent6" w:themeShade="BF"/>
                <w:sz w:val="20"/>
                <w:szCs w:val="20"/>
                <w:lang w:eastAsia="ja-JP"/>
              </w:rPr>
              <w:t xml:space="preserve">for a carrier wave provided externally </w:t>
            </w:r>
            <w:r w:rsidRPr="00280D37">
              <w:rPr>
                <w:color w:val="E36C0A" w:themeColor="accent6" w:themeShade="BF"/>
                <w:sz w:val="20"/>
                <w:szCs w:val="20"/>
                <w:lang w:eastAsia="ja-JP"/>
              </w:rPr>
              <w:lastRenderedPageBreak/>
              <w:t xml:space="preserve">to the Ambient IoT device, including for interference handling at Ambient IoT UL receiver, and at NR basestation. </w:t>
            </w:r>
          </w:p>
          <w:p w14:paraId="58A3F252" w14:textId="5CB88E92" w:rsidR="00280D37" w:rsidRPr="00280D37" w:rsidRDefault="00280D37" w:rsidP="00867809">
            <w:pPr>
              <w:keepNext/>
              <w:overflowPunct w:val="0"/>
              <w:snapToGrid/>
              <w:ind w:right="-96"/>
              <w:textAlignment w:val="baseline"/>
              <w:rPr>
                <w:sz w:val="20"/>
                <w:szCs w:val="20"/>
                <w:lang w:eastAsia="ja-JP"/>
              </w:rPr>
            </w:pPr>
            <w:r>
              <w:rPr>
                <w:sz w:val="20"/>
                <w:szCs w:val="20"/>
                <w:lang w:eastAsia="ja-JP"/>
              </w:rPr>
              <w:tab/>
              <w:t>…</w:t>
            </w:r>
          </w:p>
        </w:tc>
      </w:tr>
    </w:tbl>
    <w:p w14:paraId="35C5E6A8" w14:textId="06DB419F" w:rsidR="0042429A" w:rsidRDefault="00867809" w:rsidP="00867809">
      <w:pPr>
        <w:pStyle w:val="Caption"/>
      </w:pPr>
      <w:r>
        <w:lastRenderedPageBreak/>
        <w:t xml:space="preserve">Figure </w:t>
      </w:r>
      <w:r>
        <w:fldChar w:fldCharType="begin"/>
      </w:r>
      <w:r>
        <w:instrText xml:space="preserve"> SEQ Figure \* ARABIC </w:instrText>
      </w:r>
      <w:r>
        <w:fldChar w:fldCharType="separate"/>
      </w:r>
      <w:r w:rsidR="00333C29">
        <w:rPr>
          <w:noProof/>
        </w:rPr>
        <w:t>1</w:t>
      </w:r>
      <w:r>
        <w:fldChar w:fldCharType="end"/>
      </w:r>
      <w:r>
        <w:t xml:space="preserve">: SID objectives on device architectures, and CW </w:t>
      </w:r>
      <w:r w:rsidR="00176EB9">
        <w:t>characteristics</w:t>
      </w:r>
    </w:p>
    <w:p w14:paraId="3E8F9B32" w14:textId="78426480" w:rsidR="00333C29" w:rsidRDefault="00333C29" w:rsidP="00333C29">
      <w:pPr>
        <w:pStyle w:val="Heading2"/>
      </w:pPr>
      <w:r>
        <w:t>A-IoT device architectures</w:t>
      </w:r>
    </w:p>
    <w:p w14:paraId="2616719F" w14:textId="3630C723" w:rsidR="00466EB2" w:rsidRDefault="00466EB2" w:rsidP="00466EB2">
      <w:r>
        <w:t xml:space="preserve">RAN1 has agreed </w:t>
      </w:r>
      <w:r w:rsidR="00C4667C">
        <w:t>A-IoT device a</w:t>
      </w:r>
      <w:r>
        <w:t>rchitectures corresponding to the different devices of the SID, and variations of them which represent different detector choices</w:t>
      </w:r>
      <w:r w:rsidR="00C4667C">
        <w:t>, where applicable</w:t>
      </w:r>
      <w:r>
        <w:t xml:space="preserve">. Textual observations have been agreed which describe the same in </w:t>
      </w:r>
      <w:r w:rsidR="008C7A29">
        <w:t>more detail</w:t>
      </w:r>
      <w:r>
        <w:t>, and which explain certain characteristics of the components which are particular to Ambient IoT devices, such as a reflection amplifier</w:t>
      </w:r>
      <w:r w:rsidR="008C7A29">
        <w:t>’s typical range of gain and power consumption</w:t>
      </w:r>
      <w:r>
        <w:t>.</w:t>
      </w:r>
    </w:p>
    <w:p w14:paraId="67AD7F52" w14:textId="77777777" w:rsidR="00350129" w:rsidRDefault="007F1CB5" w:rsidP="00466EB2">
      <w:r>
        <w:t>These architectures</w:t>
      </w:r>
      <w:r w:rsidR="00C4667C">
        <w:t xml:space="preserve"> and descriptions</w:t>
      </w:r>
      <w:r>
        <w:t xml:space="preserve"> give RAN1 and 3GPP a good understanding of these new devices, and have supported in particular the evaluation </w:t>
      </w:r>
      <w:proofErr w:type="gramStart"/>
      <w:r>
        <w:t>assumptions</w:t>
      </w:r>
      <w:proofErr w:type="gramEnd"/>
      <w:r>
        <w:t xml:space="preserve"> objective in setting suitable parameter values and ranges.</w:t>
      </w:r>
    </w:p>
    <w:p w14:paraId="2ACC3639" w14:textId="6E023221" w:rsidR="00B62AFE" w:rsidRDefault="00C4667C" w:rsidP="0034068D">
      <w:r>
        <w:t xml:space="preserve">The objective has been </w:t>
      </w:r>
      <w:r w:rsidR="00350129">
        <w:t>largely</w:t>
      </w:r>
      <w:r>
        <w:t xml:space="preserve"> completed</w:t>
      </w:r>
      <w:r w:rsidR="00350129">
        <w:t xml:space="preserve">, and the Rapporteurs’ </w:t>
      </w:r>
      <w:r w:rsidR="004F427A">
        <w:t>work</w:t>
      </w:r>
      <w:r w:rsidR="00350129">
        <w:t>plan</w:t>
      </w:r>
      <w:r w:rsidR="00894C59">
        <w:t xml:space="preserve"> [1]</w:t>
      </w:r>
      <w:r w:rsidR="004F427A">
        <w:t xml:space="preserve"> </w:t>
      </w:r>
      <w:r w:rsidR="008E62F9">
        <w:t>is</w:t>
      </w:r>
      <w:r w:rsidR="00350129">
        <w:t xml:space="preserve"> to finish the work in August (RAN1#118). </w:t>
      </w:r>
      <w:r w:rsidR="004703A5">
        <w:t>Thus</w:t>
      </w:r>
      <w:r w:rsidR="008E62F9">
        <w:t>,</w:t>
      </w:r>
      <w:r w:rsidR="004703A5">
        <w:t xml:space="preserve"> we believe RAN1 should be guided to tackle the open issues from what has already been agreed</w:t>
      </w:r>
      <w:r w:rsidR="005E16AC">
        <w:t>.</w:t>
      </w:r>
    </w:p>
    <w:p w14:paraId="1CE14A55" w14:textId="676BBA05" w:rsidR="00C22210" w:rsidRDefault="005E16AC" w:rsidP="0034068D">
      <w:pPr>
        <w:rPr>
          <w:rFonts w:eastAsiaTheme="minorEastAsia"/>
          <w:lang w:eastAsia="zh-CN"/>
        </w:rPr>
      </w:pPr>
      <w:r>
        <w:t>There is</w:t>
      </w:r>
      <w:r w:rsidR="004703A5">
        <w:t xml:space="preserve"> no need to expand workload to new aspects</w:t>
      </w:r>
      <w:r>
        <w:t xml:space="preserve"> that have not been previously discussed online</w:t>
      </w:r>
      <w:r w:rsidR="004703A5">
        <w:t>.</w:t>
      </w:r>
    </w:p>
    <w:p w14:paraId="75CF29AE" w14:textId="0F3692DF" w:rsidR="00C4667C" w:rsidRPr="001424EE" w:rsidRDefault="00BC2856" w:rsidP="0034068D">
      <w:pPr>
        <w:rPr>
          <w:rFonts w:eastAsiaTheme="minorEastAsia"/>
          <w:b/>
          <w:bCs/>
          <w:lang w:eastAsia="zh-CN"/>
        </w:rPr>
      </w:pPr>
      <w:r w:rsidRPr="001424EE">
        <w:rPr>
          <w:rFonts w:eastAsiaTheme="minorEastAsia"/>
          <w:b/>
          <w:bCs/>
          <w:lang w:eastAsia="zh-CN"/>
        </w:rPr>
        <w:t>Proposal 1: R</w:t>
      </w:r>
      <w:r w:rsidR="00C4667C" w:rsidRPr="001424EE">
        <w:rPr>
          <w:rFonts w:eastAsiaTheme="minorEastAsia"/>
          <w:b/>
          <w:bCs/>
          <w:lang w:eastAsia="zh-CN"/>
        </w:rPr>
        <w:t xml:space="preserve">emaining </w:t>
      </w:r>
      <w:r w:rsidRPr="001424EE">
        <w:rPr>
          <w:rFonts w:eastAsiaTheme="minorEastAsia"/>
          <w:b/>
          <w:bCs/>
          <w:lang w:eastAsia="zh-CN"/>
        </w:rPr>
        <w:t>RAN1 s</w:t>
      </w:r>
      <w:r w:rsidR="00416133">
        <w:rPr>
          <w:rFonts w:eastAsiaTheme="minorEastAsia"/>
          <w:b/>
          <w:bCs/>
          <w:lang w:eastAsia="zh-CN"/>
        </w:rPr>
        <w:t xml:space="preserve">cope </w:t>
      </w:r>
      <w:r w:rsidRPr="001424EE">
        <w:rPr>
          <w:rFonts w:eastAsiaTheme="minorEastAsia"/>
          <w:b/>
          <w:bCs/>
          <w:lang w:eastAsia="zh-CN"/>
        </w:rPr>
        <w:t>for Objective 1</w:t>
      </w:r>
      <w:r w:rsidR="00865003">
        <w:rPr>
          <w:rFonts w:eastAsiaTheme="minorEastAsia"/>
          <w:b/>
          <w:bCs/>
          <w:lang w:eastAsia="zh-CN"/>
        </w:rPr>
        <w:t>c)</w:t>
      </w:r>
      <w:r w:rsidR="00BA3277">
        <w:rPr>
          <w:rFonts w:eastAsiaTheme="minorEastAsia"/>
          <w:b/>
          <w:bCs/>
          <w:lang w:eastAsia="zh-CN"/>
        </w:rPr>
        <w:t>,</w:t>
      </w:r>
      <w:r w:rsidR="00865003">
        <w:rPr>
          <w:rFonts w:eastAsiaTheme="minorEastAsia"/>
          <w:b/>
          <w:bCs/>
          <w:lang w:eastAsia="zh-CN"/>
        </w:rPr>
        <w:t xml:space="preserve"> on</w:t>
      </w:r>
      <w:r w:rsidR="00BA3277">
        <w:rPr>
          <w:rFonts w:eastAsiaTheme="minorEastAsia"/>
          <w:b/>
          <w:bCs/>
          <w:lang w:eastAsia="zh-CN"/>
        </w:rPr>
        <w:t xml:space="preserve"> A-IoT</w:t>
      </w:r>
      <w:r w:rsidR="00865003">
        <w:rPr>
          <w:rFonts w:eastAsiaTheme="minorEastAsia"/>
          <w:b/>
          <w:bCs/>
          <w:lang w:eastAsia="zh-CN"/>
        </w:rPr>
        <w:t xml:space="preserve"> device architectures,</w:t>
      </w:r>
      <w:r w:rsidRPr="001424EE">
        <w:rPr>
          <w:rFonts w:eastAsiaTheme="minorEastAsia"/>
          <w:b/>
          <w:bCs/>
          <w:lang w:eastAsia="zh-CN"/>
        </w:rPr>
        <w:t xml:space="preserve"> i</w:t>
      </w:r>
      <w:r w:rsidR="001424EE" w:rsidRPr="001424EE">
        <w:rPr>
          <w:rFonts w:eastAsiaTheme="minorEastAsia"/>
          <w:b/>
          <w:bCs/>
          <w:lang w:eastAsia="zh-CN"/>
        </w:rPr>
        <w:t>s</w:t>
      </w:r>
      <w:r w:rsidR="00C4667C" w:rsidRPr="001424EE">
        <w:rPr>
          <w:rFonts w:eastAsiaTheme="minorEastAsia"/>
          <w:b/>
          <w:bCs/>
          <w:lang w:eastAsia="zh-CN"/>
        </w:rPr>
        <w:t>:</w:t>
      </w:r>
    </w:p>
    <w:p w14:paraId="07D733E9" w14:textId="43E48C53" w:rsidR="00843CC8" w:rsidRPr="001424EE" w:rsidRDefault="00843CC8" w:rsidP="00C4667C">
      <w:pPr>
        <w:pStyle w:val="ListParagraph"/>
        <w:numPr>
          <w:ilvl w:val="0"/>
          <w:numId w:val="31"/>
        </w:numPr>
        <w:ind w:firstLineChars="0"/>
        <w:rPr>
          <w:rFonts w:eastAsiaTheme="minorEastAsia"/>
          <w:b/>
          <w:bCs/>
          <w:lang w:eastAsia="zh-CN"/>
        </w:rPr>
      </w:pPr>
      <w:r w:rsidRPr="001424EE">
        <w:rPr>
          <w:rFonts w:eastAsiaTheme="minorEastAsia"/>
          <w:b/>
          <w:bCs/>
          <w:lang w:eastAsia="zh-CN"/>
        </w:rPr>
        <w:t>Purposes of clock</w:t>
      </w:r>
      <w:r w:rsidR="00193F3E" w:rsidRPr="001424EE">
        <w:rPr>
          <w:rFonts w:eastAsiaTheme="minorEastAsia"/>
          <w:b/>
          <w:bCs/>
          <w:lang w:eastAsia="zh-CN"/>
        </w:rPr>
        <w:t>/LO</w:t>
      </w:r>
      <w:r w:rsidRPr="001424EE">
        <w:rPr>
          <w:rFonts w:eastAsiaTheme="minorEastAsia"/>
          <w:b/>
          <w:bCs/>
          <w:lang w:eastAsia="zh-CN"/>
        </w:rPr>
        <w:t xml:space="preserve"> in the device.</w:t>
      </w:r>
    </w:p>
    <w:p w14:paraId="6CD4EB48" w14:textId="000D72C7" w:rsidR="00843CC8" w:rsidRPr="001424EE" w:rsidRDefault="00843CC8" w:rsidP="00843CC8">
      <w:pPr>
        <w:pStyle w:val="ListParagraph"/>
        <w:numPr>
          <w:ilvl w:val="1"/>
          <w:numId w:val="31"/>
        </w:numPr>
        <w:ind w:firstLineChars="0"/>
        <w:rPr>
          <w:rFonts w:eastAsiaTheme="minorEastAsia"/>
          <w:b/>
          <w:bCs/>
          <w:lang w:eastAsia="zh-CN"/>
        </w:rPr>
      </w:pPr>
      <w:r w:rsidRPr="001424EE">
        <w:rPr>
          <w:rFonts w:eastAsiaTheme="minorEastAsia"/>
          <w:b/>
          <w:bCs/>
          <w:lang w:eastAsia="zh-CN"/>
        </w:rPr>
        <w:t>There is an open table in the RAN1</w:t>
      </w:r>
      <w:r w:rsidR="00CF1FA8" w:rsidRPr="001424EE">
        <w:rPr>
          <w:rFonts w:eastAsiaTheme="minorEastAsia"/>
          <w:b/>
          <w:bCs/>
          <w:lang w:eastAsia="zh-CN"/>
        </w:rPr>
        <w:t>#117</w:t>
      </w:r>
      <w:r w:rsidRPr="001424EE">
        <w:rPr>
          <w:rFonts w:eastAsiaTheme="minorEastAsia"/>
          <w:b/>
          <w:bCs/>
          <w:lang w:eastAsia="zh-CN"/>
        </w:rPr>
        <w:t xml:space="preserve"> chair</w:t>
      </w:r>
      <w:r w:rsidR="00193F3E" w:rsidRPr="001424EE">
        <w:rPr>
          <w:rFonts w:eastAsiaTheme="minorEastAsia"/>
          <w:b/>
          <w:bCs/>
          <w:lang w:eastAsia="zh-CN"/>
        </w:rPr>
        <w:t>’s</w:t>
      </w:r>
      <w:r w:rsidRPr="001424EE">
        <w:rPr>
          <w:rFonts w:eastAsiaTheme="minorEastAsia"/>
          <w:b/>
          <w:bCs/>
          <w:lang w:eastAsia="zh-CN"/>
        </w:rPr>
        <w:t xml:space="preserve"> notes for this purpose.</w:t>
      </w:r>
    </w:p>
    <w:p w14:paraId="61EF4249" w14:textId="59FCCF3B" w:rsidR="003925D5" w:rsidRPr="001424EE" w:rsidRDefault="003925D5" w:rsidP="00843CC8">
      <w:pPr>
        <w:pStyle w:val="ListParagraph"/>
        <w:numPr>
          <w:ilvl w:val="0"/>
          <w:numId w:val="31"/>
        </w:numPr>
        <w:ind w:firstLineChars="0"/>
        <w:rPr>
          <w:rFonts w:eastAsiaTheme="minorEastAsia"/>
          <w:b/>
          <w:bCs/>
          <w:lang w:eastAsia="zh-CN"/>
        </w:rPr>
      </w:pPr>
      <w:r w:rsidRPr="001424EE">
        <w:rPr>
          <w:rFonts w:eastAsiaTheme="minorEastAsia"/>
          <w:b/>
          <w:bCs/>
          <w:lang w:eastAsia="zh-CN"/>
        </w:rPr>
        <w:t>Resolv</w:t>
      </w:r>
      <w:r w:rsidR="007C7CF9" w:rsidRPr="001424EE">
        <w:rPr>
          <w:rFonts w:eastAsiaTheme="minorEastAsia"/>
          <w:b/>
          <w:bCs/>
          <w:lang w:eastAsia="zh-CN"/>
        </w:rPr>
        <w:t>e</w:t>
      </w:r>
      <w:r w:rsidRPr="001424EE">
        <w:rPr>
          <w:rFonts w:eastAsiaTheme="minorEastAsia"/>
          <w:b/>
          <w:bCs/>
          <w:lang w:eastAsia="zh-CN"/>
        </w:rPr>
        <w:t xml:space="preserve"> remaining FFS points in the agreements</w:t>
      </w:r>
      <w:r w:rsidR="007C7CF9" w:rsidRPr="001424EE">
        <w:rPr>
          <w:rFonts w:eastAsiaTheme="minorEastAsia"/>
          <w:b/>
          <w:bCs/>
          <w:lang w:eastAsia="zh-CN"/>
        </w:rPr>
        <w:t>.</w:t>
      </w:r>
    </w:p>
    <w:p w14:paraId="2D79E014" w14:textId="1EA71064" w:rsidR="00193F3E" w:rsidRPr="001424EE" w:rsidRDefault="00193F3E" w:rsidP="00193F3E">
      <w:pPr>
        <w:pStyle w:val="ListParagraph"/>
        <w:numPr>
          <w:ilvl w:val="1"/>
          <w:numId w:val="31"/>
        </w:numPr>
        <w:ind w:firstLineChars="0"/>
        <w:rPr>
          <w:rFonts w:eastAsiaTheme="minorEastAsia"/>
          <w:b/>
          <w:bCs/>
          <w:lang w:eastAsia="zh-CN"/>
        </w:rPr>
      </w:pPr>
      <w:r w:rsidRPr="001424EE">
        <w:rPr>
          <w:rFonts w:eastAsiaTheme="minorEastAsia"/>
          <w:b/>
          <w:bCs/>
          <w:lang w:eastAsia="zh-CN"/>
        </w:rPr>
        <w:t xml:space="preserve">Inclusion/exclusion of FFS-marked </w:t>
      </w:r>
      <w:r w:rsidR="00324F64" w:rsidRPr="001424EE">
        <w:rPr>
          <w:rFonts w:eastAsiaTheme="minorEastAsia"/>
          <w:b/>
          <w:bCs/>
          <w:lang w:eastAsia="zh-CN"/>
        </w:rPr>
        <w:t>elements</w:t>
      </w:r>
      <w:r w:rsidRPr="001424EE">
        <w:rPr>
          <w:rFonts w:eastAsiaTheme="minorEastAsia"/>
          <w:b/>
          <w:bCs/>
          <w:lang w:eastAsia="zh-CN"/>
        </w:rPr>
        <w:t xml:space="preserve"> in the</w:t>
      </w:r>
      <w:r w:rsidR="00B62AFE">
        <w:rPr>
          <w:rFonts w:eastAsiaTheme="minorEastAsia"/>
          <w:b/>
          <w:bCs/>
          <w:lang w:eastAsia="zh-CN"/>
        </w:rPr>
        <w:t xml:space="preserve"> device</w:t>
      </w:r>
      <w:r w:rsidRPr="001424EE">
        <w:rPr>
          <w:rFonts w:eastAsiaTheme="minorEastAsia"/>
          <w:b/>
          <w:bCs/>
          <w:lang w:eastAsia="zh-CN"/>
        </w:rPr>
        <w:t xml:space="preserve"> architectures</w:t>
      </w:r>
      <w:r w:rsidR="00B62AFE">
        <w:rPr>
          <w:rFonts w:eastAsiaTheme="minorEastAsia"/>
          <w:b/>
          <w:bCs/>
          <w:lang w:eastAsia="zh-CN"/>
        </w:rPr>
        <w:t>.</w:t>
      </w:r>
    </w:p>
    <w:p w14:paraId="032B6AD8" w14:textId="445AE25D" w:rsidR="00193F3E" w:rsidRDefault="00193F3E" w:rsidP="00193F3E">
      <w:pPr>
        <w:pStyle w:val="ListParagraph"/>
        <w:numPr>
          <w:ilvl w:val="1"/>
          <w:numId w:val="31"/>
        </w:numPr>
        <w:ind w:firstLineChars="0"/>
        <w:rPr>
          <w:rFonts w:eastAsiaTheme="minorEastAsia"/>
          <w:b/>
          <w:bCs/>
          <w:lang w:eastAsia="zh-CN"/>
        </w:rPr>
      </w:pPr>
      <w:r w:rsidRPr="001424EE">
        <w:rPr>
          <w:rFonts w:eastAsiaTheme="minorEastAsia"/>
          <w:b/>
          <w:bCs/>
          <w:lang w:eastAsia="zh-CN"/>
        </w:rPr>
        <w:t>Necessity and feasibility of ‘large frequency shift’ for device 2a.</w:t>
      </w:r>
    </w:p>
    <w:p w14:paraId="6DAAE1D3" w14:textId="77777777" w:rsidR="00F001BC" w:rsidRPr="00F001BC" w:rsidRDefault="00F001BC" w:rsidP="00F001BC">
      <w:pPr>
        <w:rPr>
          <w:rFonts w:eastAsiaTheme="minorEastAsia"/>
          <w:b/>
          <w:bCs/>
          <w:lang w:eastAsia="zh-CN"/>
        </w:rPr>
      </w:pPr>
    </w:p>
    <w:p w14:paraId="0C593E60" w14:textId="3D53C81E" w:rsidR="002205A1" w:rsidRDefault="002205A1" w:rsidP="002205A1">
      <w:pPr>
        <w:pStyle w:val="Heading2"/>
      </w:pPr>
      <w:bookmarkStart w:id="4" w:name="_Ref124589665"/>
      <w:bookmarkStart w:id="5" w:name="_Ref71620620"/>
      <w:bookmarkStart w:id="6" w:name="_Ref124671424"/>
      <w:r>
        <w:t>Carrier-wave waveform characteristics</w:t>
      </w:r>
    </w:p>
    <w:p w14:paraId="5230E9A9" w14:textId="401F3687" w:rsidR="002205A1" w:rsidRDefault="00AC6451" w:rsidP="002205A1">
      <w:r>
        <w:t>RAN1 has agreed that two CW waveforms are of primary relevance: a single-tone unmodulated sinusoid, and two unmodulated single-tones</w:t>
      </w:r>
      <w:r w:rsidR="002C1336">
        <w:t>. Also</w:t>
      </w:r>
      <w:r w:rsidR="00E42438">
        <w:t xml:space="preserve"> agreed is</w:t>
      </w:r>
      <w:r w:rsidR="002C1336">
        <w:t xml:space="preserve"> </w:t>
      </w:r>
      <w:r w:rsidR="00AE09CC">
        <w:t xml:space="preserve">a framework </w:t>
      </w:r>
      <w:r w:rsidR="002C1336">
        <w:t xml:space="preserve">of the relevant characteristics, </w:t>
      </w:r>
      <w:proofErr w:type="gramStart"/>
      <w:r w:rsidR="002C1336">
        <w:t>e.g.</w:t>
      </w:r>
      <w:proofErr w:type="gramEnd"/>
      <w:r w:rsidR="002C1336">
        <w:t xml:space="preserve"> “D2R reception performance”, “CW interference suppression at D2R receiver”, etc. </w:t>
      </w:r>
      <w:r w:rsidR="00AE09CC">
        <w:t xml:space="preserve">for making comparisons between them, which is being used successfully to reach observations </w:t>
      </w:r>
      <w:r w:rsidR="002C1336">
        <w:t>in RAN1</w:t>
      </w:r>
      <w:r>
        <w:t>.</w:t>
      </w:r>
      <w:r w:rsidR="00BA413A">
        <w:t xml:space="preserve"> The relevant CW spectrum types, </w:t>
      </w:r>
      <w:proofErr w:type="gramStart"/>
      <w:r w:rsidR="00BA413A">
        <w:t>i.e.</w:t>
      </w:r>
      <w:proofErr w:type="gramEnd"/>
      <w:r w:rsidR="00BA413A">
        <w:t xml:space="preserve"> FDD-DL or FDD-UL, for the study have also been agreed, covering the scoped deployments, topologies, and sources of CW. </w:t>
      </w:r>
    </w:p>
    <w:p w14:paraId="165B0B62" w14:textId="0BF4B684" w:rsidR="002C1336" w:rsidRDefault="00BA413A" w:rsidP="002205A1">
      <w:r>
        <w:t xml:space="preserve">There is no scope in the SID for </w:t>
      </w:r>
      <w:r w:rsidR="00351B33">
        <w:t>designing</w:t>
      </w:r>
      <w:r w:rsidR="00E42438">
        <w:t>,</w:t>
      </w:r>
      <w:r w:rsidR="00351B33">
        <w:t xml:space="preserve"> </w:t>
      </w:r>
      <w:r w:rsidR="00E42438">
        <w:t>n</w:t>
      </w:r>
      <w:r w:rsidR="00351B33">
        <w:t>or in detail evaluating</w:t>
      </w:r>
      <w:r w:rsidR="00E42438">
        <w:t>,</w:t>
      </w:r>
      <w:r w:rsidR="00351B33">
        <w:t xml:space="preserve"> interference handling methods at a Reader or an NR BS, since they are implementation matters. For evaluations purposes, companies will report what </w:t>
      </w:r>
      <w:r w:rsidR="00E42438">
        <w:t xml:space="preserve">CW interference </w:t>
      </w:r>
      <w:r w:rsidR="00351B33">
        <w:t xml:space="preserve">cancelation </w:t>
      </w:r>
      <w:r w:rsidR="00E95944">
        <w:t xml:space="preserve">levels </w:t>
      </w:r>
      <w:r w:rsidR="00351B33">
        <w:t>they believe can be achieved.</w:t>
      </w:r>
    </w:p>
    <w:p w14:paraId="77B48A2E" w14:textId="2A28B2AF" w:rsidR="00087FFA" w:rsidRDefault="00087FFA" w:rsidP="009944D4">
      <w:r>
        <w:t xml:space="preserve">Regarding the CW characteristics in case </w:t>
      </w:r>
      <w:r w:rsidR="00EB5001">
        <w:t xml:space="preserve">a device </w:t>
      </w:r>
      <w:r>
        <w:t xml:space="preserve">supports a so-called ‘large’ frequency shift, implemented by a hardware component, we do not see any reason why the </w:t>
      </w:r>
      <w:r w:rsidR="00EB5001">
        <w:t xml:space="preserve">impinging </w:t>
      </w:r>
      <w:r>
        <w:t>CW</w:t>
      </w:r>
      <w:r w:rsidR="00EB5001">
        <w:t xml:space="preserve"> itself</w:t>
      </w:r>
      <w:r>
        <w:t xml:space="preserve"> would have different waveform characteristics. Thus, from a work management point-of-view, even if RAN1 concludes that the large frequency shifter is a necessary and feasible component, there is no need to introduce parallel discussions under the CW waveform characteristics study.</w:t>
      </w:r>
    </w:p>
    <w:p w14:paraId="765BB864" w14:textId="1B4438D9" w:rsidR="00DF6291" w:rsidRDefault="00DF6291" w:rsidP="009944D4">
      <w:r>
        <w:t xml:space="preserve">RAN#103 stated that it is allowed to study characteristics of the CW which would need control, without including any study of method of control. This limitation was to ensure no need to dive into complex design work for CW nodes that may be outside of 3GPP, whilst being nevertheless controlled by an actor in the system. The Feature Lead Summary from RAN1#117 identified a succinct list of such characteristics which can be taken as sufficient </w:t>
      </w:r>
      <w:r w:rsidR="00C806A0">
        <w:t xml:space="preserve">(but not necessary) </w:t>
      </w:r>
      <w:r>
        <w:t>for closing this aspect of the study.</w:t>
      </w:r>
    </w:p>
    <w:p w14:paraId="43D5E8AC" w14:textId="5B917EA6" w:rsidR="009944D4" w:rsidRDefault="009944D4" w:rsidP="009944D4">
      <w:pPr>
        <w:rPr>
          <w:rFonts w:eastAsiaTheme="minorEastAsia"/>
          <w:lang w:eastAsia="zh-CN"/>
        </w:rPr>
      </w:pPr>
      <w:r>
        <w:lastRenderedPageBreak/>
        <w:t xml:space="preserve">The objective has been largely completed, and the Rapporteurs’ plan [1] </w:t>
      </w:r>
      <w:r w:rsidR="00E42438">
        <w:t>is</w:t>
      </w:r>
      <w:r w:rsidR="004F427A">
        <w:t xml:space="preserve"> </w:t>
      </w:r>
      <w:r>
        <w:t xml:space="preserve">to finish the work in August (RAN1#118). </w:t>
      </w:r>
      <w:r w:rsidR="004703A5">
        <w:t>Thus, we believe RAN1 should be guided to tackle the open issues from what has already been agreed, with no need to expand workload to new aspects.</w:t>
      </w:r>
    </w:p>
    <w:p w14:paraId="33F7C88F" w14:textId="3113698B" w:rsidR="009944D4" w:rsidRPr="00416133" w:rsidRDefault="009944D4" w:rsidP="002205A1">
      <w:pPr>
        <w:rPr>
          <w:b/>
          <w:bCs/>
        </w:rPr>
      </w:pPr>
      <w:r w:rsidRPr="00416133">
        <w:rPr>
          <w:b/>
          <w:bCs/>
        </w:rPr>
        <w:t xml:space="preserve">Proposal 2: Remaining RAN1 </w:t>
      </w:r>
      <w:r w:rsidR="00416133">
        <w:rPr>
          <w:b/>
          <w:bCs/>
        </w:rPr>
        <w:t>scope</w:t>
      </w:r>
      <w:r w:rsidRPr="00416133">
        <w:rPr>
          <w:b/>
          <w:bCs/>
        </w:rPr>
        <w:t xml:space="preserve"> for “necessary characteristics of carrier-wave waveform” is:</w:t>
      </w:r>
    </w:p>
    <w:p w14:paraId="595366A3" w14:textId="7DFCB5FF" w:rsidR="009944D4" w:rsidRPr="00416133" w:rsidRDefault="002E34D3" w:rsidP="009944D4">
      <w:pPr>
        <w:pStyle w:val="ListParagraph"/>
        <w:numPr>
          <w:ilvl w:val="0"/>
          <w:numId w:val="32"/>
        </w:numPr>
        <w:ind w:firstLineChars="0"/>
        <w:rPr>
          <w:b/>
          <w:bCs/>
        </w:rPr>
      </w:pPr>
      <w:r w:rsidRPr="00416133">
        <w:rPr>
          <w:b/>
          <w:bCs/>
        </w:rPr>
        <w:t>Complete observations and/or comparisons of the two agreed waveforms, and the four agreed waveform characteristics</w:t>
      </w:r>
    </w:p>
    <w:p w14:paraId="7DB1EBB8" w14:textId="2E63D824" w:rsidR="002E34D3" w:rsidRPr="00416133" w:rsidRDefault="002E34D3" w:rsidP="002E34D3">
      <w:pPr>
        <w:pStyle w:val="ListParagraph"/>
        <w:numPr>
          <w:ilvl w:val="1"/>
          <w:numId w:val="32"/>
        </w:numPr>
        <w:ind w:firstLineChars="0"/>
        <w:rPr>
          <w:b/>
          <w:bCs/>
        </w:rPr>
      </w:pPr>
      <w:r w:rsidRPr="00416133">
        <w:rPr>
          <w:b/>
          <w:bCs/>
        </w:rPr>
        <w:t>There is an open table in the RAN1#117 chair’s notes for this purpose</w:t>
      </w:r>
    </w:p>
    <w:p w14:paraId="6BFBDF6D" w14:textId="77777777" w:rsidR="002E34D3" w:rsidRPr="00416133" w:rsidRDefault="002E34D3" w:rsidP="002E34D3">
      <w:pPr>
        <w:pStyle w:val="ListParagraph"/>
        <w:numPr>
          <w:ilvl w:val="2"/>
          <w:numId w:val="32"/>
        </w:numPr>
        <w:ind w:firstLineChars="0"/>
        <w:rPr>
          <w:b/>
          <w:bCs/>
        </w:rPr>
      </w:pPr>
      <w:r w:rsidRPr="00416133">
        <w:rPr>
          <w:b/>
          <w:bCs/>
        </w:rPr>
        <w:t>D2R reception performance</w:t>
      </w:r>
    </w:p>
    <w:p w14:paraId="38B7520F" w14:textId="77777777" w:rsidR="002E34D3" w:rsidRPr="00416133" w:rsidRDefault="002E34D3" w:rsidP="002E34D3">
      <w:pPr>
        <w:pStyle w:val="ListParagraph"/>
        <w:numPr>
          <w:ilvl w:val="2"/>
          <w:numId w:val="32"/>
        </w:numPr>
        <w:ind w:firstLineChars="0"/>
        <w:rPr>
          <w:b/>
          <w:bCs/>
        </w:rPr>
      </w:pPr>
      <w:r w:rsidRPr="00416133">
        <w:rPr>
          <w:b/>
          <w:bCs/>
        </w:rPr>
        <w:t>Spectrum utilization of backscattered signal corresponding to the CW waveforms</w:t>
      </w:r>
    </w:p>
    <w:p w14:paraId="6BD3CDDB" w14:textId="77777777" w:rsidR="002E34D3" w:rsidRPr="00416133" w:rsidRDefault="002E34D3" w:rsidP="002E34D3">
      <w:pPr>
        <w:pStyle w:val="ListParagraph"/>
        <w:numPr>
          <w:ilvl w:val="2"/>
          <w:numId w:val="32"/>
        </w:numPr>
        <w:ind w:firstLineChars="0"/>
        <w:rPr>
          <w:b/>
          <w:bCs/>
        </w:rPr>
      </w:pPr>
      <w:r w:rsidRPr="00416133">
        <w:rPr>
          <w:b/>
          <w:bCs/>
        </w:rPr>
        <w:t>CW interference suppression at D2R receiver</w:t>
      </w:r>
    </w:p>
    <w:p w14:paraId="47679640" w14:textId="68DFE947" w:rsidR="002E34D3" w:rsidRDefault="002E34D3" w:rsidP="002E34D3">
      <w:pPr>
        <w:pStyle w:val="ListParagraph"/>
        <w:numPr>
          <w:ilvl w:val="2"/>
          <w:numId w:val="32"/>
        </w:numPr>
        <w:ind w:firstLineChars="0"/>
        <w:rPr>
          <w:b/>
          <w:bCs/>
        </w:rPr>
      </w:pPr>
      <w:r w:rsidRPr="00416133">
        <w:rPr>
          <w:b/>
          <w:bCs/>
        </w:rPr>
        <w:t>Relative complexity of CW generation</w:t>
      </w:r>
    </w:p>
    <w:p w14:paraId="71052F71" w14:textId="76E34167" w:rsidR="00C806A0" w:rsidRDefault="00C806A0" w:rsidP="00C806A0">
      <w:pPr>
        <w:pStyle w:val="ListParagraph"/>
        <w:numPr>
          <w:ilvl w:val="0"/>
          <w:numId w:val="32"/>
        </w:numPr>
        <w:ind w:firstLineChars="0"/>
        <w:rPr>
          <w:b/>
          <w:bCs/>
        </w:rPr>
      </w:pPr>
      <w:r>
        <w:rPr>
          <w:b/>
          <w:bCs/>
        </w:rPr>
        <w:t>List</w:t>
      </w:r>
      <w:r w:rsidR="009632FE">
        <w:rPr>
          <w:b/>
          <w:bCs/>
        </w:rPr>
        <w:t>ing</w:t>
      </w:r>
      <w:r>
        <w:rPr>
          <w:b/>
          <w:bCs/>
        </w:rPr>
        <w:t xml:space="preserve"> carrier-wave waveform characteristics which could need control</w:t>
      </w:r>
      <w:r w:rsidR="009632FE">
        <w:rPr>
          <w:b/>
          <w:bCs/>
        </w:rPr>
        <w:t>.</w:t>
      </w:r>
    </w:p>
    <w:p w14:paraId="3F19F43C" w14:textId="5EB997FE" w:rsidR="00C806A0" w:rsidRPr="00C806A0" w:rsidRDefault="00DF7B6E" w:rsidP="00C806A0">
      <w:pPr>
        <w:pStyle w:val="ListParagraph"/>
        <w:numPr>
          <w:ilvl w:val="1"/>
          <w:numId w:val="32"/>
        </w:numPr>
        <w:ind w:firstLineChars="0"/>
        <w:rPr>
          <w:b/>
          <w:bCs/>
        </w:rPr>
      </w:pPr>
      <w:r>
        <w:rPr>
          <w:b/>
          <w:bCs/>
        </w:rPr>
        <w:t xml:space="preserve">RAN#103 did not allow discussion of </w:t>
      </w:r>
      <w:r w:rsidR="002A30C3">
        <w:rPr>
          <w:b/>
          <w:bCs/>
        </w:rPr>
        <w:t>how to control.</w:t>
      </w:r>
    </w:p>
    <w:p w14:paraId="11B7D349" w14:textId="58B8EEA0" w:rsidR="00982D8E" w:rsidRDefault="00982D8E" w:rsidP="00982D8E">
      <w:pPr>
        <w:pStyle w:val="Heading2"/>
      </w:pPr>
      <w:r w:rsidRPr="00982D8E">
        <w:t>Other WGs and other objectives</w:t>
      </w:r>
    </w:p>
    <w:p w14:paraId="49A75C52" w14:textId="66C9741C" w:rsidR="00982D8E" w:rsidRPr="00982D8E" w:rsidRDefault="00FC4BEB" w:rsidP="00982D8E">
      <w:r>
        <w:t>T</w:t>
      </w:r>
      <w:r w:rsidR="00982D8E">
        <w:t>he other objectives in RAN1, and the objectives led by other WGs</w:t>
      </w:r>
      <w:r>
        <w:t>,</w:t>
      </w:r>
      <w:r w:rsidR="00982D8E">
        <w:t xml:space="preserve"> are proceeding clearly</w:t>
      </w:r>
      <w:r w:rsidR="005F4CB2">
        <w:t xml:space="preserve">. The Rapporteurs’ workplan does not call for them to conclude in the next quarter. Hence, they do not require workplan management at this time. </w:t>
      </w:r>
    </w:p>
    <w:p w14:paraId="27A3AC4A" w14:textId="20162369" w:rsidR="005030C2" w:rsidRDefault="005030C2" w:rsidP="004F668A">
      <w:pPr>
        <w:pStyle w:val="Heading1"/>
      </w:pPr>
      <w:r w:rsidRPr="00211CCD">
        <w:t>Conclusion</w:t>
      </w:r>
    </w:p>
    <w:p w14:paraId="78282D18" w14:textId="482D7B95" w:rsidR="001D3130" w:rsidRPr="004703A5" w:rsidRDefault="004703A5" w:rsidP="001D3130">
      <w:pPr>
        <w:tabs>
          <w:tab w:val="num" w:pos="2160"/>
        </w:tabs>
        <w:rPr>
          <w:bCs/>
          <w:lang w:val="en-GB" w:eastAsia="zh-CN"/>
        </w:rPr>
      </w:pPr>
      <w:r w:rsidRPr="004703A5">
        <w:rPr>
          <w:bCs/>
          <w:lang w:val="en-GB" w:eastAsia="zh-CN"/>
        </w:rPr>
        <w:t xml:space="preserve">This </w:t>
      </w:r>
      <w:r w:rsidR="00AA73A0">
        <w:rPr>
          <w:bCs/>
          <w:lang w:val="en-GB" w:eastAsia="zh-CN"/>
        </w:rPr>
        <w:t xml:space="preserve">paper has proposed what guidance </w:t>
      </w:r>
      <w:r w:rsidR="00406988">
        <w:rPr>
          <w:bCs/>
          <w:lang w:val="en-GB" w:eastAsia="zh-CN"/>
        </w:rPr>
        <w:t>RAN should give</w:t>
      </w:r>
      <w:r w:rsidR="005B2045">
        <w:rPr>
          <w:bCs/>
          <w:lang w:val="en-GB" w:eastAsia="zh-CN"/>
        </w:rPr>
        <w:t xml:space="preserve"> to RAN1</w:t>
      </w:r>
      <w:r w:rsidR="00406988">
        <w:rPr>
          <w:bCs/>
          <w:lang w:val="en-GB" w:eastAsia="zh-CN"/>
        </w:rPr>
        <w:t xml:space="preserve"> </w:t>
      </w:r>
      <w:r w:rsidR="00FC4BEB">
        <w:rPr>
          <w:bCs/>
          <w:lang w:val="en-GB" w:eastAsia="zh-CN"/>
        </w:rPr>
        <w:t>for the</w:t>
      </w:r>
      <w:r w:rsidR="00406988">
        <w:rPr>
          <w:bCs/>
          <w:lang w:val="en-GB" w:eastAsia="zh-CN"/>
        </w:rPr>
        <w:t xml:space="preserve"> Rel-19</w:t>
      </w:r>
      <w:r w:rsidR="00FC4BEB">
        <w:rPr>
          <w:bCs/>
          <w:lang w:val="en-GB" w:eastAsia="zh-CN"/>
        </w:rPr>
        <w:t xml:space="preserve"> Ambient IoT SI </w:t>
      </w:r>
      <w:r w:rsidR="00AA73A0">
        <w:rPr>
          <w:bCs/>
          <w:lang w:val="en-GB" w:eastAsia="zh-CN"/>
        </w:rPr>
        <w:t>so that companies are clear on what remains to be done in the objectives of device architecture, and CW waveform characteristics, with respect to the Rapporteurs’ workplan which calls for those SID tasks to finish in August, RAN1#118.</w:t>
      </w:r>
    </w:p>
    <w:p w14:paraId="106D6CC9" w14:textId="77777777" w:rsidR="0017162B" w:rsidRPr="001424EE" w:rsidRDefault="0017162B" w:rsidP="0017162B">
      <w:pPr>
        <w:rPr>
          <w:rFonts w:eastAsiaTheme="minorEastAsia"/>
          <w:b/>
          <w:bCs/>
          <w:lang w:eastAsia="zh-CN"/>
        </w:rPr>
      </w:pPr>
      <w:r w:rsidRPr="001424EE">
        <w:rPr>
          <w:rFonts w:eastAsiaTheme="minorEastAsia"/>
          <w:b/>
          <w:bCs/>
          <w:lang w:eastAsia="zh-CN"/>
        </w:rPr>
        <w:t>Proposal 1: Remaining RAN1 s</w:t>
      </w:r>
      <w:r>
        <w:rPr>
          <w:rFonts w:eastAsiaTheme="minorEastAsia"/>
          <w:b/>
          <w:bCs/>
          <w:lang w:eastAsia="zh-CN"/>
        </w:rPr>
        <w:t xml:space="preserve">cope </w:t>
      </w:r>
      <w:r w:rsidRPr="001424EE">
        <w:rPr>
          <w:rFonts w:eastAsiaTheme="minorEastAsia"/>
          <w:b/>
          <w:bCs/>
          <w:lang w:eastAsia="zh-CN"/>
        </w:rPr>
        <w:t>for Objective 1</w:t>
      </w:r>
      <w:r>
        <w:rPr>
          <w:rFonts w:eastAsiaTheme="minorEastAsia"/>
          <w:b/>
          <w:bCs/>
          <w:lang w:eastAsia="zh-CN"/>
        </w:rPr>
        <w:t>c), on A-IoT device architectures,</w:t>
      </w:r>
      <w:r w:rsidRPr="001424EE">
        <w:rPr>
          <w:rFonts w:eastAsiaTheme="minorEastAsia"/>
          <w:b/>
          <w:bCs/>
          <w:lang w:eastAsia="zh-CN"/>
        </w:rPr>
        <w:t xml:space="preserve"> is:</w:t>
      </w:r>
    </w:p>
    <w:p w14:paraId="50F30D4C" w14:textId="77777777" w:rsidR="0017162B" w:rsidRPr="001424EE" w:rsidRDefault="0017162B" w:rsidP="0017162B">
      <w:pPr>
        <w:pStyle w:val="ListParagraph"/>
        <w:numPr>
          <w:ilvl w:val="0"/>
          <w:numId w:val="31"/>
        </w:numPr>
        <w:ind w:firstLineChars="0"/>
        <w:rPr>
          <w:rFonts w:eastAsiaTheme="minorEastAsia"/>
          <w:b/>
          <w:bCs/>
          <w:lang w:eastAsia="zh-CN"/>
        </w:rPr>
      </w:pPr>
      <w:r w:rsidRPr="001424EE">
        <w:rPr>
          <w:rFonts w:eastAsiaTheme="minorEastAsia"/>
          <w:b/>
          <w:bCs/>
          <w:lang w:eastAsia="zh-CN"/>
        </w:rPr>
        <w:t>Purposes of clock/LO in the device.</w:t>
      </w:r>
    </w:p>
    <w:p w14:paraId="1751F1E1" w14:textId="77777777" w:rsidR="0017162B" w:rsidRPr="001424EE" w:rsidRDefault="0017162B" w:rsidP="0017162B">
      <w:pPr>
        <w:pStyle w:val="ListParagraph"/>
        <w:numPr>
          <w:ilvl w:val="1"/>
          <w:numId w:val="31"/>
        </w:numPr>
        <w:ind w:firstLineChars="0"/>
        <w:rPr>
          <w:rFonts w:eastAsiaTheme="minorEastAsia"/>
          <w:b/>
          <w:bCs/>
          <w:lang w:eastAsia="zh-CN"/>
        </w:rPr>
      </w:pPr>
      <w:r w:rsidRPr="001424EE">
        <w:rPr>
          <w:rFonts w:eastAsiaTheme="minorEastAsia"/>
          <w:b/>
          <w:bCs/>
          <w:lang w:eastAsia="zh-CN"/>
        </w:rPr>
        <w:t>There is an open table in the RAN1#117 chair’s notes for this purpose.</w:t>
      </w:r>
    </w:p>
    <w:p w14:paraId="3DB91357" w14:textId="77777777" w:rsidR="0017162B" w:rsidRPr="001424EE" w:rsidRDefault="0017162B" w:rsidP="0017162B">
      <w:pPr>
        <w:pStyle w:val="ListParagraph"/>
        <w:numPr>
          <w:ilvl w:val="0"/>
          <w:numId w:val="31"/>
        </w:numPr>
        <w:ind w:firstLineChars="0"/>
        <w:rPr>
          <w:rFonts w:eastAsiaTheme="minorEastAsia"/>
          <w:b/>
          <w:bCs/>
          <w:lang w:eastAsia="zh-CN"/>
        </w:rPr>
      </w:pPr>
      <w:r w:rsidRPr="001424EE">
        <w:rPr>
          <w:rFonts w:eastAsiaTheme="minorEastAsia"/>
          <w:b/>
          <w:bCs/>
          <w:lang w:eastAsia="zh-CN"/>
        </w:rPr>
        <w:t>Resolve remaining FFS points in the agreements.</w:t>
      </w:r>
    </w:p>
    <w:p w14:paraId="0027B8D7" w14:textId="77777777" w:rsidR="0017162B" w:rsidRPr="001424EE" w:rsidRDefault="0017162B" w:rsidP="0017162B">
      <w:pPr>
        <w:pStyle w:val="ListParagraph"/>
        <w:numPr>
          <w:ilvl w:val="1"/>
          <w:numId w:val="31"/>
        </w:numPr>
        <w:ind w:firstLineChars="0"/>
        <w:rPr>
          <w:rFonts w:eastAsiaTheme="minorEastAsia"/>
          <w:b/>
          <w:bCs/>
          <w:lang w:eastAsia="zh-CN"/>
        </w:rPr>
      </w:pPr>
      <w:r w:rsidRPr="001424EE">
        <w:rPr>
          <w:rFonts w:eastAsiaTheme="minorEastAsia"/>
          <w:b/>
          <w:bCs/>
          <w:lang w:eastAsia="zh-CN"/>
        </w:rPr>
        <w:t>Inclusion/exclusion of FFS-marked elements in the</w:t>
      </w:r>
      <w:r>
        <w:rPr>
          <w:rFonts w:eastAsiaTheme="minorEastAsia"/>
          <w:b/>
          <w:bCs/>
          <w:lang w:eastAsia="zh-CN"/>
        </w:rPr>
        <w:t xml:space="preserve"> device</w:t>
      </w:r>
      <w:r w:rsidRPr="001424EE">
        <w:rPr>
          <w:rFonts w:eastAsiaTheme="minorEastAsia"/>
          <w:b/>
          <w:bCs/>
          <w:lang w:eastAsia="zh-CN"/>
        </w:rPr>
        <w:t xml:space="preserve"> architectures</w:t>
      </w:r>
      <w:r>
        <w:rPr>
          <w:rFonts w:eastAsiaTheme="minorEastAsia"/>
          <w:b/>
          <w:bCs/>
          <w:lang w:eastAsia="zh-CN"/>
        </w:rPr>
        <w:t>.</w:t>
      </w:r>
    </w:p>
    <w:p w14:paraId="0EEAC77B" w14:textId="77777777" w:rsidR="0017162B" w:rsidRDefault="0017162B" w:rsidP="0017162B">
      <w:pPr>
        <w:pStyle w:val="ListParagraph"/>
        <w:numPr>
          <w:ilvl w:val="1"/>
          <w:numId w:val="31"/>
        </w:numPr>
        <w:ind w:firstLineChars="0"/>
        <w:rPr>
          <w:rFonts w:eastAsiaTheme="minorEastAsia"/>
          <w:b/>
          <w:bCs/>
          <w:lang w:eastAsia="zh-CN"/>
        </w:rPr>
      </w:pPr>
      <w:r w:rsidRPr="001424EE">
        <w:rPr>
          <w:rFonts w:eastAsiaTheme="minorEastAsia"/>
          <w:b/>
          <w:bCs/>
          <w:lang w:eastAsia="zh-CN"/>
        </w:rPr>
        <w:t>Necessity and feasibility of ‘large frequency shift’ for device 2a.</w:t>
      </w:r>
    </w:p>
    <w:p w14:paraId="1AAB071A" w14:textId="77777777" w:rsidR="0017162B" w:rsidRDefault="0017162B" w:rsidP="0017162B">
      <w:pPr>
        <w:rPr>
          <w:b/>
          <w:bCs/>
        </w:rPr>
      </w:pPr>
    </w:p>
    <w:p w14:paraId="7E0B8F7C" w14:textId="0A5FDCEC" w:rsidR="0017162B" w:rsidRPr="00416133" w:rsidRDefault="0017162B" w:rsidP="0017162B">
      <w:pPr>
        <w:rPr>
          <w:b/>
          <w:bCs/>
        </w:rPr>
      </w:pPr>
      <w:r w:rsidRPr="00416133">
        <w:rPr>
          <w:b/>
          <w:bCs/>
        </w:rPr>
        <w:t xml:space="preserve">Proposal 2: Remaining RAN1 </w:t>
      </w:r>
      <w:r>
        <w:rPr>
          <w:b/>
          <w:bCs/>
        </w:rPr>
        <w:t>scope</w:t>
      </w:r>
      <w:r w:rsidRPr="00416133">
        <w:rPr>
          <w:b/>
          <w:bCs/>
        </w:rPr>
        <w:t xml:space="preserve"> for “necessary characteristics of carrier-wave waveform” is:</w:t>
      </w:r>
    </w:p>
    <w:p w14:paraId="1C8C840E" w14:textId="77777777" w:rsidR="0017162B" w:rsidRPr="00416133" w:rsidRDefault="0017162B" w:rsidP="0017162B">
      <w:pPr>
        <w:pStyle w:val="ListParagraph"/>
        <w:numPr>
          <w:ilvl w:val="0"/>
          <w:numId w:val="32"/>
        </w:numPr>
        <w:ind w:firstLineChars="0"/>
        <w:rPr>
          <w:b/>
          <w:bCs/>
        </w:rPr>
      </w:pPr>
      <w:r w:rsidRPr="00416133">
        <w:rPr>
          <w:b/>
          <w:bCs/>
        </w:rPr>
        <w:t>Complete observations and/or comparisons of the two agreed waveforms, and the four agreed waveform characteristics</w:t>
      </w:r>
    </w:p>
    <w:p w14:paraId="55B2D83D" w14:textId="77777777" w:rsidR="0017162B" w:rsidRPr="00416133" w:rsidRDefault="0017162B" w:rsidP="0017162B">
      <w:pPr>
        <w:pStyle w:val="ListParagraph"/>
        <w:numPr>
          <w:ilvl w:val="1"/>
          <w:numId w:val="32"/>
        </w:numPr>
        <w:ind w:firstLineChars="0"/>
        <w:rPr>
          <w:b/>
          <w:bCs/>
        </w:rPr>
      </w:pPr>
      <w:r w:rsidRPr="00416133">
        <w:rPr>
          <w:b/>
          <w:bCs/>
        </w:rPr>
        <w:t>There is an open table in the RAN1#117 chair’s notes for this purpose</w:t>
      </w:r>
    </w:p>
    <w:p w14:paraId="491E7D1E" w14:textId="77777777" w:rsidR="0017162B" w:rsidRPr="00416133" w:rsidRDefault="0017162B" w:rsidP="0017162B">
      <w:pPr>
        <w:pStyle w:val="ListParagraph"/>
        <w:numPr>
          <w:ilvl w:val="2"/>
          <w:numId w:val="32"/>
        </w:numPr>
        <w:ind w:firstLineChars="0"/>
        <w:rPr>
          <w:b/>
          <w:bCs/>
        </w:rPr>
      </w:pPr>
      <w:r w:rsidRPr="00416133">
        <w:rPr>
          <w:b/>
          <w:bCs/>
        </w:rPr>
        <w:t>D2R reception performance</w:t>
      </w:r>
    </w:p>
    <w:p w14:paraId="31B2C363" w14:textId="77777777" w:rsidR="0017162B" w:rsidRPr="00416133" w:rsidRDefault="0017162B" w:rsidP="0017162B">
      <w:pPr>
        <w:pStyle w:val="ListParagraph"/>
        <w:numPr>
          <w:ilvl w:val="2"/>
          <w:numId w:val="32"/>
        </w:numPr>
        <w:ind w:firstLineChars="0"/>
        <w:rPr>
          <w:b/>
          <w:bCs/>
        </w:rPr>
      </w:pPr>
      <w:r w:rsidRPr="00416133">
        <w:rPr>
          <w:b/>
          <w:bCs/>
        </w:rPr>
        <w:t>Spectrum utilization of backscattered signal corresponding to the CW waveforms</w:t>
      </w:r>
    </w:p>
    <w:p w14:paraId="31FE7E7D" w14:textId="77777777" w:rsidR="0017162B" w:rsidRPr="00416133" w:rsidRDefault="0017162B" w:rsidP="0017162B">
      <w:pPr>
        <w:pStyle w:val="ListParagraph"/>
        <w:numPr>
          <w:ilvl w:val="2"/>
          <w:numId w:val="32"/>
        </w:numPr>
        <w:ind w:firstLineChars="0"/>
        <w:rPr>
          <w:b/>
          <w:bCs/>
        </w:rPr>
      </w:pPr>
      <w:r w:rsidRPr="00416133">
        <w:rPr>
          <w:b/>
          <w:bCs/>
        </w:rPr>
        <w:t>CW interference suppression at D2R receiver</w:t>
      </w:r>
    </w:p>
    <w:p w14:paraId="0B474CDE" w14:textId="77777777" w:rsidR="0017162B" w:rsidRDefault="0017162B" w:rsidP="0017162B">
      <w:pPr>
        <w:pStyle w:val="ListParagraph"/>
        <w:numPr>
          <w:ilvl w:val="2"/>
          <w:numId w:val="32"/>
        </w:numPr>
        <w:ind w:firstLineChars="0"/>
        <w:rPr>
          <w:b/>
          <w:bCs/>
        </w:rPr>
      </w:pPr>
      <w:r w:rsidRPr="00416133">
        <w:rPr>
          <w:b/>
          <w:bCs/>
        </w:rPr>
        <w:t>Relative complexity of CW generation</w:t>
      </w:r>
    </w:p>
    <w:p w14:paraId="495C90C1" w14:textId="77777777" w:rsidR="0017162B" w:rsidRDefault="0017162B" w:rsidP="0017162B">
      <w:pPr>
        <w:pStyle w:val="ListParagraph"/>
        <w:numPr>
          <w:ilvl w:val="0"/>
          <w:numId w:val="32"/>
        </w:numPr>
        <w:ind w:firstLineChars="0"/>
        <w:rPr>
          <w:b/>
          <w:bCs/>
        </w:rPr>
      </w:pPr>
      <w:r>
        <w:rPr>
          <w:b/>
          <w:bCs/>
        </w:rPr>
        <w:t>Listing carrier-wave waveform characteristics which could need control.</w:t>
      </w:r>
    </w:p>
    <w:p w14:paraId="7F2A071D" w14:textId="77777777" w:rsidR="0017162B" w:rsidRPr="00C806A0" w:rsidRDefault="0017162B" w:rsidP="0017162B">
      <w:pPr>
        <w:pStyle w:val="ListParagraph"/>
        <w:numPr>
          <w:ilvl w:val="1"/>
          <w:numId w:val="32"/>
        </w:numPr>
        <w:ind w:firstLineChars="0"/>
        <w:rPr>
          <w:b/>
          <w:bCs/>
        </w:rPr>
      </w:pPr>
      <w:r>
        <w:rPr>
          <w:b/>
          <w:bCs/>
        </w:rPr>
        <w:lastRenderedPageBreak/>
        <w:t>RAN#103 did not allow discussion of how to control.</w:t>
      </w:r>
    </w:p>
    <w:p w14:paraId="32F263B0" w14:textId="77777777" w:rsidR="001D780E" w:rsidRPr="006B77DD" w:rsidRDefault="001D780E" w:rsidP="00CF195E">
      <w:pPr>
        <w:pStyle w:val="Heading1"/>
        <w:numPr>
          <w:ilvl w:val="0"/>
          <w:numId w:val="0"/>
        </w:numPr>
        <w:ind w:left="432" w:hanging="432"/>
      </w:pPr>
      <w:r w:rsidRPr="006B77DD">
        <w:t>References</w:t>
      </w:r>
    </w:p>
    <w:p w14:paraId="166EF7C7" w14:textId="793E9190" w:rsidR="005B7BA9" w:rsidRDefault="00DE37B4" w:rsidP="001408A4">
      <w:pPr>
        <w:pStyle w:val="ListParagraph"/>
        <w:numPr>
          <w:ilvl w:val="0"/>
          <w:numId w:val="11"/>
        </w:numPr>
        <w:ind w:firstLineChars="0"/>
        <w:rPr>
          <w:kern w:val="2"/>
          <w:sz w:val="20"/>
          <w:szCs w:val="16"/>
          <w:lang w:eastAsia="zh-CN"/>
        </w:rPr>
      </w:pPr>
      <w:bookmarkStart w:id="7" w:name="_Ref151642016"/>
      <w:bookmarkEnd w:id="2"/>
      <w:bookmarkEnd w:id="4"/>
      <w:bookmarkEnd w:id="5"/>
      <w:bookmarkEnd w:id="6"/>
      <w:r w:rsidRPr="00DE37B4">
        <w:rPr>
          <w:kern w:val="2"/>
          <w:sz w:val="20"/>
          <w:szCs w:val="16"/>
          <w:lang w:eastAsia="zh-CN"/>
        </w:rPr>
        <w:t>R1-2400328</w:t>
      </w:r>
      <w:r>
        <w:rPr>
          <w:kern w:val="2"/>
          <w:sz w:val="20"/>
          <w:szCs w:val="16"/>
          <w:lang w:eastAsia="zh-CN"/>
        </w:rPr>
        <w:t>, “</w:t>
      </w:r>
      <w:r w:rsidRPr="00DE37B4">
        <w:rPr>
          <w:kern w:val="2"/>
          <w:sz w:val="20"/>
          <w:szCs w:val="16"/>
          <w:lang w:eastAsia="zh-CN"/>
        </w:rPr>
        <w:t>Ambient IoT Study Item work plan</w:t>
      </w:r>
      <w:r>
        <w:rPr>
          <w:kern w:val="2"/>
          <w:sz w:val="20"/>
          <w:szCs w:val="16"/>
          <w:lang w:eastAsia="zh-CN"/>
        </w:rPr>
        <w:t>”, RAN1#116, Athens, Greece, February 202</w:t>
      </w:r>
      <w:r w:rsidR="005339F5">
        <w:rPr>
          <w:kern w:val="2"/>
          <w:sz w:val="20"/>
          <w:szCs w:val="16"/>
          <w:lang w:eastAsia="zh-CN"/>
        </w:rPr>
        <w:t>4</w:t>
      </w:r>
      <w:r w:rsidR="005B7BA9" w:rsidRPr="005B7BA9">
        <w:rPr>
          <w:kern w:val="2"/>
          <w:sz w:val="20"/>
          <w:szCs w:val="16"/>
          <w:lang w:eastAsia="zh-CN"/>
        </w:rPr>
        <w:t>.</w:t>
      </w:r>
      <w:bookmarkEnd w:id="7"/>
    </w:p>
    <w:p w14:paraId="6D951805" w14:textId="7CF67D8B" w:rsidR="006E11DD" w:rsidRDefault="006E11DD" w:rsidP="006E11DD">
      <w:pPr>
        <w:pStyle w:val="ListParagraph"/>
        <w:ind w:left="420" w:firstLineChars="0" w:firstLine="0"/>
        <w:rPr>
          <w:kern w:val="2"/>
          <w:sz w:val="20"/>
          <w:szCs w:val="16"/>
          <w:lang w:eastAsia="zh-CN"/>
        </w:rPr>
      </w:pPr>
      <w:r>
        <w:rPr>
          <w:kern w:val="2"/>
          <w:sz w:val="20"/>
          <w:szCs w:val="16"/>
          <w:lang w:eastAsia="zh-CN"/>
        </w:rPr>
        <w:t>(</w:t>
      </w:r>
      <w:proofErr w:type="gramStart"/>
      <w:r>
        <w:rPr>
          <w:kern w:val="2"/>
          <w:sz w:val="20"/>
          <w:szCs w:val="16"/>
          <w:lang w:eastAsia="zh-CN"/>
        </w:rPr>
        <w:t>and</w:t>
      </w:r>
      <w:proofErr w:type="gramEnd"/>
      <w:r>
        <w:rPr>
          <w:kern w:val="2"/>
          <w:sz w:val="20"/>
          <w:szCs w:val="16"/>
          <w:lang w:eastAsia="zh-CN"/>
        </w:rPr>
        <w:t xml:space="preserve"> equivalents in RAN2,3,4</w:t>
      </w:r>
      <w:r w:rsidR="000A00A5">
        <w:rPr>
          <w:kern w:val="2"/>
          <w:sz w:val="20"/>
          <w:szCs w:val="16"/>
          <w:lang w:eastAsia="zh-CN"/>
        </w:rPr>
        <w:t xml:space="preserve"> in April WG meetings</w:t>
      </w:r>
      <w:r>
        <w:rPr>
          <w:kern w:val="2"/>
          <w:sz w:val="20"/>
          <w:szCs w:val="16"/>
          <w:lang w:eastAsia="zh-CN"/>
        </w:rPr>
        <w:t>).</w:t>
      </w:r>
    </w:p>
    <w:p w14:paraId="05A414B0" w14:textId="23B316C0" w:rsidR="003D0108" w:rsidRDefault="000E537E" w:rsidP="001408A4">
      <w:pPr>
        <w:pStyle w:val="ListParagraph"/>
        <w:numPr>
          <w:ilvl w:val="0"/>
          <w:numId w:val="11"/>
        </w:numPr>
        <w:ind w:firstLineChars="0"/>
        <w:rPr>
          <w:kern w:val="2"/>
          <w:sz w:val="20"/>
          <w:szCs w:val="16"/>
          <w:lang w:eastAsia="zh-CN"/>
        </w:rPr>
      </w:pPr>
      <w:r w:rsidRPr="000E537E">
        <w:rPr>
          <w:kern w:val="2"/>
          <w:sz w:val="20"/>
          <w:szCs w:val="16"/>
          <w:lang w:eastAsia="zh-CN"/>
        </w:rPr>
        <w:t>RP-240826</w:t>
      </w:r>
      <w:r>
        <w:rPr>
          <w:kern w:val="2"/>
          <w:sz w:val="20"/>
          <w:szCs w:val="16"/>
          <w:lang w:eastAsia="zh-CN"/>
        </w:rPr>
        <w:t>, “</w:t>
      </w:r>
      <w:r w:rsidRPr="000E537E">
        <w:rPr>
          <w:kern w:val="2"/>
          <w:sz w:val="20"/>
          <w:szCs w:val="16"/>
          <w:lang w:eastAsia="zh-CN"/>
        </w:rPr>
        <w:t>Revised SID: Study on solutions for Ambient IoT (Internet of Things) in NR</w:t>
      </w:r>
      <w:r>
        <w:rPr>
          <w:kern w:val="2"/>
          <w:sz w:val="20"/>
          <w:szCs w:val="16"/>
          <w:lang w:eastAsia="zh-CN"/>
        </w:rPr>
        <w:t xml:space="preserve">”, </w:t>
      </w:r>
      <w:r w:rsidRPr="000E537E">
        <w:rPr>
          <w:kern w:val="2"/>
          <w:sz w:val="20"/>
          <w:szCs w:val="16"/>
          <w:lang w:eastAsia="zh-CN"/>
        </w:rPr>
        <w:t>CMCC, Huawei, T-Mobile USA</w:t>
      </w:r>
      <w:r>
        <w:rPr>
          <w:kern w:val="2"/>
          <w:sz w:val="20"/>
          <w:szCs w:val="16"/>
          <w:lang w:eastAsia="zh-CN"/>
        </w:rPr>
        <w:t>, RAN#103, Maastricht,</w:t>
      </w:r>
      <w:r w:rsidR="00EC14D4">
        <w:rPr>
          <w:kern w:val="2"/>
          <w:sz w:val="20"/>
          <w:szCs w:val="16"/>
          <w:lang w:eastAsia="zh-CN"/>
        </w:rPr>
        <w:t xml:space="preserve"> Netherlands,</w:t>
      </w:r>
      <w:r>
        <w:rPr>
          <w:kern w:val="2"/>
          <w:sz w:val="20"/>
          <w:szCs w:val="16"/>
          <w:lang w:eastAsia="zh-CN"/>
        </w:rPr>
        <w:t xml:space="preserve"> March 202</w:t>
      </w:r>
      <w:r w:rsidR="00DE37B4">
        <w:rPr>
          <w:kern w:val="2"/>
          <w:sz w:val="20"/>
          <w:szCs w:val="16"/>
          <w:lang w:eastAsia="zh-CN"/>
        </w:rPr>
        <w:t>4</w:t>
      </w:r>
      <w:r w:rsidR="003D0108">
        <w:rPr>
          <w:kern w:val="2"/>
          <w:sz w:val="20"/>
          <w:szCs w:val="16"/>
          <w:lang w:eastAsia="zh-CN"/>
        </w:rPr>
        <w:t>.</w:t>
      </w:r>
    </w:p>
    <w:p w14:paraId="3710D861" w14:textId="77777777" w:rsidR="0098701C" w:rsidRPr="0098701C" w:rsidRDefault="0098701C" w:rsidP="0098701C">
      <w:pPr>
        <w:rPr>
          <w:i/>
          <w:iCs/>
          <w:kern w:val="2"/>
          <w:sz w:val="20"/>
          <w:szCs w:val="16"/>
          <w:lang w:eastAsia="zh-CN"/>
        </w:rPr>
      </w:pPr>
    </w:p>
    <w:sectPr w:rsidR="0098701C" w:rsidRPr="009870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F350" w14:textId="77777777" w:rsidR="00980050" w:rsidRDefault="00980050">
      <w:r>
        <w:separator/>
      </w:r>
    </w:p>
  </w:endnote>
  <w:endnote w:type="continuationSeparator" w:id="0">
    <w:p w14:paraId="3E8A77F6" w14:textId="77777777" w:rsidR="00980050" w:rsidRDefault="00980050">
      <w:r>
        <w:continuationSeparator/>
      </w:r>
    </w:p>
  </w:endnote>
  <w:endnote w:type="continuationNotice" w:id="1">
    <w:p w14:paraId="78B8C5C1" w14:textId="77777777" w:rsidR="00980050" w:rsidRDefault="00980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75CA" w14:textId="77777777" w:rsidR="00980050" w:rsidRDefault="00980050">
      <w:r>
        <w:separator/>
      </w:r>
    </w:p>
  </w:footnote>
  <w:footnote w:type="continuationSeparator" w:id="0">
    <w:p w14:paraId="62A9B52F" w14:textId="77777777" w:rsidR="00980050" w:rsidRDefault="00980050">
      <w:r>
        <w:continuationSeparator/>
      </w:r>
    </w:p>
  </w:footnote>
  <w:footnote w:type="continuationNotice" w:id="1">
    <w:p w14:paraId="32B18D37" w14:textId="77777777" w:rsidR="00980050" w:rsidRDefault="00980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35AD0"/>
    <w:multiLevelType w:val="hybridMultilevel"/>
    <w:tmpl w:val="4C12A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8B23EA"/>
    <w:multiLevelType w:val="hybridMultilevel"/>
    <w:tmpl w:val="E19A777A"/>
    <w:lvl w:ilvl="0" w:tplc="6C0C8F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F1A2C"/>
    <w:multiLevelType w:val="hybridMultilevel"/>
    <w:tmpl w:val="7DF6A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4659F3"/>
    <w:multiLevelType w:val="hybridMultilevel"/>
    <w:tmpl w:val="1E9EF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6A4DD1"/>
    <w:multiLevelType w:val="hybridMultilevel"/>
    <w:tmpl w:val="92402EF2"/>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C532B"/>
    <w:multiLevelType w:val="hybridMultilevel"/>
    <w:tmpl w:val="B22CB66C"/>
    <w:lvl w:ilvl="0" w:tplc="4790E118">
      <w:start w:val="1"/>
      <w:numFmt w:val="bullet"/>
      <w:lvlText w:val=""/>
      <w:lvlJc w:val="left"/>
      <w:pPr>
        <w:tabs>
          <w:tab w:val="num" w:pos="720"/>
        </w:tabs>
        <w:ind w:left="720" w:hanging="360"/>
      </w:pPr>
      <w:rPr>
        <w:rFonts w:ascii="Symbol" w:hAnsi="Symbol" w:hint="default"/>
      </w:rPr>
    </w:lvl>
    <w:lvl w:ilvl="1" w:tplc="D7A4448C">
      <w:numFmt w:val="bullet"/>
      <w:lvlText w:val="•"/>
      <w:lvlJc w:val="left"/>
      <w:pPr>
        <w:tabs>
          <w:tab w:val="num" w:pos="1440"/>
        </w:tabs>
        <w:ind w:left="1440" w:hanging="360"/>
      </w:pPr>
      <w:rPr>
        <w:rFonts w:ascii="Arial" w:hAnsi="Arial" w:hint="default"/>
        <w:sz w:val="20"/>
        <w:szCs w:val="20"/>
      </w:rPr>
    </w:lvl>
    <w:lvl w:ilvl="2" w:tplc="A93CEE6A" w:tentative="1">
      <w:start w:val="1"/>
      <w:numFmt w:val="bullet"/>
      <w:lvlText w:val=""/>
      <w:lvlJc w:val="left"/>
      <w:pPr>
        <w:tabs>
          <w:tab w:val="num" w:pos="2160"/>
        </w:tabs>
        <w:ind w:left="2160" w:hanging="360"/>
      </w:pPr>
      <w:rPr>
        <w:rFonts w:ascii="Symbol" w:hAnsi="Symbol" w:hint="default"/>
      </w:rPr>
    </w:lvl>
    <w:lvl w:ilvl="3" w:tplc="F484FE28" w:tentative="1">
      <w:start w:val="1"/>
      <w:numFmt w:val="bullet"/>
      <w:lvlText w:val=""/>
      <w:lvlJc w:val="left"/>
      <w:pPr>
        <w:tabs>
          <w:tab w:val="num" w:pos="2880"/>
        </w:tabs>
        <w:ind w:left="2880" w:hanging="360"/>
      </w:pPr>
      <w:rPr>
        <w:rFonts w:ascii="Symbol" w:hAnsi="Symbol" w:hint="default"/>
      </w:rPr>
    </w:lvl>
    <w:lvl w:ilvl="4" w:tplc="E6AABE48" w:tentative="1">
      <w:start w:val="1"/>
      <w:numFmt w:val="bullet"/>
      <w:lvlText w:val=""/>
      <w:lvlJc w:val="left"/>
      <w:pPr>
        <w:tabs>
          <w:tab w:val="num" w:pos="3600"/>
        </w:tabs>
        <w:ind w:left="3600" w:hanging="360"/>
      </w:pPr>
      <w:rPr>
        <w:rFonts w:ascii="Symbol" w:hAnsi="Symbol" w:hint="default"/>
      </w:rPr>
    </w:lvl>
    <w:lvl w:ilvl="5" w:tplc="7280F644" w:tentative="1">
      <w:start w:val="1"/>
      <w:numFmt w:val="bullet"/>
      <w:lvlText w:val=""/>
      <w:lvlJc w:val="left"/>
      <w:pPr>
        <w:tabs>
          <w:tab w:val="num" w:pos="4320"/>
        </w:tabs>
        <w:ind w:left="4320" w:hanging="360"/>
      </w:pPr>
      <w:rPr>
        <w:rFonts w:ascii="Symbol" w:hAnsi="Symbol" w:hint="default"/>
      </w:rPr>
    </w:lvl>
    <w:lvl w:ilvl="6" w:tplc="4F4EE5B0" w:tentative="1">
      <w:start w:val="1"/>
      <w:numFmt w:val="bullet"/>
      <w:lvlText w:val=""/>
      <w:lvlJc w:val="left"/>
      <w:pPr>
        <w:tabs>
          <w:tab w:val="num" w:pos="5040"/>
        </w:tabs>
        <w:ind w:left="5040" w:hanging="360"/>
      </w:pPr>
      <w:rPr>
        <w:rFonts w:ascii="Symbol" w:hAnsi="Symbol" w:hint="default"/>
      </w:rPr>
    </w:lvl>
    <w:lvl w:ilvl="7" w:tplc="10247EAC" w:tentative="1">
      <w:start w:val="1"/>
      <w:numFmt w:val="bullet"/>
      <w:lvlText w:val=""/>
      <w:lvlJc w:val="left"/>
      <w:pPr>
        <w:tabs>
          <w:tab w:val="num" w:pos="5760"/>
        </w:tabs>
        <w:ind w:left="5760" w:hanging="360"/>
      </w:pPr>
      <w:rPr>
        <w:rFonts w:ascii="Symbol" w:hAnsi="Symbol" w:hint="default"/>
      </w:rPr>
    </w:lvl>
    <w:lvl w:ilvl="8" w:tplc="F558E2C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9"/>
  </w:num>
  <w:num w:numId="3">
    <w:abstractNumId w:val="3"/>
  </w:num>
  <w:num w:numId="4">
    <w:abstractNumId w:val="18"/>
  </w:num>
  <w:num w:numId="5">
    <w:abstractNumId w:val="29"/>
  </w:num>
  <w:num w:numId="6">
    <w:abstractNumId w:val="14"/>
  </w:num>
  <w:num w:numId="7">
    <w:abstractNumId w:val="24"/>
  </w:num>
  <w:num w:numId="8">
    <w:abstractNumId w:val="22"/>
  </w:num>
  <w:num w:numId="9">
    <w:abstractNumId w:val="13"/>
  </w:num>
  <w:num w:numId="10">
    <w:abstractNumId w:val="5"/>
  </w:num>
  <w:num w:numId="11">
    <w:abstractNumId w:val="28"/>
  </w:num>
  <w:num w:numId="12">
    <w:abstractNumId w:val="1"/>
  </w:num>
  <w:num w:numId="13">
    <w:abstractNumId w:val="27"/>
  </w:num>
  <w:num w:numId="14">
    <w:abstractNumId w:val="8"/>
  </w:num>
  <w:num w:numId="15">
    <w:abstractNumId w:val="12"/>
  </w:num>
  <w:num w:numId="16">
    <w:abstractNumId w:val="2"/>
  </w:num>
  <w:num w:numId="17">
    <w:abstractNumId w:val="16"/>
  </w:num>
  <w:num w:numId="18">
    <w:abstractNumId w:val="21"/>
  </w:num>
  <w:num w:numId="19">
    <w:abstractNumId w:val="20"/>
  </w:num>
  <w:num w:numId="20">
    <w:abstractNumId w:val="15"/>
  </w:num>
  <w:num w:numId="21">
    <w:abstractNumId w:val="0"/>
  </w:num>
  <w:num w:numId="22">
    <w:abstractNumId w:val="19"/>
  </w:num>
  <w:num w:numId="23">
    <w:abstractNumId w:val="7"/>
  </w:num>
  <w:num w:numId="24">
    <w:abstractNumId w:val="23"/>
  </w:num>
  <w:num w:numId="25">
    <w:abstractNumId w:val="17"/>
  </w:num>
  <w:num w:numId="26">
    <w:abstractNumId w:val="30"/>
  </w:num>
  <w:num w:numId="27">
    <w:abstractNumId w:val="4"/>
  </w:num>
  <w:num w:numId="28">
    <w:abstractNumId w:val="25"/>
  </w:num>
  <w:num w:numId="29">
    <w:abstractNumId w:val="9"/>
    <w:lvlOverride w:ilvl="0">
      <w:startOverride w:val="9"/>
    </w:lvlOverride>
    <w:lvlOverride w:ilvl="1">
      <w:startOverride w:val="4"/>
    </w:lvlOverride>
    <w:lvlOverride w:ilvl="2">
      <w:startOverride w:val="1"/>
    </w:lvlOverride>
    <w:lvlOverride w:ilvl="3">
      <w:startOverride w:val="2"/>
    </w:lvlOverride>
  </w:num>
  <w:num w:numId="30">
    <w:abstractNumId w:val="9"/>
  </w:num>
  <w:num w:numId="31">
    <w:abstractNumId w:val="6"/>
  </w:num>
  <w:num w:numId="32">
    <w:abstractNumId w:val="26"/>
  </w:num>
  <w:num w:numId="33">
    <w:abstractNumId w:val="9"/>
  </w:num>
  <w:num w:numId="3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D42"/>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A4B"/>
    <w:rsid w:val="00424C97"/>
    <w:rsid w:val="004256C0"/>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BA9"/>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097"/>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62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uiPriority w:val="99"/>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uiPriority w:val="99"/>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1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13341-9385-4252-A21D-626D38C1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Matthew Webb2</cp:lastModifiedBy>
  <cp:revision>4</cp:revision>
  <cp:lastPrinted>2018-12-18T01:25:00Z</cp:lastPrinted>
  <dcterms:created xsi:type="dcterms:W3CDTF">2024-06-10T11:04:00Z</dcterms:created>
  <dcterms:modified xsi:type="dcterms:W3CDTF">2024-06-10T11:04:00Z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1700707151</vt:lpwstr>
  </property>
</Properties>
</file>