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6BE0BA" w14:textId="76B6E81A" w:rsidR="00575447" w:rsidRDefault="00000000">
      <w:pPr>
        <w:widowControl/>
        <w:tabs>
          <w:tab w:val="left" w:pos="1985"/>
        </w:tabs>
        <w:ind w:left="1707" w:hangingChars="850" w:hanging="1707"/>
        <w:jc w:val="left"/>
        <w:rPr>
          <w:b/>
          <w:lang w:val="en-GB" w:eastAsia="en-US"/>
        </w:rPr>
      </w:pPr>
      <w:bookmarkStart w:id="0" w:name="_Hlk145670493"/>
      <w:bookmarkStart w:id="1" w:name="OLE_LINK3"/>
      <w:bookmarkStart w:id="2" w:name="OLE_LINK4"/>
      <w:r>
        <w:rPr>
          <w:b/>
          <w:lang w:val="en-GB" w:eastAsia="en-US"/>
        </w:rPr>
        <w:t>3GPP TSG RAN Meeting #104</w:t>
      </w:r>
      <w:r>
        <w:rPr>
          <w:b/>
          <w:lang w:val="en-GB" w:eastAsia="en-US"/>
        </w:rPr>
        <w:tab/>
      </w:r>
      <w:r>
        <w:rPr>
          <w:rFonts w:hint="eastAsia"/>
          <w:b/>
          <w:lang w:val="en-GB" w:eastAsia="en-US"/>
        </w:rPr>
        <w:t xml:space="preserve">  </w:t>
      </w:r>
      <w:r>
        <w:rPr>
          <w:rFonts w:hint="eastAsia"/>
          <w:b/>
          <w:lang w:val="en-GB"/>
        </w:rPr>
        <w:t xml:space="preserve">           </w:t>
      </w:r>
      <w:r>
        <w:rPr>
          <w:b/>
          <w:lang w:val="en-GB"/>
        </w:rPr>
        <w:tab/>
      </w:r>
      <w:r>
        <w:rPr>
          <w:b/>
          <w:lang w:val="en-GB"/>
        </w:rPr>
        <w:tab/>
      </w:r>
      <w:r>
        <w:rPr>
          <w:b/>
          <w:lang w:val="en-GB"/>
        </w:rPr>
        <w:tab/>
      </w:r>
      <w:r>
        <w:rPr>
          <w:b/>
          <w:lang w:val="en-GB"/>
        </w:rPr>
        <w:tab/>
      </w:r>
      <w:r>
        <w:rPr>
          <w:rFonts w:hint="eastAsia"/>
          <w:b/>
          <w:lang w:val="en-GB"/>
        </w:rPr>
        <w:t xml:space="preserve">                                            </w:t>
      </w:r>
      <w:r w:rsidR="00770253" w:rsidRPr="00770253">
        <w:rPr>
          <w:b/>
          <w:lang w:val="en-GB" w:eastAsia="en-US"/>
        </w:rPr>
        <w:t>RP-241211</w:t>
      </w:r>
    </w:p>
    <w:bookmarkEnd w:id="0"/>
    <w:p w14:paraId="0A98FC6A" w14:textId="77777777" w:rsidR="00575447" w:rsidRDefault="00000000">
      <w:pPr>
        <w:keepLines/>
        <w:tabs>
          <w:tab w:val="left" w:pos="567"/>
        </w:tabs>
        <w:rPr>
          <w:b/>
          <w:lang w:val="en-GB" w:eastAsia="en-US"/>
        </w:rPr>
      </w:pPr>
      <w:r>
        <w:rPr>
          <w:b/>
          <w:lang w:val="en-GB" w:eastAsia="en-US"/>
        </w:rPr>
        <w:t>Shanghai, China, June 17-20, 2024</w:t>
      </w:r>
    </w:p>
    <w:p w14:paraId="2A1834DE" w14:textId="77777777" w:rsidR="00575447" w:rsidRDefault="00000000">
      <w:pPr>
        <w:widowControl/>
        <w:tabs>
          <w:tab w:val="left" w:pos="1985"/>
        </w:tabs>
        <w:ind w:left="1707" w:hangingChars="850" w:hanging="1707"/>
        <w:jc w:val="left"/>
        <w:rPr>
          <w:b/>
          <w:lang w:val="en-GB" w:eastAsia="en-US"/>
        </w:rPr>
      </w:pPr>
      <w:r>
        <w:rPr>
          <w:b/>
          <w:lang w:val="en-GB" w:eastAsia="en-US"/>
        </w:rPr>
        <w:t xml:space="preserve">Source: </w:t>
      </w:r>
      <w:r>
        <w:rPr>
          <w:b/>
          <w:lang w:val="en-GB" w:eastAsia="en-US"/>
        </w:rPr>
        <w:tab/>
        <w:t>CMCC</w:t>
      </w:r>
    </w:p>
    <w:p w14:paraId="7DB0F1A0" w14:textId="77777777" w:rsidR="00575447" w:rsidRDefault="00000000">
      <w:pPr>
        <w:widowControl/>
        <w:tabs>
          <w:tab w:val="left" w:pos="1985"/>
        </w:tabs>
        <w:ind w:left="1707" w:hangingChars="850" w:hanging="1707"/>
        <w:jc w:val="left"/>
        <w:rPr>
          <w:b/>
          <w:lang w:val="en-GB"/>
        </w:rPr>
      </w:pPr>
      <w:r>
        <w:rPr>
          <w:b/>
          <w:lang w:val="en-GB" w:eastAsia="en-US"/>
        </w:rPr>
        <w:t>Title:</w:t>
      </w:r>
      <w:bookmarkStart w:id="3" w:name="Title"/>
      <w:bookmarkEnd w:id="3"/>
      <w:r>
        <w:rPr>
          <w:b/>
          <w:lang w:val="en-GB" w:eastAsia="en-US"/>
        </w:rPr>
        <w:tab/>
      </w:r>
      <w:r>
        <w:rPr>
          <w:rFonts w:hint="eastAsia"/>
          <w:b/>
          <w:lang w:val="en-GB"/>
        </w:rPr>
        <w:t xml:space="preserve">Discussion on the scope of </w:t>
      </w:r>
      <w:r>
        <w:rPr>
          <w:rFonts w:hint="eastAsia"/>
          <w:b/>
        </w:rPr>
        <w:t xml:space="preserve">Rel-19 </w:t>
      </w:r>
      <w:r>
        <w:rPr>
          <w:b/>
        </w:rPr>
        <w:t>Non-Terrestrial Networks (NTN) for NR Phase</w:t>
      </w:r>
      <w:r>
        <w:rPr>
          <w:rFonts w:hint="eastAsia"/>
          <w:b/>
        </w:rPr>
        <w:t xml:space="preserve"> 3</w:t>
      </w:r>
    </w:p>
    <w:p w14:paraId="0832842F" w14:textId="77777777" w:rsidR="00575447" w:rsidRDefault="00000000">
      <w:pPr>
        <w:widowControl/>
        <w:tabs>
          <w:tab w:val="left" w:pos="1985"/>
        </w:tabs>
        <w:ind w:left="1707" w:hangingChars="850" w:hanging="1707"/>
        <w:jc w:val="left"/>
        <w:rPr>
          <w:b/>
          <w:lang w:val="en-GB" w:eastAsia="en-US"/>
        </w:rPr>
      </w:pPr>
      <w:r>
        <w:rPr>
          <w:b/>
          <w:lang w:val="en-GB" w:eastAsia="en-US"/>
        </w:rPr>
        <w:t>Agenda item:</w:t>
      </w:r>
      <w:r>
        <w:rPr>
          <w:b/>
          <w:lang w:val="en-GB" w:eastAsia="en-US"/>
        </w:rPr>
        <w:tab/>
        <w:t>9.3.2.2</w:t>
      </w:r>
    </w:p>
    <w:p w14:paraId="1505B8B2" w14:textId="77777777" w:rsidR="00575447" w:rsidRDefault="00000000">
      <w:pPr>
        <w:widowControl/>
        <w:tabs>
          <w:tab w:val="left" w:pos="1985"/>
        </w:tabs>
        <w:ind w:left="1707" w:hangingChars="850" w:hanging="1707"/>
        <w:jc w:val="left"/>
        <w:rPr>
          <w:b/>
          <w:lang w:val="en-GB" w:eastAsia="en-US"/>
        </w:rPr>
      </w:pPr>
      <w:r>
        <w:rPr>
          <w:b/>
          <w:lang w:val="en-GB" w:eastAsia="en-US"/>
        </w:rPr>
        <w:t>Document for:</w:t>
      </w:r>
      <w:r>
        <w:rPr>
          <w:b/>
          <w:lang w:val="en-GB" w:eastAsia="en-US"/>
        </w:rPr>
        <w:tab/>
        <w:t>Discussion &amp; Decision</w:t>
      </w:r>
    </w:p>
    <w:p w14:paraId="178B524B" w14:textId="77777777" w:rsidR="00575447" w:rsidRDefault="00000000">
      <w:pPr>
        <w:pStyle w:val="1"/>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56E0C19D" w14:textId="77777777" w:rsidR="00575447" w:rsidRDefault="00000000">
      <w:pPr>
        <w:spacing w:before="120" w:after="180"/>
      </w:pPr>
      <w:r>
        <w:rPr>
          <w:kern w:val="2"/>
        </w:rPr>
        <w:t>I</w:t>
      </w:r>
      <w:r>
        <w:rPr>
          <w:rFonts w:hint="eastAsia"/>
          <w:kern w:val="2"/>
        </w:rPr>
        <w:t xml:space="preserve">n RAN plenary #102 meeting, the work item of </w:t>
      </w:r>
      <w:r>
        <w:rPr>
          <w:rFonts w:hint="eastAsia"/>
        </w:rPr>
        <w:t xml:space="preserve">Rel-19 </w:t>
      </w:r>
      <w:r>
        <w:t>Non-Terrestrial Networks (NTN) for NR Phase</w:t>
      </w:r>
      <w:r>
        <w:rPr>
          <w:rFonts w:hint="eastAsia"/>
        </w:rPr>
        <w:t xml:space="preserve"> 3 was setup. </w:t>
      </w:r>
      <w:r>
        <w:t>I</w:t>
      </w:r>
      <w:r>
        <w:rPr>
          <w:rFonts w:hint="eastAsia"/>
        </w:rPr>
        <w:t xml:space="preserve">n the </w:t>
      </w:r>
      <w:proofErr w:type="gramStart"/>
      <w:r>
        <w:rPr>
          <w:rFonts w:hint="eastAsia"/>
        </w:rPr>
        <w:t>WID[</w:t>
      </w:r>
      <w:proofErr w:type="gramEnd"/>
      <w:r>
        <w:rPr>
          <w:rFonts w:hint="eastAsia"/>
        </w:rPr>
        <w:t xml:space="preserve">1], there is one note under the objective of DL coverage </w:t>
      </w:r>
      <w:r>
        <w:t>enhancement</w:t>
      </w:r>
      <w:r>
        <w:rPr>
          <w:rFonts w:hint="eastAsia"/>
        </w:rPr>
        <w:t xml:space="preserve">s to avoid the unnecessary impact to the SSB channel. </w:t>
      </w:r>
    </w:p>
    <w:tbl>
      <w:tblPr>
        <w:tblStyle w:val="aff1"/>
        <w:tblW w:w="0" w:type="auto"/>
        <w:tblLook w:val="04A0" w:firstRow="1" w:lastRow="0" w:firstColumn="1" w:lastColumn="0" w:noHBand="0" w:noVBand="1"/>
      </w:tblPr>
      <w:tblGrid>
        <w:gridCol w:w="9962"/>
      </w:tblGrid>
      <w:tr w:rsidR="00575447" w14:paraId="65E35059" w14:textId="77777777">
        <w:tc>
          <w:tcPr>
            <w:tcW w:w="9962" w:type="dxa"/>
          </w:tcPr>
          <w:p w14:paraId="077090FC" w14:textId="77777777" w:rsidR="00575447" w:rsidRDefault="00000000">
            <w:pPr>
              <w:snapToGrid w:val="0"/>
              <w:rPr>
                <w:bCs w:val="0"/>
              </w:rPr>
            </w:pPr>
            <w:r>
              <w:rPr>
                <w:bCs w:val="0"/>
              </w:rPr>
              <w:t>The</w:t>
            </w:r>
            <w:r>
              <w:rPr>
                <w:rFonts w:hint="eastAsia"/>
                <w:bCs w:val="0"/>
              </w:rPr>
              <w:t xml:space="preserve"> </w:t>
            </w:r>
            <w:r>
              <w:rPr>
                <w:bCs w:val="0"/>
              </w:rPr>
              <w:t>objectives of the work item are the following:</w:t>
            </w:r>
          </w:p>
          <w:p w14:paraId="0476CB13" w14:textId="77777777" w:rsidR="00575447" w:rsidRDefault="00575447">
            <w:pPr>
              <w:snapToGrid w:val="0"/>
              <w:rPr>
                <w:bCs w:val="0"/>
              </w:rPr>
            </w:pPr>
          </w:p>
          <w:p w14:paraId="5C593BDE" w14:textId="77777777" w:rsidR="00575447" w:rsidRDefault="00000000">
            <w:pPr>
              <w:widowControl/>
              <w:numPr>
                <w:ilvl w:val="0"/>
                <w:numId w:val="10"/>
              </w:numPr>
              <w:overflowPunct w:val="0"/>
              <w:autoSpaceDE w:val="0"/>
              <w:autoSpaceDN w:val="0"/>
              <w:adjustRightInd w:val="0"/>
              <w:snapToGrid w:val="0"/>
              <w:jc w:val="left"/>
              <w:textAlignment w:val="baseline"/>
              <w:rPr>
                <w:rFonts w:eastAsia="Calibri"/>
                <w:lang w:eastAsia="ko-KR"/>
              </w:rPr>
            </w:pPr>
            <w:r>
              <w:rPr>
                <w:rFonts w:eastAsia="Calibri"/>
                <w:lang w:eastAsia="ko-KR"/>
              </w:rPr>
              <w:t>Study and specify</w:t>
            </w:r>
            <w:bookmarkStart w:id="6" w:name="_Hlk153196886"/>
            <w:r>
              <w:rPr>
                <w:rFonts w:eastAsia="Calibri"/>
                <w:lang w:eastAsia="ko-KR"/>
              </w:rPr>
              <w:t xml:space="preserve"> if beneficial</w:t>
            </w:r>
            <w:bookmarkEnd w:id="6"/>
            <w:r>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665A94AE" w14:textId="77777777" w:rsidR="00575447" w:rsidRDefault="00000000">
            <w:pPr>
              <w:pStyle w:val="aff9"/>
              <w:widowControl w:val="0"/>
              <w:numPr>
                <w:ilvl w:val="0"/>
                <w:numId w:val="11"/>
              </w:numPr>
              <w:snapToGrid w:val="0"/>
              <w:spacing w:beforeLines="0" w:afterLines="0"/>
              <w:ind w:firstLineChars="0"/>
              <w:contextualSpacing/>
              <w:jc w:val="both"/>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C06B9AB" w14:textId="77777777" w:rsidR="00575447" w:rsidRDefault="00000000">
            <w:pPr>
              <w:pStyle w:val="aff9"/>
              <w:widowControl w:val="0"/>
              <w:numPr>
                <w:ilvl w:val="0"/>
                <w:numId w:val="11"/>
              </w:numPr>
              <w:snapToGrid w:val="0"/>
              <w:spacing w:beforeLines="0" w:afterLines="0"/>
              <w:ind w:firstLineChars="0"/>
              <w:contextualSpacing/>
              <w:jc w:val="both"/>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90DA285" w14:textId="77777777" w:rsidR="00575447" w:rsidRDefault="00000000">
            <w:pPr>
              <w:pStyle w:val="aff9"/>
              <w:widowControl w:val="0"/>
              <w:numPr>
                <w:ilvl w:val="0"/>
                <w:numId w:val="11"/>
              </w:numPr>
              <w:snapToGrid w:val="0"/>
              <w:spacing w:beforeLines="0" w:afterLines="0"/>
              <w:ind w:firstLineChars="0"/>
              <w:contextualSpacing/>
              <w:jc w:val="both"/>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4B20BA82" w14:textId="77777777" w:rsidR="00575447" w:rsidRDefault="00000000">
            <w:pPr>
              <w:pStyle w:val="aff9"/>
              <w:widowControl w:val="0"/>
              <w:numPr>
                <w:ilvl w:val="0"/>
                <w:numId w:val="11"/>
              </w:numPr>
              <w:snapToGrid w:val="0"/>
              <w:spacing w:beforeLines="0" w:afterLines="0"/>
              <w:ind w:firstLineChars="0"/>
              <w:contextualSpacing/>
              <w:jc w:val="both"/>
            </w:pPr>
            <w:r>
              <w:t>Notes for this objective:</w:t>
            </w:r>
          </w:p>
          <w:p w14:paraId="419FE02C" w14:textId="77777777" w:rsidR="00575447" w:rsidRDefault="00000000">
            <w:pPr>
              <w:pStyle w:val="aff9"/>
              <w:widowControl w:val="0"/>
              <w:numPr>
                <w:ilvl w:val="1"/>
                <w:numId w:val="11"/>
              </w:numPr>
              <w:snapToGrid w:val="0"/>
              <w:spacing w:beforeLines="0" w:afterLines="0"/>
              <w:ind w:firstLineChars="0"/>
              <w:contextualSpacing/>
              <w:jc w:val="both"/>
              <w:rPr>
                <w:highlight w:val="yellow"/>
              </w:rPr>
            </w:pPr>
            <w:r>
              <w:rPr>
                <w:highlight w:val="yellow"/>
              </w:rPr>
              <w:t>SSB channel enhancement is not considered</w:t>
            </w:r>
          </w:p>
          <w:p w14:paraId="2D67D4BF" w14:textId="77777777" w:rsidR="00575447" w:rsidRDefault="00000000">
            <w:pPr>
              <w:pStyle w:val="aff9"/>
              <w:widowControl w:val="0"/>
              <w:numPr>
                <w:ilvl w:val="1"/>
                <w:numId w:val="11"/>
              </w:numPr>
              <w:snapToGrid w:val="0"/>
              <w:spacing w:beforeLines="0" w:afterLines="0"/>
              <w:ind w:firstLineChars="0"/>
              <w:contextualSpacing/>
              <w:jc w:val="both"/>
            </w:pPr>
            <w:r>
              <w:t>Antenna gain of UE shall be assumed to be -5.5dBi in case of smartphone in FR1-NTN, the UE is assumed to be a full duplex UE, and at least 2Rx are considered at the UE</w:t>
            </w:r>
          </w:p>
          <w:p w14:paraId="03597849" w14:textId="77777777" w:rsidR="00575447" w:rsidRDefault="00000000">
            <w:pPr>
              <w:pStyle w:val="aff9"/>
              <w:widowControl w:val="0"/>
              <w:numPr>
                <w:ilvl w:val="1"/>
                <w:numId w:val="11"/>
              </w:numPr>
              <w:snapToGrid w:val="0"/>
              <w:spacing w:beforeLines="0" w:afterLines="0"/>
              <w:ind w:firstLineChars="0"/>
              <w:contextualSpacing/>
              <w:jc w:val="both"/>
            </w:pPr>
            <w:r>
              <w:t>NGSO to be considered in priority: LEO Set-1 @ 600 km</w:t>
            </w:r>
          </w:p>
          <w:p w14:paraId="1A683448" w14:textId="77777777" w:rsidR="00575447" w:rsidRDefault="00000000">
            <w:pPr>
              <w:pStyle w:val="aff9"/>
              <w:widowControl w:val="0"/>
              <w:numPr>
                <w:ilvl w:val="1"/>
                <w:numId w:val="11"/>
              </w:numPr>
              <w:snapToGrid w:val="0"/>
              <w:spacing w:beforeLines="0" w:afterLines="0"/>
              <w:ind w:firstLineChars="0"/>
              <w:contextualSpacing/>
              <w:jc w:val="both"/>
            </w:pPr>
            <w:r>
              <w:t>Rel-18 network energy saving techniques should be considered as baseline in the system level study</w:t>
            </w:r>
          </w:p>
          <w:p w14:paraId="2AAA64A1" w14:textId="77777777" w:rsidR="00575447" w:rsidRDefault="00575447">
            <w:pPr>
              <w:snapToGrid w:val="0"/>
              <w:contextualSpacing/>
              <w:rPr>
                <w:rFonts w:eastAsiaTheme="minorEastAsia"/>
              </w:rPr>
            </w:pPr>
          </w:p>
        </w:tc>
      </w:tr>
    </w:tbl>
    <w:p w14:paraId="5C8E5AB2" w14:textId="77777777" w:rsidR="00575447" w:rsidRDefault="00000000">
      <w:pPr>
        <w:spacing w:before="120" w:after="180"/>
      </w:pPr>
      <w:r>
        <w:t>D</w:t>
      </w:r>
      <w:r>
        <w:rPr>
          <w:rFonts w:hint="eastAsia"/>
        </w:rPr>
        <w:t xml:space="preserve">uring the study in RAN1 for the system level </w:t>
      </w:r>
      <w:r>
        <w:t>enhancement</w:t>
      </w:r>
      <w:r>
        <w:rPr>
          <w:rFonts w:hint="eastAsia"/>
        </w:rPr>
        <w:t xml:space="preserve">, the necessities of </w:t>
      </w:r>
      <w:r>
        <w:t>extending</w:t>
      </w:r>
      <w:r>
        <w:rPr>
          <w:rFonts w:hint="eastAsia"/>
        </w:rPr>
        <w:t xml:space="preserve"> SSB periodicity were </w:t>
      </w:r>
      <w:r>
        <w:t>observed</w:t>
      </w:r>
      <w:r>
        <w:rPr>
          <w:rFonts w:hint="eastAsia"/>
        </w:rPr>
        <w:t xml:space="preserve"> by the group. </w:t>
      </w:r>
      <w:proofErr w:type="gramStart"/>
      <w:r>
        <w:rPr>
          <w:rFonts w:hint="eastAsia"/>
        </w:rPr>
        <w:t>However</w:t>
      </w:r>
      <w:proofErr w:type="gramEnd"/>
      <w:r>
        <w:rPr>
          <w:rFonts w:hint="eastAsia"/>
        </w:rPr>
        <w:t xml:space="preserve"> it is still controversial </w:t>
      </w:r>
      <w:r>
        <w:t>whether</w:t>
      </w:r>
      <w:r>
        <w:rPr>
          <w:rFonts w:hint="eastAsia"/>
        </w:rPr>
        <w:t xml:space="preserve"> extension of the SSB periodicity is allowed according to the WID. The understandings on the note in the WID are diverse among participants. </w:t>
      </w:r>
    </w:p>
    <w:p w14:paraId="5C3A3BE0" w14:textId="77777777" w:rsidR="00575447" w:rsidRDefault="00000000">
      <w:pPr>
        <w:spacing w:before="120" w:after="180"/>
      </w:pPr>
      <w:r>
        <w:t>I</w:t>
      </w:r>
      <w:r>
        <w:rPr>
          <w:rFonts w:hint="eastAsia"/>
        </w:rPr>
        <w:t xml:space="preserve">n this </w:t>
      </w:r>
      <w:r>
        <w:t>contribution</w:t>
      </w:r>
      <w:r>
        <w:rPr>
          <w:rFonts w:hint="eastAsia"/>
        </w:rPr>
        <w:t xml:space="preserve">, we provide our views on the progress in RAN1 study and further clarifications on the scope of WID. </w:t>
      </w:r>
    </w:p>
    <w:p w14:paraId="4117D8B7" w14:textId="77777777" w:rsidR="00575447"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r>
        <w:rPr>
          <w:rFonts w:ascii="Times New Roman" w:eastAsiaTheme="minorEastAsia" w:hAnsi="Times New Roman" w:hint="eastAsia"/>
          <w:sz w:val="28"/>
          <w:szCs w:val="28"/>
          <w:lang w:eastAsia="zh-CN"/>
        </w:rPr>
        <w:t xml:space="preserve"> and clarification on the scope of WID</w:t>
      </w:r>
    </w:p>
    <w:p w14:paraId="4AE1C43D" w14:textId="77777777" w:rsidR="00575447" w:rsidRDefault="00000000">
      <w:pPr>
        <w:adjustRightInd w:val="0"/>
        <w:snapToGrid w:val="0"/>
      </w:pPr>
      <w:r>
        <w:rPr>
          <w:rFonts w:eastAsiaTheme="minorEastAsia"/>
          <w:color w:val="000000"/>
        </w:rPr>
        <w:t>I</w:t>
      </w:r>
      <w:r>
        <w:rPr>
          <w:rFonts w:eastAsiaTheme="minorEastAsia" w:hint="eastAsia"/>
          <w:color w:val="000000"/>
        </w:rPr>
        <w:t xml:space="preserve">n RAN1#116 meeting, </w:t>
      </w:r>
      <w:r>
        <w:rPr>
          <w:rFonts w:hint="eastAsia"/>
        </w:rPr>
        <w:t xml:space="preserve">three sets of </w:t>
      </w:r>
      <w:r>
        <w:t>reference satellite parameters</w:t>
      </w:r>
      <w:r>
        <w:rPr>
          <w:rFonts w:hint="eastAsia"/>
        </w:rPr>
        <w:t xml:space="preserve">, i.e. LEO-600 </w:t>
      </w:r>
      <w:r>
        <w:t>Set1-1 FR1, Set1-2 FR1 and Set1-3 FR</w:t>
      </w:r>
      <w:proofErr w:type="gramStart"/>
      <w:r>
        <w:rPr>
          <w:rFonts w:hint="eastAsia"/>
        </w:rPr>
        <w:t>1,  had</w:t>
      </w:r>
      <w:proofErr w:type="gramEnd"/>
      <w:r>
        <w:rPr>
          <w:rFonts w:hint="eastAsia"/>
        </w:rPr>
        <w:t xml:space="preserve"> been agreed for the coverage evaluation for both system level and link level enhancements [2]. </w:t>
      </w:r>
      <w:r>
        <w:t>T</w:t>
      </w:r>
      <w:r>
        <w:rPr>
          <w:rFonts w:hint="eastAsia"/>
        </w:rPr>
        <w:t xml:space="preserve">he details of the evaluation assumptions can be </w:t>
      </w:r>
      <w:r>
        <w:t>refer</w:t>
      </w:r>
      <w:r>
        <w:rPr>
          <w:rFonts w:hint="eastAsia"/>
        </w:rPr>
        <w:t xml:space="preserve">red from the Annex. </w:t>
      </w:r>
      <w:r>
        <w:t>T</w:t>
      </w:r>
      <w:r>
        <w:rPr>
          <w:rFonts w:hint="eastAsia"/>
        </w:rPr>
        <w:t xml:space="preserve">hree sets of reference satellite parameters present different satellite capabilities and using </w:t>
      </w:r>
      <w:r>
        <w:t>scenarios</w:t>
      </w:r>
      <w:r>
        <w:rPr>
          <w:rFonts w:hint="eastAsia"/>
        </w:rPr>
        <w:t xml:space="preserve">. LEO-600km Set 1-1 FR1 represents the case which has a </w:t>
      </w:r>
      <w:r>
        <w:t>relatively</w:t>
      </w:r>
      <w:r>
        <w:rPr>
          <w:rFonts w:hint="eastAsia"/>
        </w:rPr>
        <w:t xml:space="preserve"> large number of simultaneously active beams, i.e. 106 beams, to cover 1058 planned beam footprint on the earth. Set 1-2 has the same DL transmit </w:t>
      </w:r>
      <w:r>
        <w:t>power</w:t>
      </w:r>
      <w:r>
        <w:rPr>
          <w:rFonts w:hint="eastAsia"/>
        </w:rPr>
        <w:t xml:space="preserve"> as Set 1-1, but with a smaller number of </w:t>
      </w:r>
      <w:r>
        <w:t>simultaneously active beams</w:t>
      </w:r>
      <w:r>
        <w:rPr>
          <w:rFonts w:hint="eastAsia"/>
        </w:rPr>
        <w:t xml:space="preserve">, i.e. 16 beams, due to the limitation of </w:t>
      </w:r>
      <w:r>
        <w:t>satellite</w:t>
      </w:r>
      <w:r>
        <w:rPr>
          <w:rFonts w:hint="eastAsia"/>
        </w:rPr>
        <w:t xml:space="preserve"> </w:t>
      </w:r>
      <w:r>
        <w:t>paylo</w:t>
      </w:r>
      <w:r>
        <w:rPr>
          <w:rFonts w:hint="eastAsia"/>
        </w:rPr>
        <w:t xml:space="preserve">ad. </w:t>
      </w:r>
      <w:r>
        <w:t>T</w:t>
      </w:r>
      <w:r>
        <w:rPr>
          <w:rFonts w:hint="eastAsia"/>
        </w:rPr>
        <w:t xml:space="preserve">he intended coverage area of Set 1-2 is the same as that of Set 1-1, which is also 1058 beam footprints on the earth. Set 1-3 FR1 has a same number of the </w:t>
      </w:r>
      <w:r>
        <w:t>simultaneously active beams</w:t>
      </w:r>
      <w:r>
        <w:rPr>
          <w:rFonts w:hint="eastAsia"/>
        </w:rPr>
        <w:t xml:space="preserve"> as Set 1-1, but with a lower transmit power at the satellite side, which may have further link level coverage issue for the DL coverage. </w:t>
      </w:r>
    </w:p>
    <w:p w14:paraId="5232373E" w14:textId="77777777" w:rsidR="00575447" w:rsidRDefault="00575447">
      <w:pPr>
        <w:adjustRightInd w:val="0"/>
        <w:snapToGrid w:val="0"/>
      </w:pPr>
    </w:p>
    <w:p w14:paraId="6B7E329E" w14:textId="77777777" w:rsidR="00575447" w:rsidRDefault="00000000">
      <w:pPr>
        <w:adjustRightInd w:val="0"/>
        <w:snapToGrid w:val="0"/>
      </w:pPr>
      <w:r>
        <w:t>T</w:t>
      </w:r>
      <w:r>
        <w:rPr>
          <w:rFonts w:hint="eastAsia"/>
        </w:rPr>
        <w:t xml:space="preserve">he coverage ratio was agreed in RAN1 as the </w:t>
      </w:r>
      <w:r>
        <w:t>performance</w:t>
      </w:r>
      <w:r>
        <w:rPr>
          <w:rFonts w:hint="eastAsia"/>
        </w:rPr>
        <w:t xml:space="preserve"> metrics for the DL </w:t>
      </w:r>
      <w:r>
        <w:t>coverage</w:t>
      </w:r>
      <w:r>
        <w:rPr>
          <w:rFonts w:hint="eastAsia"/>
        </w:rPr>
        <w:t xml:space="preserve"> enhancement evaluations at system level. </w:t>
      </w:r>
      <w:r>
        <w:t>A</w:t>
      </w:r>
      <w:r>
        <w:rPr>
          <w:rFonts w:hint="eastAsia"/>
        </w:rPr>
        <w:t xml:space="preserve">nd observations are drawn in the RAN1#117 that to fulfil the higher coverage ratio to almost 100%, the periodicity of SSB should be extended [3]. </w:t>
      </w:r>
      <w:r>
        <w:t>F</w:t>
      </w:r>
      <w:r>
        <w:rPr>
          <w:rFonts w:hint="eastAsia"/>
        </w:rPr>
        <w:t xml:space="preserve">or both set 1-1/1-3, the SSB periodicity needs to be extended from 20ms to 80ms. </w:t>
      </w:r>
      <w:r>
        <w:t>F</w:t>
      </w:r>
      <w:r>
        <w:rPr>
          <w:rFonts w:hint="eastAsia"/>
        </w:rPr>
        <w:t xml:space="preserve">or the Set </w:t>
      </w:r>
      <w:r>
        <w:rPr>
          <w:rFonts w:hint="eastAsia"/>
        </w:rPr>
        <w:lastRenderedPageBreak/>
        <w:t xml:space="preserve">1-2, the SSB periodicity would be extended from 20ms to 320ms. </w:t>
      </w:r>
      <w:r>
        <w:t>D</w:t>
      </w:r>
      <w:r>
        <w:rPr>
          <w:rFonts w:hint="eastAsia"/>
        </w:rPr>
        <w:t xml:space="preserve">ue to </w:t>
      </w:r>
      <w:r>
        <w:t>limitation</w:t>
      </w:r>
      <w:r>
        <w:rPr>
          <w:rFonts w:hint="eastAsia"/>
        </w:rPr>
        <w:t xml:space="preserve"> of the hardware and the payload of satellites, the </w:t>
      </w:r>
      <w:r>
        <w:t>basic</w:t>
      </w:r>
      <w:r>
        <w:rPr>
          <w:rFonts w:hint="eastAsia"/>
        </w:rPr>
        <w:t xml:space="preserve"> coverage ratio of set 1-2 without any enhancement is only 1.5%, </w:t>
      </w:r>
      <w:r>
        <w:t>which</w:t>
      </w:r>
      <w:r>
        <w:rPr>
          <w:rFonts w:hint="eastAsia"/>
        </w:rPr>
        <w:t xml:space="preserve"> is much lower than </w:t>
      </w:r>
      <w:r>
        <w:t>that</w:t>
      </w:r>
      <w:r>
        <w:rPr>
          <w:rFonts w:hint="eastAsia"/>
        </w:rPr>
        <w:t xml:space="preserve"> of Set 1-1/1-3. </w:t>
      </w:r>
      <w:r>
        <w:t>B</w:t>
      </w:r>
      <w:r>
        <w:rPr>
          <w:rFonts w:hint="eastAsia"/>
        </w:rPr>
        <w:t xml:space="preserve">ut the satellites with this kind of lower capability also have using scenarios and exists in the realities. </w:t>
      </w:r>
    </w:p>
    <w:p w14:paraId="6368C338" w14:textId="77777777" w:rsidR="00575447" w:rsidRDefault="00575447">
      <w:pPr>
        <w:adjustRightInd w:val="0"/>
        <w:snapToGrid w:val="0"/>
      </w:pPr>
    </w:p>
    <w:p w14:paraId="451623DE" w14:textId="77777777" w:rsidR="00575447" w:rsidRDefault="00000000">
      <w:pPr>
        <w:adjustRightInd w:val="0"/>
        <w:snapToGrid w:val="0"/>
        <w:jc w:val="center"/>
      </w:pPr>
      <w:r>
        <w:rPr>
          <w:noProof/>
        </w:rPr>
        <w:drawing>
          <wp:inline distT="0" distB="0" distL="0" distR="0" wp14:anchorId="28278CF4" wp14:editId="105746EF">
            <wp:extent cx="5956300" cy="3362325"/>
            <wp:effectExtent l="0" t="0" r="6350" b="0"/>
            <wp:docPr id="1157914728" name="图片 1" descr="图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14728" name="图片 1" descr="图表&#10;&#10;中度可信度描述已自动生成"/>
                    <pic:cNvPicPr>
                      <a:picLocks noChangeAspect="1"/>
                    </pic:cNvPicPr>
                  </pic:nvPicPr>
                  <pic:blipFill>
                    <a:blip r:embed="rId8"/>
                    <a:stretch>
                      <a:fillRect/>
                    </a:stretch>
                  </pic:blipFill>
                  <pic:spPr>
                    <a:xfrm>
                      <a:off x="0" y="0"/>
                      <a:ext cx="5958206" cy="3363292"/>
                    </a:xfrm>
                    <a:prstGeom prst="rect">
                      <a:avLst/>
                    </a:prstGeom>
                  </pic:spPr>
                </pic:pic>
              </a:graphicData>
            </a:graphic>
          </wp:inline>
        </w:drawing>
      </w:r>
    </w:p>
    <w:p w14:paraId="7D6AE465" w14:textId="77B24D19" w:rsidR="00575447" w:rsidRDefault="00000000">
      <w:pPr>
        <w:pStyle w:val="a7"/>
        <w:spacing w:before="120" w:after="120"/>
        <w:jc w:val="center"/>
      </w:pPr>
      <w:r>
        <w:t xml:space="preserve">Figure </w:t>
      </w:r>
      <w:r>
        <w:fldChar w:fldCharType="begin"/>
      </w:r>
      <w:r>
        <w:instrText xml:space="preserve"> SEQ Figure \* ARABIC </w:instrText>
      </w:r>
      <w:r>
        <w:fldChar w:fldCharType="separate"/>
      </w:r>
      <w:r w:rsidR="0057542D">
        <w:rPr>
          <w:noProof/>
        </w:rPr>
        <w:t>1</w:t>
      </w:r>
      <w:r>
        <w:fldChar w:fldCharType="end"/>
      </w:r>
      <w:r>
        <w:rPr>
          <w:rFonts w:eastAsiaTheme="minorEastAsia" w:hint="eastAsia"/>
        </w:rPr>
        <w:t xml:space="preserve"> </w:t>
      </w:r>
      <w:r>
        <w:t>A</w:t>
      </w:r>
      <w:r>
        <w:rPr>
          <w:rFonts w:hint="eastAsia"/>
        </w:rPr>
        <w:t xml:space="preserve">n </w:t>
      </w:r>
      <w:r>
        <w:t>example</w:t>
      </w:r>
      <w:r>
        <w:rPr>
          <w:rFonts w:hint="eastAsia"/>
        </w:rPr>
        <w:t xml:space="preserve"> of 20ms dwelling window and the 320ms revisit period for Set 1-2</w:t>
      </w:r>
    </w:p>
    <w:p w14:paraId="08C8F45A" w14:textId="77777777" w:rsidR="00575447" w:rsidRDefault="00575447">
      <w:pPr>
        <w:adjustRightInd w:val="0"/>
        <w:snapToGrid w:val="0"/>
      </w:pPr>
    </w:p>
    <w:p w14:paraId="2052C556" w14:textId="77777777" w:rsidR="00575447" w:rsidRDefault="00000000">
      <w:pPr>
        <w:adjustRightInd w:val="0"/>
        <w:snapToGrid w:val="0"/>
      </w:pPr>
      <w:r>
        <w:t>Consider</w:t>
      </w:r>
      <w:r>
        <w:rPr>
          <w:rFonts w:hint="eastAsia"/>
        </w:rPr>
        <w:t xml:space="preserve">ing the satellite parameters Set 1-2 as an example, the </w:t>
      </w:r>
      <w:r>
        <w:t>operation</w:t>
      </w:r>
      <w:r>
        <w:rPr>
          <w:rFonts w:hint="eastAsia"/>
        </w:rPr>
        <w:t xml:space="preserve"> and </w:t>
      </w:r>
      <w:r>
        <w:t>necessary</w:t>
      </w:r>
      <w:r>
        <w:rPr>
          <w:rFonts w:hint="eastAsia"/>
        </w:rPr>
        <w:t xml:space="preserve"> signals and channels are illustrated in the </w:t>
      </w:r>
      <w:r>
        <w:rPr>
          <w:rFonts w:hint="eastAsia"/>
          <w:b/>
          <w:bCs w:val="0"/>
        </w:rPr>
        <w:t>Figure 1</w:t>
      </w:r>
      <w:r>
        <w:rPr>
          <w:rFonts w:hint="eastAsia"/>
        </w:rPr>
        <w:t xml:space="preserve">. 4 SSBs are supported for the S-band. </w:t>
      </w:r>
      <w:r>
        <w:t>Each</w:t>
      </w:r>
      <w:r>
        <w:rPr>
          <w:rFonts w:hint="eastAsia"/>
        </w:rPr>
        <w:t xml:space="preserve"> SSB can provide DL synchronization over one beam footprint. </w:t>
      </w:r>
      <w:r>
        <w:t>W</w:t>
      </w:r>
      <w:r>
        <w:rPr>
          <w:rFonts w:hint="eastAsia"/>
        </w:rPr>
        <w:t xml:space="preserve">ith one of the 16 </w:t>
      </w:r>
      <w:r>
        <w:t>simultaneously active beams</w:t>
      </w:r>
      <w:r>
        <w:rPr>
          <w:rFonts w:hint="eastAsia"/>
        </w:rPr>
        <w:t xml:space="preserve"> from Set 1-2, 4 SSBs can be transited at </w:t>
      </w:r>
      <w:r>
        <w:t>different</w:t>
      </w:r>
      <w:r>
        <w:rPr>
          <w:rFonts w:hint="eastAsia"/>
        </w:rPr>
        <w:t xml:space="preserve"> time instance into 4 different beam footprints. </w:t>
      </w:r>
      <w:r>
        <w:t>A</w:t>
      </w:r>
      <w:r>
        <w:rPr>
          <w:rFonts w:hint="eastAsia"/>
        </w:rPr>
        <w:t xml:space="preserve">nd within one beam footprint, the SIB1 and SIB19 can be transmitted following the same SSB providing the system </w:t>
      </w:r>
      <w:r>
        <w:t>information</w:t>
      </w:r>
      <w:r>
        <w:rPr>
          <w:rFonts w:hint="eastAsia"/>
        </w:rPr>
        <w:t xml:space="preserve"> and the necessary information for </w:t>
      </w:r>
      <w:r>
        <w:t>initial</w:t>
      </w:r>
      <w:r>
        <w:rPr>
          <w:rFonts w:hint="eastAsia"/>
        </w:rPr>
        <w:t xml:space="preserve"> access. The SSBs, the </w:t>
      </w:r>
      <w:r>
        <w:t>related</w:t>
      </w:r>
      <w:r>
        <w:rPr>
          <w:rFonts w:hint="eastAsia"/>
        </w:rPr>
        <w:t xml:space="preserve"> SIB1 and SIB19 can be transmitted in 4 beam footprints in a TDM manner. </w:t>
      </w:r>
      <w:r>
        <w:t>T</w:t>
      </w:r>
      <w:r>
        <w:rPr>
          <w:rFonts w:hint="eastAsia"/>
        </w:rPr>
        <w:t xml:space="preserve">he transmission of those information over 4 beam footprints will occupy at least 10ms of the 20ms dwelling window. Then the residual 10ms of the dwelling window can be used for the </w:t>
      </w:r>
      <w:r>
        <w:t>dynamic</w:t>
      </w:r>
      <w:r>
        <w:rPr>
          <w:rFonts w:hint="eastAsia"/>
        </w:rPr>
        <w:t xml:space="preserve"> scheduling depending on the </w:t>
      </w:r>
      <w:r>
        <w:t>traffic</w:t>
      </w:r>
      <w:r>
        <w:rPr>
          <w:rFonts w:hint="eastAsia"/>
        </w:rPr>
        <w:t xml:space="preserve">. </w:t>
      </w:r>
      <w:r>
        <w:t>F</w:t>
      </w:r>
      <w:r>
        <w:rPr>
          <w:rFonts w:hint="eastAsia"/>
        </w:rPr>
        <w:t xml:space="preserve">or the </w:t>
      </w:r>
      <w:r>
        <w:t>initial</w:t>
      </w:r>
      <w:r>
        <w:rPr>
          <w:rFonts w:hint="eastAsia"/>
        </w:rPr>
        <w:t xml:space="preserve"> access for the uplink, after UE successfully decoded the information of SIB19, the UE can transmit </w:t>
      </w:r>
      <w:r>
        <w:t>the</w:t>
      </w:r>
      <w:r>
        <w:rPr>
          <w:rFonts w:hint="eastAsia"/>
        </w:rPr>
        <w:t xml:space="preserve"> PRACH at corresponding RACH occasion associated with the specific SSB index within the dwelling window. </w:t>
      </w:r>
      <w:r>
        <w:t>E</w:t>
      </w:r>
      <w:r>
        <w:rPr>
          <w:rFonts w:hint="eastAsia"/>
        </w:rPr>
        <w:t xml:space="preserve">xcluding the RACH occasions whose beam direction should be determined according to the associated DL SSB, the other uplink slots can be used dynamically, including the last 10ms of the 20ms dwelling window. </w:t>
      </w:r>
      <w:r>
        <w:t>C</w:t>
      </w:r>
      <w:r>
        <w:rPr>
          <w:rFonts w:hint="eastAsia"/>
        </w:rPr>
        <w:t xml:space="preserve">onsidering that one of the 16 simultaneously </w:t>
      </w:r>
      <w:r>
        <w:t>active</w:t>
      </w:r>
      <w:r>
        <w:rPr>
          <w:rFonts w:hint="eastAsia"/>
        </w:rPr>
        <w:t xml:space="preserve"> beams can cover 4 beam footprints over 20ms dwelling window, it needs 16 time-domain occasions for each of 16 simultaneous active beam to cover all </w:t>
      </w:r>
      <w:r>
        <w:t>candidate</w:t>
      </w:r>
      <w:r>
        <w:rPr>
          <w:rFonts w:hint="eastAsia"/>
        </w:rPr>
        <w:t xml:space="preserve"> 1058 beams to </w:t>
      </w:r>
      <w:r>
        <w:t>reach</w:t>
      </w:r>
      <w:r>
        <w:rPr>
          <w:rFonts w:hint="eastAsia"/>
        </w:rPr>
        <w:t xml:space="preserve"> a 96.8% coverage ratio. </w:t>
      </w:r>
      <w:r>
        <w:t>B</w:t>
      </w:r>
      <w:r>
        <w:rPr>
          <w:rFonts w:hint="eastAsia"/>
        </w:rPr>
        <w:t xml:space="preserve">ased on the assumption above, the </w:t>
      </w:r>
      <w:r>
        <w:t>active</w:t>
      </w:r>
      <w:r>
        <w:rPr>
          <w:rFonts w:hint="eastAsia"/>
        </w:rPr>
        <w:t xml:space="preserve"> beam will periodically visit one beam </w:t>
      </w:r>
      <w:r>
        <w:t>footprint</w:t>
      </w:r>
      <w:r>
        <w:rPr>
          <w:rFonts w:hint="eastAsia"/>
        </w:rPr>
        <w:t xml:space="preserve"> in a 320ms periodicity. </w:t>
      </w:r>
      <w:r>
        <w:t>T</w:t>
      </w:r>
      <w:r>
        <w:rPr>
          <w:rFonts w:hint="eastAsia"/>
        </w:rPr>
        <w:t xml:space="preserve">he UE </w:t>
      </w:r>
      <w:r>
        <w:t>can</w:t>
      </w:r>
      <w:r>
        <w:rPr>
          <w:rFonts w:hint="eastAsia"/>
        </w:rPr>
        <w:t xml:space="preserve"> be scheduled every 320ms for at least 10ms for the traffic. </w:t>
      </w:r>
      <w:r>
        <w:t>I</w:t>
      </w:r>
      <w:r>
        <w:rPr>
          <w:rFonts w:hint="eastAsia"/>
        </w:rPr>
        <w:t xml:space="preserve">f the UEs are not uniformly located in all the beam footprints or triggering any traffic, the </w:t>
      </w:r>
      <w:proofErr w:type="spellStart"/>
      <w:r>
        <w:rPr>
          <w:rFonts w:hint="eastAsia"/>
        </w:rPr>
        <w:t>gNB</w:t>
      </w:r>
      <w:proofErr w:type="spellEnd"/>
      <w:r>
        <w:rPr>
          <w:rFonts w:hint="eastAsia"/>
        </w:rPr>
        <w:t xml:space="preserve"> can allocate the last 10ms of the 20ms dwelling window to the </w:t>
      </w:r>
      <w:r>
        <w:t>oth</w:t>
      </w:r>
      <w:r>
        <w:rPr>
          <w:rFonts w:hint="eastAsia"/>
        </w:rPr>
        <w:t xml:space="preserve">er beam footprint, or extend the dwelling window for one beam footprint and reduce the dwelling time of other beam footprints. </w:t>
      </w:r>
    </w:p>
    <w:p w14:paraId="22694744" w14:textId="77777777" w:rsidR="00575447" w:rsidRDefault="00575447">
      <w:pPr>
        <w:adjustRightInd w:val="0"/>
        <w:snapToGrid w:val="0"/>
      </w:pPr>
    </w:p>
    <w:p w14:paraId="3BDFB912" w14:textId="77777777" w:rsidR="00575447" w:rsidRDefault="00000000">
      <w:pPr>
        <w:adjustRightInd w:val="0"/>
        <w:snapToGrid w:val="0"/>
        <w:rPr>
          <w:b/>
          <w:bCs w:val="0"/>
        </w:rPr>
      </w:pPr>
      <w:bookmarkStart w:id="7" w:name="_Hlk168509972"/>
      <w:r>
        <w:rPr>
          <w:rFonts w:hint="eastAsia"/>
          <w:b/>
          <w:bCs w:val="0"/>
        </w:rPr>
        <w:t xml:space="preserve">Observation 1: </w:t>
      </w:r>
      <w:r>
        <w:rPr>
          <w:b/>
          <w:bCs w:val="0"/>
        </w:rPr>
        <w:t>W</w:t>
      </w:r>
      <w:r>
        <w:rPr>
          <w:rFonts w:hint="eastAsia"/>
          <w:b/>
          <w:bCs w:val="0"/>
        </w:rPr>
        <w:t xml:space="preserve">ithin the dwelling window, the SSB and </w:t>
      </w:r>
      <w:r>
        <w:rPr>
          <w:b/>
          <w:bCs w:val="0"/>
        </w:rPr>
        <w:t>necessary</w:t>
      </w:r>
      <w:r>
        <w:rPr>
          <w:rFonts w:hint="eastAsia"/>
          <w:b/>
          <w:bCs w:val="0"/>
        </w:rPr>
        <w:t xml:space="preserve"> system </w:t>
      </w:r>
      <w:r>
        <w:rPr>
          <w:b/>
          <w:bCs w:val="0"/>
        </w:rPr>
        <w:t>information</w:t>
      </w:r>
      <w:r>
        <w:rPr>
          <w:rFonts w:hint="eastAsia"/>
          <w:b/>
          <w:bCs w:val="0"/>
        </w:rPr>
        <w:t xml:space="preserve"> can be broadcasted for the target beam footprints, which can be utilized by UEs to access to the satellite/</w:t>
      </w:r>
      <w:proofErr w:type="spellStart"/>
      <w:r>
        <w:rPr>
          <w:rFonts w:hint="eastAsia"/>
          <w:b/>
          <w:bCs w:val="0"/>
        </w:rPr>
        <w:t>gNB</w:t>
      </w:r>
      <w:proofErr w:type="spellEnd"/>
      <w:r>
        <w:rPr>
          <w:rFonts w:hint="eastAsia"/>
          <w:b/>
          <w:bCs w:val="0"/>
        </w:rPr>
        <w:t xml:space="preserve"> within the dwelling </w:t>
      </w:r>
      <w:r>
        <w:rPr>
          <w:b/>
          <w:bCs w:val="0"/>
        </w:rPr>
        <w:t>window</w:t>
      </w:r>
      <w:r>
        <w:rPr>
          <w:rFonts w:hint="eastAsia"/>
          <w:b/>
          <w:bCs w:val="0"/>
        </w:rPr>
        <w:t xml:space="preserve">. </w:t>
      </w:r>
      <w:r>
        <w:rPr>
          <w:b/>
          <w:bCs w:val="0"/>
        </w:rPr>
        <w:t>F</w:t>
      </w:r>
      <w:r>
        <w:rPr>
          <w:rFonts w:hint="eastAsia"/>
          <w:b/>
          <w:bCs w:val="0"/>
        </w:rPr>
        <w:t xml:space="preserve">or the residual slots of the dwelling window, it can be used </w:t>
      </w:r>
      <w:r>
        <w:rPr>
          <w:b/>
          <w:bCs w:val="0"/>
        </w:rPr>
        <w:t>for the</w:t>
      </w:r>
      <w:r>
        <w:rPr>
          <w:rFonts w:hint="eastAsia"/>
          <w:b/>
          <w:bCs w:val="0"/>
        </w:rPr>
        <w:t xml:space="preserve"> dynamic scheduling.</w:t>
      </w:r>
    </w:p>
    <w:p w14:paraId="10CBB851" w14:textId="77777777" w:rsidR="00575447" w:rsidRDefault="00575447">
      <w:pPr>
        <w:adjustRightInd w:val="0"/>
        <w:snapToGrid w:val="0"/>
        <w:rPr>
          <w:b/>
          <w:bCs w:val="0"/>
        </w:rPr>
      </w:pPr>
    </w:p>
    <w:p w14:paraId="726AA78E" w14:textId="77777777" w:rsidR="00575447" w:rsidRDefault="00000000">
      <w:pPr>
        <w:adjustRightInd w:val="0"/>
        <w:snapToGrid w:val="0"/>
        <w:rPr>
          <w:b/>
          <w:bCs w:val="0"/>
        </w:rPr>
      </w:pPr>
      <w:r>
        <w:rPr>
          <w:rFonts w:hint="eastAsia"/>
          <w:b/>
          <w:bCs w:val="0"/>
        </w:rPr>
        <w:t xml:space="preserve">Observation 2: The time span for the dynamic scheduling of the dwelling window for a given beam footprints can be allocated on demand based on UE distribution and </w:t>
      </w:r>
      <w:r>
        <w:rPr>
          <w:b/>
          <w:bCs w:val="0"/>
        </w:rPr>
        <w:t>traffic</w:t>
      </w:r>
      <w:r>
        <w:rPr>
          <w:rFonts w:hint="eastAsia"/>
          <w:b/>
          <w:bCs w:val="0"/>
        </w:rPr>
        <w:t xml:space="preserve"> distribution. </w:t>
      </w:r>
    </w:p>
    <w:p w14:paraId="00AAF245" w14:textId="77777777" w:rsidR="00575447" w:rsidRDefault="00575447">
      <w:pPr>
        <w:adjustRightInd w:val="0"/>
        <w:snapToGrid w:val="0"/>
      </w:pPr>
    </w:p>
    <w:p w14:paraId="391CE1F6" w14:textId="77777777" w:rsidR="00575447" w:rsidRDefault="00000000">
      <w:pPr>
        <w:adjustRightInd w:val="0"/>
        <w:snapToGrid w:val="0"/>
      </w:pPr>
      <w:r>
        <w:t>A</w:t>
      </w:r>
      <w:r>
        <w:rPr>
          <w:rFonts w:hint="eastAsia"/>
        </w:rPr>
        <w:t xml:space="preserve">nother kind of solution is </w:t>
      </w:r>
      <w:r>
        <w:t>that</w:t>
      </w:r>
      <w:r>
        <w:rPr>
          <w:rFonts w:hint="eastAsia"/>
        </w:rPr>
        <w:t xml:space="preserve"> allocating the 16 simultaneously active beams for a specific usage. </w:t>
      </w:r>
      <w:r>
        <w:t>F</w:t>
      </w:r>
      <w:r>
        <w:rPr>
          <w:rFonts w:hint="eastAsia"/>
        </w:rPr>
        <w:t xml:space="preserve">or </w:t>
      </w:r>
      <w:r>
        <w:t>example</w:t>
      </w:r>
      <w:r>
        <w:rPr>
          <w:rFonts w:hint="eastAsia"/>
        </w:rPr>
        <w:t xml:space="preserve">, 8 beams will be used specifically for the DL broadcasting and the other 8 beams can be used for UE </w:t>
      </w:r>
      <w:r>
        <w:t>specific</w:t>
      </w:r>
      <w:r>
        <w:rPr>
          <w:rFonts w:hint="eastAsia"/>
        </w:rPr>
        <w:t xml:space="preserve"> traffic. </w:t>
      </w:r>
      <w:r>
        <w:t>T</w:t>
      </w:r>
      <w:r>
        <w:rPr>
          <w:rFonts w:hint="eastAsia"/>
        </w:rPr>
        <w:t xml:space="preserve">he 8 </w:t>
      </w:r>
      <w:proofErr w:type="gramStart"/>
      <w:r>
        <w:rPr>
          <w:rFonts w:hint="eastAsia"/>
        </w:rPr>
        <w:t>beam</w:t>
      </w:r>
      <w:proofErr w:type="gramEnd"/>
      <w:r>
        <w:rPr>
          <w:rFonts w:hint="eastAsia"/>
        </w:rPr>
        <w:t xml:space="preserve"> for the </w:t>
      </w:r>
      <w:r>
        <w:rPr>
          <w:rFonts w:hint="eastAsia"/>
        </w:rPr>
        <w:lastRenderedPageBreak/>
        <w:t xml:space="preserve">broadcast and initial access can be periodically hopping over the total 1058 beam footprints. </w:t>
      </w:r>
      <w:r>
        <w:t>T</w:t>
      </w:r>
      <w:r>
        <w:rPr>
          <w:rFonts w:hint="eastAsia"/>
        </w:rPr>
        <w:t xml:space="preserve">he other 8 beams for UE </w:t>
      </w:r>
      <w:r>
        <w:t>specific</w:t>
      </w:r>
      <w:r>
        <w:rPr>
          <w:rFonts w:hint="eastAsia"/>
        </w:rPr>
        <w:t xml:space="preserve"> traffic can used for parts of the beam footprints continuously until the traffic ends. </w:t>
      </w:r>
      <w:r>
        <w:t>T</w:t>
      </w:r>
      <w:r>
        <w:rPr>
          <w:rFonts w:hint="eastAsia"/>
        </w:rPr>
        <w:t xml:space="preserve">his kind of </w:t>
      </w:r>
      <w:r>
        <w:t>different</w:t>
      </w:r>
      <w:r>
        <w:rPr>
          <w:rFonts w:hint="eastAsia"/>
        </w:rPr>
        <w:t xml:space="preserve"> functionality allocation for the simultaneously active beams can support both periodically broadcast to maintain the basic coverage for the UE initial access and the continuous service for specific areas. </w:t>
      </w:r>
    </w:p>
    <w:p w14:paraId="24156A3E" w14:textId="77777777" w:rsidR="00575447" w:rsidRDefault="00575447">
      <w:pPr>
        <w:adjustRightInd w:val="0"/>
        <w:snapToGrid w:val="0"/>
      </w:pPr>
    </w:p>
    <w:p w14:paraId="6499A397" w14:textId="77777777" w:rsidR="00575447" w:rsidRDefault="00000000">
      <w:pPr>
        <w:adjustRightInd w:val="0"/>
        <w:snapToGrid w:val="0"/>
        <w:rPr>
          <w:b/>
          <w:bCs w:val="0"/>
        </w:rPr>
      </w:pPr>
      <w:r>
        <w:rPr>
          <w:rFonts w:hint="eastAsia"/>
          <w:b/>
          <w:bCs w:val="0"/>
        </w:rPr>
        <w:t xml:space="preserve">Observation 3: </w:t>
      </w:r>
      <w:r>
        <w:rPr>
          <w:b/>
          <w:bCs w:val="0"/>
        </w:rPr>
        <w:t>B</w:t>
      </w:r>
      <w:r>
        <w:rPr>
          <w:rFonts w:hint="eastAsia"/>
          <w:b/>
          <w:bCs w:val="0"/>
        </w:rPr>
        <w:t xml:space="preserve">oth using one shared beam for both broadcast and UE specific traffic and separate beams for </w:t>
      </w:r>
      <w:r>
        <w:rPr>
          <w:b/>
          <w:bCs w:val="0"/>
        </w:rPr>
        <w:t>different</w:t>
      </w:r>
      <w:r>
        <w:rPr>
          <w:rFonts w:hint="eastAsia"/>
          <w:b/>
          <w:bCs w:val="0"/>
        </w:rPr>
        <w:t xml:space="preserve"> functions respectively can be considered for the system level </w:t>
      </w:r>
      <w:r>
        <w:rPr>
          <w:b/>
          <w:bCs w:val="0"/>
        </w:rPr>
        <w:t>enhancements</w:t>
      </w:r>
      <w:r>
        <w:rPr>
          <w:rFonts w:hint="eastAsia"/>
          <w:b/>
          <w:bCs w:val="0"/>
        </w:rPr>
        <w:t xml:space="preserve"> to </w:t>
      </w:r>
      <w:r>
        <w:rPr>
          <w:b/>
          <w:bCs w:val="0"/>
        </w:rPr>
        <w:t>improve</w:t>
      </w:r>
      <w:r>
        <w:rPr>
          <w:rFonts w:hint="eastAsia"/>
          <w:b/>
          <w:bCs w:val="0"/>
        </w:rPr>
        <w:t xml:space="preserve"> the coverage ratio. </w:t>
      </w:r>
    </w:p>
    <w:bookmarkEnd w:id="7"/>
    <w:p w14:paraId="7525B43D" w14:textId="77777777" w:rsidR="00575447" w:rsidRDefault="00575447">
      <w:pPr>
        <w:adjustRightInd w:val="0"/>
        <w:snapToGrid w:val="0"/>
      </w:pPr>
    </w:p>
    <w:p w14:paraId="4BEA2DE4" w14:textId="5644BB02" w:rsidR="00531406" w:rsidRDefault="00000000">
      <w:pPr>
        <w:adjustRightInd w:val="0"/>
        <w:snapToGrid w:val="0"/>
      </w:pPr>
      <w:r>
        <w:rPr>
          <w:rFonts w:hint="eastAsia"/>
        </w:rPr>
        <w:t>Based on RAN1</w:t>
      </w:r>
      <w:r>
        <w:t>’</w:t>
      </w:r>
      <w:r>
        <w:rPr>
          <w:rFonts w:hint="eastAsia"/>
        </w:rPr>
        <w:t xml:space="preserve">s evaluation, </w:t>
      </w:r>
      <w:proofErr w:type="gramStart"/>
      <w:r>
        <w:rPr>
          <w:rFonts w:hint="eastAsia"/>
        </w:rPr>
        <w:t>Set</w:t>
      </w:r>
      <w:proofErr w:type="gramEnd"/>
      <w:r>
        <w:rPr>
          <w:rFonts w:hint="eastAsia"/>
        </w:rPr>
        <w:t xml:space="preserve"> 1-1/1-3 with </w:t>
      </w:r>
      <w:r>
        <w:t>higher</w:t>
      </w:r>
      <w:r>
        <w:rPr>
          <w:rFonts w:hint="eastAsia"/>
        </w:rPr>
        <w:t xml:space="preserve"> number of simultaneous active beam, the SSB periodicity needs to be extended from 20ms to 80ms to </w:t>
      </w:r>
      <w:r>
        <w:t>reach</w:t>
      </w:r>
      <w:r>
        <w:rPr>
          <w:rFonts w:hint="eastAsia"/>
        </w:rPr>
        <w:t xml:space="preserve"> the 100% coverage ratio.</w:t>
      </w:r>
      <w:r w:rsidR="00412617" w:rsidRPr="00412617">
        <w:t xml:space="preserve"> </w:t>
      </w:r>
      <w:r w:rsidR="00412617">
        <w:t>F</w:t>
      </w:r>
      <w:r w:rsidR="00412617">
        <w:rPr>
          <w:rFonts w:hint="eastAsia"/>
        </w:rPr>
        <w:t>or set 1-3</w:t>
      </w:r>
      <w:r w:rsidR="00412617">
        <w:rPr>
          <w:rFonts w:hint="eastAsia"/>
        </w:rPr>
        <w:t xml:space="preserve">, due to the limited power at the satellite, repetitions need to be utilized to </w:t>
      </w:r>
      <w:r w:rsidR="00412617">
        <w:t>compensate</w:t>
      </w:r>
      <w:r w:rsidR="00412617">
        <w:rPr>
          <w:rFonts w:hint="eastAsia"/>
        </w:rPr>
        <w:t xml:space="preserve"> the DL coverage per link level. </w:t>
      </w:r>
      <w:r>
        <w:t>F</w:t>
      </w:r>
      <w:r>
        <w:rPr>
          <w:rFonts w:hint="eastAsia"/>
        </w:rPr>
        <w:t xml:space="preserve">or set 1-2 with lower number of simultaneous active beam, </w:t>
      </w:r>
      <w:r w:rsidR="00412617">
        <w:rPr>
          <w:rFonts w:hint="eastAsia"/>
        </w:rPr>
        <w:t xml:space="preserve">three cases are considered and illustrated in Figure 2. </w:t>
      </w:r>
      <w:r w:rsidR="00412617">
        <w:t>T</w:t>
      </w:r>
      <w:r w:rsidR="00412617">
        <w:rPr>
          <w:rFonts w:hint="eastAsia"/>
        </w:rPr>
        <w:t xml:space="preserve">he Case A in the Figure 2 is the baseline case </w:t>
      </w:r>
      <w:r w:rsidR="00412617">
        <w:t>defined</w:t>
      </w:r>
      <w:r w:rsidR="00412617">
        <w:rPr>
          <w:rFonts w:hint="eastAsia"/>
        </w:rPr>
        <w:t xml:space="preserve"> in Set 1-2, in which the </w:t>
      </w:r>
      <w:r>
        <w:rPr>
          <w:rFonts w:hint="eastAsia"/>
        </w:rPr>
        <w:t>SSB periodicity needs to be extended from 20ms to 320ms</w:t>
      </w:r>
      <w:r w:rsidR="00412617">
        <w:rPr>
          <w:rFonts w:hint="eastAsia"/>
        </w:rPr>
        <w:t xml:space="preserve"> to achieve 100% coverage</w:t>
      </w:r>
      <w:r>
        <w:rPr>
          <w:rFonts w:hint="eastAsia"/>
        </w:rPr>
        <w:t xml:space="preserve">. </w:t>
      </w:r>
      <w:r w:rsidR="00412617">
        <w:t>B</w:t>
      </w:r>
      <w:r w:rsidR="00412617">
        <w:rPr>
          <w:rFonts w:hint="eastAsia"/>
        </w:rPr>
        <w:t>ased on the RAN1</w:t>
      </w:r>
      <w:r w:rsidR="00412617">
        <w:t>’</w:t>
      </w:r>
      <w:r w:rsidR="00412617">
        <w:rPr>
          <w:rFonts w:hint="eastAsia"/>
        </w:rPr>
        <w:t>s evaluation, under the assumption of Set 1-2, there is no need to further enhance the DL coverage in the link level.</w:t>
      </w:r>
      <w:r w:rsidR="00412617">
        <w:rPr>
          <w:rFonts w:hint="eastAsia"/>
        </w:rPr>
        <w:t xml:space="preserve"> T</w:t>
      </w:r>
      <w:r w:rsidR="0057542D">
        <w:rPr>
          <w:rFonts w:hint="eastAsia"/>
        </w:rPr>
        <w:t xml:space="preserve">o </w:t>
      </w:r>
      <w:r w:rsidR="0057542D">
        <w:t>reduce</w:t>
      </w:r>
      <w:r w:rsidR="0057542D">
        <w:rPr>
          <w:rFonts w:hint="eastAsia"/>
        </w:rPr>
        <w:t xml:space="preserve"> the SSB periodicity, multiple beam</w:t>
      </w:r>
      <w:r w:rsidR="00066D6D">
        <w:rPr>
          <w:rFonts w:hint="eastAsia"/>
        </w:rPr>
        <w:t>s</w:t>
      </w:r>
      <w:r w:rsidR="0057542D">
        <w:rPr>
          <w:rFonts w:hint="eastAsia"/>
        </w:rPr>
        <w:t xml:space="preserve"> with reduce</w:t>
      </w:r>
      <w:r w:rsidR="00CE78A1">
        <w:rPr>
          <w:rFonts w:hint="eastAsia"/>
        </w:rPr>
        <w:t>d</w:t>
      </w:r>
      <w:r w:rsidR="0057542D">
        <w:rPr>
          <w:rFonts w:hint="eastAsia"/>
        </w:rPr>
        <w:t xml:space="preserve"> per beam power (Case B) and wider beam (Case C) can be </w:t>
      </w:r>
      <w:r w:rsidR="0057542D">
        <w:t>considered</w:t>
      </w:r>
      <w:r w:rsidR="0057542D">
        <w:rPr>
          <w:rFonts w:hint="eastAsia"/>
        </w:rPr>
        <w:t xml:space="preserve">. </w:t>
      </w:r>
      <w:r w:rsidR="00412617">
        <w:rPr>
          <w:rFonts w:hint="eastAsia"/>
        </w:rPr>
        <w:t>I</w:t>
      </w:r>
      <w:r w:rsidR="00066D6D">
        <w:rPr>
          <w:rFonts w:hint="eastAsia"/>
        </w:rPr>
        <w:t>n Case B, the transmit power of one beam in Set 1-2 can be shared or split with 4 beams to extend the coverage</w:t>
      </w:r>
      <w:r w:rsidR="00653284">
        <w:rPr>
          <w:rFonts w:hint="eastAsia"/>
        </w:rPr>
        <w:t xml:space="preserve"> and </w:t>
      </w:r>
      <w:r w:rsidR="0068683A">
        <w:t>shorten</w:t>
      </w:r>
      <w:r w:rsidR="00653284">
        <w:rPr>
          <w:rFonts w:hint="eastAsia"/>
        </w:rPr>
        <w:t xml:space="preserve"> the SSB periodicity</w:t>
      </w:r>
      <w:r w:rsidR="00066D6D">
        <w:rPr>
          <w:rFonts w:hint="eastAsia"/>
        </w:rPr>
        <w:t xml:space="preserve">. </w:t>
      </w:r>
      <w:r w:rsidR="00066D6D">
        <w:t>T</w:t>
      </w:r>
      <w:r w:rsidR="00066D6D">
        <w:rPr>
          <w:rFonts w:hint="eastAsia"/>
        </w:rPr>
        <w:t xml:space="preserve">he transmit power </w:t>
      </w:r>
      <w:r w:rsidR="0068683A">
        <w:rPr>
          <w:rFonts w:hint="eastAsia"/>
        </w:rPr>
        <w:t>of</w:t>
      </w:r>
      <w:r w:rsidR="00066D6D">
        <w:rPr>
          <w:rFonts w:hint="eastAsia"/>
        </w:rPr>
        <w:t xml:space="preserve"> one beam </w:t>
      </w:r>
      <w:r w:rsidR="00873467">
        <w:rPr>
          <w:rFonts w:hint="eastAsia"/>
        </w:rPr>
        <w:t>in</w:t>
      </w:r>
      <w:r w:rsidR="00066D6D">
        <w:rPr>
          <w:rFonts w:hint="eastAsia"/>
        </w:rPr>
        <w:t xml:space="preserve"> Case B would </w:t>
      </w:r>
      <w:r w:rsidR="00653284">
        <w:rPr>
          <w:rFonts w:hint="eastAsia"/>
        </w:rPr>
        <w:t xml:space="preserve">be </w:t>
      </w:r>
      <w:r w:rsidR="00066D6D">
        <w:rPr>
          <w:rFonts w:hint="eastAsia"/>
        </w:rPr>
        <w:t xml:space="preserve">reduced with 6dB, which may induce issues in the link level coverage. </w:t>
      </w:r>
      <w:r w:rsidR="00066D6D">
        <w:t>I</w:t>
      </w:r>
      <w:r w:rsidR="00066D6D">
        <w:rPr>
          <w:rFonts w:hint="eastAsia"/>
        </w:rPr>
        <w:t>n Case C, a wider beam is used to extend the coverage on the earth</w:t>
      </w:r>
      <w:r w:rsidR="00E339A1">
        <w:rPr>
          <w:rFonts w:hint="eastAsia"/>
        </w:rPr>
        <w:t xml:space="preserve"> and shorten the SSB periodicity. </w:t>
      </w:r>
      <w:r w:rsidR="0003702A">
        <w:t>I</w:t>
      </w:r>
      <w:r w:rsidR="0003702A">
        <w:rPr>
          <w:rFonts w:hint="eastAsia"/>
        </w:rPr>
        <w:t xml:space="preserve">t may have similar issue as Case B </w:t>
      </w:r>
      <w:r w:rsidR="0003702A">
        <w:t>that</w:t>
      </w:r>
      <w:r w:rsidR="0003702A">
        <w:rPr>
          <w:rFonts w:hint="eastAsia"/>
        </w:rPr>
        <w:t xml:space="preserve"> the link budget may no</w:t>
      </w:r>
      <w:r w:rsidR="00412617">
        <w:rPr>
          <w:rFonts w:hint="eastAsia"/>
        </w:rPr>
        <w:t>t</w:t>
      </w:r>
      <w:r w:rsidR="0003702A">
        <w:rPr>
          <w:rFonts w:hint="eastAsia"/>
        </w:rPr>
        <w:t xml:space="preserve"> fulfil</w:t>
      </w:r>
      <w:r w:rsidR="00412617">
        <w:rPr>
          <w:rFonts w:hint="eastAsia"/>
        </w:rPr>
        <w:t>l</w:t>
      </w:r>
      <w:r w:rsidR="0003702A">
        <w:rPr>
          <w:rFonts w:hint="eastAsia"/>
        </w:rPr>
        <w:t xml:space="preserve"> the requirements. </w:t>
      </w:r>
      <w:r w:rsidR="00873467">
        <w:t>F</w:t>
      </w:r>
      <w:r w:rsidR="00873467">
        <w:rPr>
          <w:rFonts w:hint="eastAsia"/>
        </w:rPr>
        <w:t xml:space="preserve">or both Case B </w:t>
      </w:r>
      <w:r w:rsidR="00873467">
        <w:t>and</w:t>
      </w:r>
      <w:r w:rsidR="00873467">
        <w:rPr>
          <w:rFonts w:hint="eastAsia"/>
        </w:rPr>
        <w:t xml:space="preserve"> C, the link level </w:t>
      </w:r>
      <w:r w:rsidR="00412617">
        <w:rPr>
          <w:rFonts w:hint="eastAsia"/>
        </w:rPr>
        <w:t xml:space="preserve">enhancement is </w:t>
      </w:r>
      <w:r w:rsidR="00873467">
        <w:rPr>
          <w:rFonts w:hint="eastAsia"/>
        </w:rPr>
        <w:t xml:space="preserve">needed to </w:t>
      </w:r>
      <w:r w:rsidR="00873467">
        <w:t>compensate</w:t>
      </w:r>
      <w:r w:rsidR="00873467">
        <w:rPr>
          <w:rFonts w:hint="eastAsia"/>
        </w:rPr>
        <w:t xml:space="preserve"> the reduced transmit power or the reduced antenna gain due to the wider beam.</w:t>
      </w:r>
      <w:r w:rsidR="006C1FA1">
        <w:rPr>
          <w:rFonts w:hint="eastAsia"/>
        </w:rPr>
        <w:t xml:space="preserve"> </w:t>
      </w:r>
      <w:r w:rsidR="00412617">
        <w:rPr>
          <w:rFonts w:hint="eastAsia"/>
        </w:rPr>
        <w:t>However, t</w:t>
      </w:r>
      <w:r w:rsidR="00D92D4D">
        <w:rPr>
          <w:rFonts w:hint="eastAsia"/>
        </w:rPr>
        <w:t xml:space="preserve">he performance may </w:t>
      </w:r>
      <w:r w:rsidR="00412617">
        <w:rPr>
          <w:rFonts w:hint="eastAsia"/>
        </w:rPr>
        <w:t>be</w:t>
      </w:r>
      <w:r w:rsidR="00D92D4D">
        <w:rPr>
          <w:rFonts w:hint="eastAsia"/>
        </w:rPr>
        <w:t xml:space="preserve"> different </w:t>
      </w:r>
      <w:r w:rsidR="00D92D4D">
        <w:t>between</w:t>
      </w:r>
      <w:r w:rsidR="00D92D4D">
        <w:rPr>
          <w:rFonts w:hint="eastAsia"/>
        </w:rPr>
        <w:t xml:space="preserve"> Case B </w:t>
      </w:r>
      <w:r w:rsidR="00D92D4D">
        <w:t>and</w:t>
      </w:r>
      <w:r w:rsidR="00D92D4D">
        <w:rPr>
          <w:rFonts w:hint="eastAsia"/>
        </w:rPr>
        <w:t xml:space="preserve"> C. </w:t>
      </w:r>
      <w:r w:rsidR="00D92D4D">
        <w:t>I</w:t>
      </w:r>
      <w:r w:rsidR="00D92D4D">
        <w:rPr>
          <w:rFonts w:hint="eastAsia"/>
        </w:rPr>
        <w:t xml:space="preserve">n the Case C, all the UEs under the </w:t>
      </w:r>
      <w:r w:rsidR="00D92D4D">
        <w:t>original</w:t>
      </w:r>
      <w:r w:rsidR="00D92D4D">
        <w:rPr>
          <w:rFonts w:hint="eastAsia"/>
        </w:rPr>
        <w:t xml:space="preserve"> 4 beam areas will share the same set of frequency domain </w:t>
      </w:r>
      <w:r w:rsidR="00D92D4D">
        <w:t>resources</w:t>
      </w:r>
      <w:r w:rsidR="00D92D4D">
        <w:rPr>
          <w:rFonts w:hint="eastAsia"/>
        </w:rPr>
        <w:t xml:space="preserve">. </w:t>
      </w:r>
      <w:r w:rsidR="00D92D4D">
        <w:t>B</w:t>
      </w:r>
      <w:r w:rsidR="00D92D4D">
        <w:rPr>
          <w:rFonts w:hint="eastAsia"/>
        </w:rPr>
        <w:t xml:space="preserve">ut </w:t>
      </w:r>
      <w:r w:rsidR="00D92D4D">
        <w:t>in the</w:t>
      </w:r>
      <w:r w:rsidR="00D92D4D">
        <w:rPr>
          <w:rFonts w:hint="eastAsia"/>
        </w:rPr>
        <w:t xml:space="preserve"> Case B, with the different beam</w:t>
      </w:r>
      <w:r w:rsidR="00FB7365">
        <w:rPr>
          <w:rFonts w:hint="eastAsia"/>
        </w:rPr>
        <w:t>s</w:t>
      </w:r>
      <w:r w:rsidR="00D92D4D">
        <w:rPr>
          <w:rFonts w:hint="eastAsia"/>
        </w:rPr>
        <w:t xml:space="preserve"> or the spatial isolation between 4 beam areas</w:t>
      </w:r>
      <w:r w:rsidR="00FB7365">
        <w:rPr>
          <w:rFonts w:hint="eastAsia"/>
        </w:rPr>
        <w:t xml:space="preserve">, the UEs in the different beam area can use the same set of frequency </w:t>
      </w:r>
      <w:r w:rsidR="00FB7365">
        <w:t>domain</w:t>
      </w:r>
      <w:r w:rsidR="00FB7365">
        <w:rPr>
          <w:rFonts w:hint="eastAsia"/>
        </w:rPr>
        <w:t xml:space="preserve"> </w:t>
      </w:r>
      <w:r w:rsidR="00FB7365">
        <w:t>resources</w:t>
      </w:r>
      <w:r w:rsidR="00FB7365">
        <w:rPr>
          <w:rFonts w:hint="eastAsia"/>
        </w:rPr>
        <w:t xml:space="preserve">. </w:t>
      </w:r>
      <w:r w:rsidR="00BF7321">
        <w:t>T</w:t>
      </w:r>
      <w:r w:rsidR="00BF7321">
        <w:rPr>
          <w:rFonts w:hint="eastAsia"/>
        </w:rPr>
        <w:t>he UE performance or date rate in the Case B would be better than that of Case C.</w:t>
      </w:r>
      <w:r w:rsidR="00591493" w:rsidRPr="00591493">
        <w:t xml:space="preserve"> </w:t>
      </w:r>
      <w:r w:rsidR="00253CD1">
        <w:rPr>
          <w:rFonts w:hint="eastAsia"/>
        </w:rPr>
        <w:t xml:space="preserve">With the extension of the coverage of one beam from Set 1-2, the SSB </w:t>
      </w:r>
      <w:r w:rsidR="00253CD1">
        <w:t>periodicity</w:t>
      </w:r>
      <w:r w:rsidR="00253CD1">
        <w:rPr>
          <w:rFonts w:hint="eastAsia"/>
        </w:rPr>
        <w:t xml:space="preserve"> can be reduced to 80ms. </w:t>
      </w:r>
      <w:r w:rsidR="000933E7">
        <w:t>A</w:t>
      </w:r>
      <w:r w:rsidR="000933E7">
        <w:rPr>
          <w:rFonts w:hint="eastAsia"/>
        </w:rPr>
        <w:t xml:space="preserve">nd due to the reduced power and antenna gain, further link level enhancements may be needed. </w:t>
      </w:r>
    </w:p>
    <w:p w14:paraId="4DAB229A" w14:textId="77777777" w:rsidR="000933E7" w:rsidRDefault="000933E7">
      <w:pPr>
        <w:adjustRightInd w:val="0"/>
        <w:snapToGrid w:val="0"/>
      </w:pPr>
    </w:p>
    <w:p w14:paraId="159883FF" w14:textId="10FAA1E7" w:rsidR="000933E7" w:rsidRPr="00505DFF" w:rsidRDefault="000933E7">
      <w:pPr>
        <w:adjustRightInd w:val="0"/>
        <w:snapToGrid w:val="0"/>
        <w:rPr>
          <w:b/>
          <w:bCs w:val="0"/>
        </w:rPr>
      </w:pPr>
      <w:r w:rsidRPr="00990B67">
        <w:rPr>
          <w:rFonts w:hint="eastAsia"/>
          <w:b/>
          <w:bCs w:val="0"/>
        </w:rPr>
        <w:t xml:space="preserve">Observation </w:t>
      </w:r>
      <w:r w:rsidR="008D5DDF" w:rsidRPr="00990B67">
        <w:rPr>
          <w:rFonts w:hint="eastAsia"/>
          <w:b/>
          <w:bCs w:val="0"/>
        </w:rPr>
        <w:t>4</w:t>
      </w:r>
      <w:r w:rsidRPr="00990B67">
        <w:rPr>
          <w:rFonts w:hint="eastAsia"/>
          <w:b/>
          <w:bCs w:val="0"/>
        </w:rPr>
        <w:t xml:space="preserve">: </w:t>
      </w:r>
      <w:r w:rsidRPr="00505DFF">
        <w:rPr>
          <w:b/>
          <w:bCs w:val="0"/>
        </w:rPr>
        <w:t>More beams but with reduced per beam power, and wider beams can be used to extend the beam coverage of Set 1-2 and shorten the SSB periodicity.</w:t>
      </w:r>
    </w:p>
    <w:p w14:paraId="5265D6C7" w14:textId="77777777" w:rsidR="00D92D4D" w:rsidRPr="0003702A" w:rsidRDefault="00D92D4D">
      <w:pPr>
        <w:adjustRightInd w:val="0"/>
        <w:snapToGrid w:val="0"/>
      </w:pPr>
    </w:p>
    <w:p w14:paraId="2296DB12" w14:textId="231ECF34" w:rsidR="00531406" w:rsidRDefault="00531406">
      <w:pPr>
        <w:adjustRightInd w:val="0"/>
        <w:snapToGrid w:val="0"/>
      </w:pPr>
    </w:p>
    <w:p w14:paraId="10ACC3FC" w14:textId="22E9478B" w:rsidR="00531406" w:rsidRDefault="00531406" w:rsidP="00505DFF">
      <w:pPr>
        <w:adjustRightInd w:val="0"/>
        <w:snapToGrid w:val="0"/>
        <w:jc w:val="center"/>
      </w:pPr>
      <w:r w:rsidRPr="00531406">
        <w:rPr>
          <w:noProof/>
        </w:rPr>
        <w:drawing>
          <wp:inline distT="0" distB="0" distL="0" distR="0" wp14:anchorId="6A6A646E" wp14:editId="25524D57">
            <wp:extent cx="4449779" cy="1456486"/>
            <wp:effectExtent l="0" t="0" r="8255" b="0"/>
            <wp:docPr id="272955521" name="图片 1" descr="图表, 气泡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955521" name="图片 1" descr="图表, 气泡图&#10;&#10;描述已自动生成"/>
                    <pic:cNvPicPr/>
                  </pic:nvPicPr>
                  <pic:blipFill>
                    <a:blip r:embed="rId9"/>
                    <a:stretch>
                      <a:fillRect/>
                    </a:stretch>
                  </pic:blipFill>
                  <pic:spPr>
                    <a:xfrm>
                      <a:off x="0" y="0"/>
                      <a:ext cx="4458085" cy="1459205"/>
                    </a:xfrm>
                    <a:prstGeom prst="rect">
                      <a:avLst/>
                    </a:prstGeom>
                  </pic:spPr>
                </pic:pic>
              </a:graphicData>
            </a:graphic>
          </wp:inline>
        </w:drawing>
      </w:r>
    </w:p>
    <w:p w14:paraId="74FF4D81" w14:textId="67539624" w:rsidR="0057542D" w:rsidRPr="00505DFF" w:rsidRDefault="0057542D" w:rsidP="00505DFF">
      <w:pPr>
        <w:pStyle w:val="a7"/>
        <w:spacing w:before="120" w:after="120"/>
        <w:jc w:val="center"/>
        <w:rPr>
          <w:rFonts w:eastAsiaTheme="minorEastAsia"/>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rPr>
        <w:t xml:space="preserve"> Examples to extend the coverage of one beam and reducing the SSB periodicity</w:t>
      </w:r>
    </w:p>
    <w:p w14:paraId="57C58BEA" w14:textId="77777777" w:rsidR="00575447" w:rsidRDefault="00575447">
      <w:pPr>
        <w:adjustRightInd w:val="0"/>
        <w:snapToGrid w:val="0"/>
      </w:pPr>
    </w:p>
    <w:p w14:paraId="50956AF8" w14:textId="77777777" w:rsidR="00575447" w:rsidRDefault="00000000">
      <w:pPr>
        <w:adjustRightInd w:val="0"/>
        <w:snapToGrid w:val="0"/>
      </w:pPr>
      <w:r>
        <w:t>Without</w:t>
      </w:r>
      <w:r>
        <w:rPr>
          <w:rFonts w:hint="eastAsia"/>
        </w:rPr>
        <w:t xml:space="preserve"> any </w:t>
      </w:r>
      <w:r>
        <w:t>enhancement</w:t>
      </w:r>
      <w:r>
        <w:rPr>
          <w:rFonts w:hint="eastAsia"/>
        </w:rPr>
        <w:t xml:space="preserve"> of power reduction or wide beam, the SSB periodicity for Set 1-1/1-3 is 80ms and the SSB </w:t>
      </w:r>
      <w:r>
        <w:t>periodicity</w:t>
      </w:r>
      <w:r>
        <w:rPr>
          <w:rFonts w:hint="eastAsia"/>
        </w:rPr>
        <w:t xml:space="preserve"> of 1-2 is 320ms. </w:t>
      </w:r>
      <w:r>
        <w:t>I</w:t>
      </w:r>
      <w:r>
        <w:rPr>
          <w:rFonts w:hint="eastAsia"/>
        </w:rPr>
        <w:t xml:space="preserve">n the current specification, UEs assume the 20ms detection periodicity for SSBs. </w:t>
      </w:r>
      <w:r>
        <w:t>T</w:t>
      </w:r>
      <w:r>
        <w:rPr>
          <w:rFonts w:hint="eastAsia"/>
        </w:rPr>
        <w:t xml:space="preserve">hen for the NTN UEs, if the UE needs to connect to the satellites, the default periodicity should be at least 320ms for all the 3 cases. </w:t>
      </w:r>
      <w:r>
        <w:t>W</w:t>
      </w:r>
      <w:r>
        <w:rPr>
          <w:rFonts w:hint="eastAsia"/>
        </w:rPr>
        <w:t xml:space="preserve">hen the 320ms is adopted in the scenario of Set 1-1/1-3, the impact of the power consumption </w:t>
      </w:r>
      <w:r>
        <w:t>for the</w:t>
      </w:r>
      <w:r>
        <w:rPr>
          <w:rFonts w:hint="eastAsia"/>
        </w:rPr>
        <w:t xml:space="preserve"> detection of SSB is marginal, since the UE will finally find the SSB in an 80ms period. </w:t>
      </w:r>
      <w:r>
        <w:t>T</w:t>
      </w:r>
      <w:r>
        <w:rPr>
          <w:rFonts w:hint="eastAsia"/>
        </w:rPr>
        <w:t xml:space="preserve">he power consumption is almost the same as if the default period of detection is configured as 80ms and the UE is working under the set 1-1/1-3 scenarios. </w:t>
      </w:r>
      <w:r>
        <w:t>T</w:t>
      </w:r>
      <w:r>
        <w:rPr>
          <w:rFonts w:hint="eastAsia"/>
        </w:rPr>
        <w:t xml:space="preserve">hen it is proposed to extend the </w:t>
      </w:r>
      <w:r>
        <w:t>default</w:t>
      </w:r>
      <w:r>
        <w:rPr>
          <w:rFonts w:hint="eastAsia"/>
        </w:rPr>
        <w:t xml:space="preserve"> detection for SSB in NTN scenarios to 320ms. </w:t>
      </w:r>
    </w:p>
    <w:p w14:paraId="0F359991" w14:textId="77777777" w:rsidR="00575447" w:rsidRDefault="00575447">
      <w:pPr>
        <w:adjustRightInd w:val="0"/>
        <w:snapToGrid w:val="0"/>
      </w:pPr>
    </w:p>
    <w:p w14:paraId="1651119E" w14:textId="4A23D0E3" w:rsidR="00575447" w:rsidRDefault="00000000">
      <w:pPr>
        <w:adjustRightInd w:val="0"/>
        <w:snapToGrid w:val="0"/>
        <w:rPr>
          <w:b/>
          <w:bCs w:val="0"/>
        </w:rPr>
      </w:pPr>
      <w:r>
        <w:rPr>
          <w:rFonts w:hint="eastAsia"/>
          <w:b/>
          <w:bCs w:val="0"/>
        </w:rPr>
        <w:t xml:space="preserve">Observation </w:t>
      </w:r>
      <w:r w:rsidR="00990B67">
        <w:rPr>
          <w:rFonts w:hint="eastAsia"/>
          <w:b/>
          <w:bCs w:val="0"/>
        </w:rPr>
        <w:t>5</w:t>
      </w:r>
      <w:r>
        <w:rPr>
          <w:rFonts w:hint="eastAsia"/>
          <w:b/>
          <w:bCs w:val="0"/>
        </w:rPr>
        <w:t xml:space="preserve">: Extension of the </w:t>
      </w:r>
      <w:r>
        <w:rPr>
          <w:b/>
          <w:bCs w:val="0"/>
        </w:rPr>
        <w:t>periodicity</w:t>
      </w:r>
      <w:r>
        <w:rPr>
          <w:rFonts w:hint="eastAsia"/>
          <w:b/>
          <w:bCs w:val="0"/>
        </w:rPr>
        <w:t xml:space="preserve"> of SSBs is a prerequisite for reaching almost 100% coverage </w:t>
      </w:r>
      <w:proofErr w:type="spellStart"/>
      <w:r>
        <w:rPr>
          <w:rFonts w:hint="eastAsia"/>
          <w:b/>
          <w:bCs w:val="0"/>
        </w:rPr>
        <w:t>ratiofor</w:t>
      </w:r>
      <w:proofErr w:type="spellEnd"/>
      <w:r>
        <w:rPr>
          <w:rFonts w:hint="eastAsia"/>
          <w:b/>
          <w:bCs w:val="0"/>
        </w:rPr>
        <w:t xml:space="preserve"> all the scenarios using the parameter Set 1-1/1-2/1-3.</w:t>
      </w:r>
    </w:p>
    <w:p w14:paraId="3F1D87E1" w14:textId="77777777" w:rsidR="00575447" w:rsidRDefault="00575447">
      <w:pPr>
        <w:adjustRightInd w:val="0"/>
        <w:snapToGrid w:val="0"/>
        <w:rPr>
          <w:b/>
          <w:bCs w:val="0"/>
        </w:rPr>
      </w:pPr>
    </w:p>
    <w:p w14:paraId="6AF2A664" w14:textId="77777777" w:rsidR="00575447" w:rsidRDefault="00000000">
      <w:pPr>
        <w:adjustRightInd w:val="0"/>
        <w:snapToGrid w:val="0"/>
        <w:rPr>
          <w:b/>
          <w:bCs w:val="0"/>
        </w:rPr>
      </w:pPr>
      <w:r>
        <w:rPr>
          <w:b/>
          <w:bCs w:val="0"/>
        </w:rPr>
        <w:t>P</w:t>
      </w:r>
      <w:r>
        <w:rPr>
          <w:rFonts w:hint="eastAsia"/>
          <w:b/>
          <w:bCs w:val="0"/>
        </w:rPr>
        <w:t xml:space="preserve">roposal 1: </w:t>
      </w:r>
      <w:r>
        <w:rPr>
          <w:b/>
          <w:bCs w:val="0"/>
        </w:rPr>
        <w:t>Without</w:t>
      </w:r>
      <w:r>
        <w:rPr>
          <w:rFonts w:hint="eastAsia"/>
          <w:b/>
          <w:bCs w:val="0"/>
        </w:rPr>
        <w:t xml:space="preserve"> enhancement of power reduction or wider beam, to reach an almost 100% coverage ratio, the default detection period for SSBs in NTN </w:t>
      </w:r>
      <w:r>
        <w:rPr>
          <w:b/>
          <w:bCs w:val="0"/>
        </w:rPr>
        <w:t>scenarios</w:t>
      </w:r>
      <w:r>
        <w:rPr>
          <w:rFonts w:hint="eastAsia"/>
          <w:b/>
          <w:bCs w:val="0"/>
        </w:rPr>
        <w:t xml:space="preserve"> needs to be extended to 320ms for all cases of Set1-1/1-2/1-3. </w:t>
      </w:r>
    </w:p>
    <w:p w14:paraId="79E63A7E" w14:textId="77777777" w:rsidR="00575447" w:rsidRDefault="00575447">
      <w:pPr>
        <w:adjustRightInd w:val="0"/>
        <w:snapToGrid w:val="0"/>
        <w:rPr>
          <w:b/>
          <w:bCs w:val="0"/>
        </w:rPr>
      </w:pPr>
    </w:p>
    <w:p w14:paraId="105EF0D5" w14:textId="77777777" w:rsidR="00575447" w:rsidRDefault="00000000">
      <w:pPr>
        <w:adjustRightInd w:val="0"/>
        <w:snapToGrid w:val="0"/>
      </w:pPr>
      <w:r>
        <w:t>C</w:t>
      </w:r>
      <w:r>
        <w:rPr>
          <w:rFonts w:hint="eastAsia"/>
        </w:rPr>
        <w:t xml:space="preserve">ombined </w:t>
      </w:r>
      <w:r>
        <w:t>with</w:t>
      </w:r>
      <w:r>
        <w:rPr>
          <w:rFonts w:hint="eastAsia"/>
        </w:rPr>
        <w:t xml:space="preserve"> long </w:t>
      </w:r>
      <w:r>
        <w:t>detection</w:t>
      </w:r>
      <w:r>
        <w:rPr>
          <w:rFonts w:hint="eastAsia"/>
        </w:rPr>
        <w:t xml:space="preserve"> period of SSBs, as </w:t>
      </w:r>
      <w:r>
        <w:t>illustrated</w:t>
      </w:r>
      <w:r>
        <w:rPr>
          <w:rFonts w:hint="eastAsia"/>
        </w:rPr>
        <w:t xml:space="preserve"> above, a revisit period and a dwelling window should be introduced to facilitate the </w:t>
      </w:r>
      <w:r>
        <w:t>operation</w:t>
      </w:r>
      <w:r>
        <w:rPr>
          <w:rFonts w:hint="eastAsia"/>
        </w:rPr>
        <w:t xml:space="preserve"> under NTN scenarios. </w:t>
      </w:r>
      <w:r>
        <w:t>I</w:t>
      </w:r>
      <w:r>
        <w:rPr>
          <w:rFonts w:hint="eastAsia"/>
        </w:rPr>
        <w:t xml:space="preserve">t is proposed to </w:t>
      </w:r>
      <w:r>
        <w:t>support</w:t>
      </w:r>
      <w:r>
        <w:rPr>
          <w:rFonts w:hint="eastAsia"/>
        </w:rPr>
        <w:t xml:space="preserve"> the system level enhancements to improve the coverage ratio in NR-NTN phase 3, at least </w:t>
      </w:r>
      <w:r>
        <w:t>considering</w:t>
      </w:r>
      <w:r>
        <w:rPr>
          <w:rFonts w:hint="eastAsia"/>
        </w:rPr>
        <w:t xml:space="preserve"> to introduce the revisit periodicity and dwelling window.</w:t>
      </w:r>
    </w:p>
    <w:p w14:paraId="2549D500" w14:textId="77777777" w:rsidR="00575447" w:rsidRDefault="00575447">
      <w:pPr>
        <w:adjustRightInd w:val="0"/>
        <w:snapToGrid w:val="0"/>
        <w:rPr>
          <w:b/>
          <w:bCs w:val="0"/>
        </w:rPr>
      </w:pPr>
      <w:bookmarkStart w:id="8" w:name="_Hlk168509989"/>
    </w:p>
    <w:p w14:paraId="1C7D2EA1" w14:textId="77777777" w:rsidR="00575447" w:rsidRDefault="00000000">
      <w:pPr>
        <w:adjustRightInd w:val="0"/>
        <w:snapToGrid w:val="0"/>
        <w:rPr>
          <w:b/>
          <w:bCs w:val="0"/>
        </w:rPr>
      </w:pPr>
      <w:r>
        <w:rPr>
          <w:b/>
          <w:bCs w:val="0"/>
        </w:rPr>
        <w:t>P</w:t>
      </w:r>
      <w:r>
        <w:rPr>
          <w:rFonts w:hint="eastAsia"/>
          <w:b/>
          <w:bCs w:val="0"/>
        </w:rPr>
        <w:t xml:space="preserve">roposal 2: </w:t>
      </w:r>
      <w:r>
        <w:rPr>
          <w:b/>
          <w:bCs w:val="0"/>
        </w:rPr>
        <w:t>S</w:t>
      </w:r>
      <w:r>
        <w:rPr>
          <w:rFonts w:hint="eastAsia"/>
          <w:b/>
          <w:bCs w:val="0"/>
        </w:rPr>
        <w:t xml:space="preserve">upport the system level enhancements to improve the </w:t>
      </w:r>
      <w:r>
        <w:rPr>
          <w:b/>
          <w:bCs w:val="0"/>
        </w:rPr>
        <w:t>coverage</w:t>
      </w:r>
      <w:r>
        <w:rPr>
          <w:rFonts w:hint="eastAsia"/>
          <w:b/>
          <w:bCs w:val="0"/>
        </w:rPr>
        <w:t xml:space="preserve"> ratio in NR-NTN phase 3, with the consideration of introducing the revisit periodicity and dwelling window.</w:t>
      </w:r>
    </w:p>
    <w:bookmarkEnd w:id="8"/>
    <w:p w14:paraId="097290DC" w14:textId="77777777" w:rsidR="00575447" w:rsidRDefault="00575447">
      <w:pPr>
        <w:adjustRightInd w:val="0"/>
        <w:snapToGrid w:val="0"/>
      </w:pPr>
    </w:p>
    <w:tbl>
      <w:tblPr>
        <w:tblStyle w:val="aff1"/>
        <w:tblW w:w="0" w:type="auto"/>
        <w:tblLook w:val="04A0" w:firstRow="1" w:lastRow="0" w:firstColumn="1" w:lastColumn="0" w:noHBand="0" w:noVBand="1"/>
      </w:tblPr>
      <w:tblGrid>
        <w:gridCol w:w="9962"/>
      </w:tblGrid>
      <w:tr w:rsidR="00575447" w14:paraId="3EAF1D7C" w14:textId="77777777">
        <w:tc>
          <w:tcPr>
            <w:tcW w:w="9962" w:type="dxa"/>
          </w:tcPr>
          <w:p w14:paraId="0B2C0E82" w14:textId="77777777" w:rsidR="00575447" w:rsidRDefault="00575447">
            <w:pPr>
              <w:adjustRightInd w:val="0"/>
              <w:snapToGrid w:val="0"/>
              <w:rPr>
                <w:rFonts w:eastAsiaTheme="minorEastAsia"/>
              </w:rPr>
            </w:pPr>
          </w:p>
          <w:p w14:paraId="343548C0" w14:textId="77777777" w:rsidR="00575447" w:rsidRDefault="00000000">
            <w:pPr>
              <w:adjustRightInd w:val="0"/>
              <w:snapToGrid w:val="0"/>
              <w:rPr>
                <w:rFonts w:eastAsia="等线"/>
                <w:iCs w:val="0"/>
              </w:rPr>
            </w:pPr>
            <w:r>
              <w:rPr>
                <w:b/>
              </w:rPr>
              <w:t>Observation</w:t>
            </w:r>
          </w:p>
          <w:p w14:paraId="7B34B813" w14:textId="77777777" w:rsidR="00575447" w:rsidRDefault="00000000">
            <w:pPr>
              <w:adjustRightInd w:val="0"/>
              <w:snapToGrid w:val="0"/>
              <w:rPr>
                <w:rFonts w:eastAsia="等线"/>
                <w:iCs w:val="0"/>
              </w:rPr>
            </w:pPr>
            <w:r>
              <w:t xml:space="preserve">Based on the results of DL coverage </w:t>
            </w:r>
            <w:r>
              <w:rPr>
                <w:rFonts w:eastAsia="等线"/>
              </w:rPr>
              <w:t xml:space="preserve">ratio </w:t>
            </w:r>
            <w:r>
              <w:t>evaluation at system level collected from 7 sources</w:t>
            </w:r>
            <w:r>
              <w:rPr>
                <w:rFonts w:eastAsia="等线"/>
              </w:rPr>
              <w:t xml:space="preserve"> for all the three LEO600km satellite parameter sets where the beam footprint diameter is 50 km:</w:t>
            </w:r>
          </w:p>
          <w:p w14:paraId="3086B84D" w14:textId="77777777" w:rsidR="00575447" w:rsidRDefault="00000000">
            <w:pPr>
              <w:pStyle w:val="aff9"/>
              <w:numPr>
                <w:ilvl w:val="0"/>
                <w:numId w:val="12"/>
              </w:numPr>
              <w:adjustRightInd w:val="0"/>
              <w:snapToGrid w:val="0"/>
              <w:spacing w:beforeLines="0" w:afterLines="0"/>
              <w:ind w:firstLineChars="0"/>
              <w:jc w:val="both"/>
              <w:rPr>
                <w:rFonts w:eastAsia="等线"/>
                <w:iCs w:val="0"/>
              </w:rPr>
            </w:pPr>
            <w:r>
              <w:rPr>
                <w:rFonts w:eastAsia="等线"/>
              </w:rPr>
              <w:t>For Set 1-1/1-3, the coverage ratio can be improved from 10% to 100% if the SSB periodicity is increased from 20ms to 80ms and beam hopping is applied</w:t>
            </w:r>
          </w:p>
          <w:p w14:paraId="3B591E24" w14:textId="77777777" w:rsidR="00575447" w:rsidRDefault="00000000">
            <w:pPr>
              <w:pStyle w:val="aff9"/>
              <w:numPr>
                <w:ilvl w:val="0"/>
                <w:numId w:val="12"/>
              </w:numPr>
              <w:adjustRightInd w:val="0"/>
              <w:snapToGrid w:val="0"/>
              <w:spacing w:beforeLines="0" w:afterLines="0"/>
              <w:ind w:firstLineChars="0"/>
              <w:jc w:val="both"/>
              <w:rPr>
                <w:rFonts w:eastAsia="等线"/>
                <w:iCs w:val="0"/>
              </w:rPr>
            </w:pPr>
            <w:r>
              <w:rPr>
                <w:rFonts w:eastAsia="等线"/>
              </w:rPr>
              <w:t>For Set 1-2, the coverage ratio can be improved from 1.5% to 96.8% if the SSB periodicity is increased from 20ms to 320ms and beam hopping is applied.</w:t>
            </w:r>
          </w:p>
          <w:p w14:paraId="64E61F72" w14:textId="77777777" w:rsidR="00575447" w:rsidRDefault="00000000">
            <w:pPr>
              <w:pStyle w:val="aff9"/>
              <w:numPr>
                <w:ilvl w:val="0"/>
                <w:numId w:val="12"/>
              </w:numPr>
              <w:adjustRightInd w:val="0"/>
              <w:snapToGrid w:val="0"/>
              <w:spacing w:beforeLines="0" w:afterLines="0"/>
              <w:ind w:firstLineChars="0"/>
              <w:jc w:val="both"/>
              <w:rPr>
                <w:rFonts w:eastAsia="等线"/>
                <w:iCs w:val="0"/>
              </w:rPr>
            </w:pPr>
            <w:r>
              <w:rPr>
                <w:rFonts w:eastAsia="等线"/>
              </w:rPr>
              <w:t xml:space="preserve">Note: coverage ratio is </w:t>
            </w:r>
            <w:r>
              <w:t>N2+N3/ total beam footprints</w:t>
            </w:r>
          </w:p>
          <w:p w14:paraId="6B51467B" w14:textId="77777777" w:rsidR="00575447" w:rsidRDefault="00000000">
            <w:pPr>
              <w:pStyle w:val="aff9"/>
              <w:numPr>
                <w:ilvl w:val="0"/>
                <w:numId w:val="12"/>
              </w:numPr>
              <w:adjustRightInd w:val="0"/>
              <w:snapToGrid w:val="0"/>
              <w:spacing w:beforeLines="0" w:afterLines="0"/>
              <w:ind w:firstLineChars="0"/>
              <w:jc w:val="both"/>
              <w:rPr>
                <w:rFonts w:eastAsia="等线"/>
                <w:iCs w:val="0"/>
              </w:rPr>
            </w:pPr>
            <w:r>
              <w:rPr>
                <w:rFonts w:eastAsia="等线"/>
              </w:rPr>
              <w:t>Note: the baseline assumes no beam hopping. TDM between SIB1 and SIB19 is assumed in those results, following current specs.</w:t>
            </w:r>
          </w:p>
          <w:p w14:paraId="2809D65E" w14:textId="77777777" w:rsidR="00575447" w:rsidRDefault="00000000">
            <w:pPr>
              <w:adjustRightInd w:val="0"/>
              <w:snapToGrid w:val="0"/>
              <w:rPr>
                <w:rFonts w:eastAsia="等线"/>
                <w:iCs w:val="0"/>
              </w:rPr>
            </w:pPr>
            <w:r>
              <w:t xml:space="preserve">Based on the results of DL coverage </w:t>
            </w:r>
            <w:r>
              <w:rPr>
                <w:rFonts w:eastAsia="等线"/>
              </w:rPr>
              <w:t xml:space="preserve">ratio </w:t>
            </w:r>
            <w:r>
              <w:t>evaluation at system level collected from 3 sources</w:t>
            </w:r>
            <w:r>
              <w:rPr>
                <w:rFonts w:eastAsia="等线"/>
              </w:rPr>
              <w:t xml:space="preserve"> for a deployment scenario implementing wide beam footprint:</w:t>
            </w:r>
          </w:p>
          <w:p w14:paraId="1C71AD64" w14:textId="77777777" w:rsidR="00575447" w:rsidRDefault="00000000">
            <w:pPr>
              <w:pStyle w:val="aff9"/>
              <w:numPr>
                <w:ilvl w:val="0"/>
                <w:numId w:val="12"/>
              </w:numPr>
              <w:adjustRightInd w:val="0"/>
              <w:snapToGrid w:val="0"/>
              <w:spacing w:beforeLines="0" w:afterLines="0"/>
              <w:ind w:firstLineChars="0"/>
              <w:jc w:val="both"/>
              <w:rPr>
                <w:rFonts w:eastAsia="等线"/>
                <w:bCs w:val="0"/>
                <w:iCs w:val="0"/>
              </w:rPr>
            </w:pPr>
            <w:r>
              <w:rPr>
                <w:rFonts w:eastAsia="等线"/>
              </w:rPr>
              <w:t>1 source reports that w</w:t>
            </w:r>
            <w:r>
              <w:rPr>
                <w:lang w:eastAsia="ko-KR"/>
              </w:rPr>
              <w:t xml:space="preserve">ith a deployment of wide beam covering 4 narrow (of 50km size) beams, which means Set 1-2 FR1 with additional EIRP reduction of 6dB, using SSB periodicity of 80 </w:t>
            </w:r>
            <w:proofErr w:type="spellStart"/>
            <w:r>
              <w:rPr>
                <w:lang w:eastAsia="ko-KR"/>
              </w:rPr>
              <w:t>ms</w:t>
            </w:r>
            <w:proofErr w:type="spellEnd"/>
            <w:r>
              <w:rPr>
                <w:lang w:eastAsia="ko-KR"/>
              </w:rPr>
              <w:t xml:space="preserve"> can provide coverage ratio of 96.8%, and</w:t>
            </w:r>
            <w:r>
              <w:t xml:space="preserve"> </w:t>
            </w:r>
            <w:r>
              <w:rPr>
                <w:lang w:eastAsia="ko-KR"/>
              </w:rPr>
              <w:t xml:space="preserve">Set 1-1/1-3 FR1 with additional EIRP reduction of 6dB, SSB periodicity of 80 </w:t>
            </w:r>
            <w:proofErr w:type="spellStart"/>
            <w:r>
              <w:rPr>
                <w:lang w:eastAsia="ko-KR"/>
              </w:rPr>
              <w:t>ms</w:t>
            </w:r>
            <w:proofErr w:type="spellEnd"/>
            <w:r>
              <w:rPr>
                <w:lang w:eastAsia="ko-KR"/>
              </w:rPr>
              <w:t xml:space="preserve"> can provide coverage of 100%.</w:t>
            </w:r>
          </w:p>
          <w:p w14:paraId="5015959E" w14:textId="77777777" w:rsidR="00575447" w:rsidRDefault="00000000">
            <w:pPr>
              <w:pStyle w:val="aff9"/>
              <w:numPr>
                <w:ilvl w:val="0"/>
                <w:numId w:val="12"/>
              </w:numPr>
              <w:adjustRightInd w:val="0"/>
              <w:snapToGrid w:val="0"/>
              <w:spacing w:beforeLines="0" w:afterLines="0"/>
              <w:ind w:firstLineChars="0"/>
              <w:rPr>
                <w:lang w:eastAsia="ko-KR"/>
              </w:rPr>
            </w:pPr>
            <w:r>
              <w:rPr>
                <w:lang w:eastAsia="ko-KR"/>
              </w:rPr>
              <w:t xml:space="preserve">1 source observed that </w:t>
            </w:r>
            <w:r>
              <w:rPr>
                <w:rFonts w:eastAsia="等线"/>
              </w:rPr>
              <w:t xml:space="preserve">for Set 1-1, 1-2 and 1-3, the coverage ratio can be improved from 1.5% to 100% using the </w:t>
            </w:r>
            <w:r>
              <w:rPr>
                <w:lang w:eastAsia="ko-KR"/>
              </w:rPr>
              <w:t>legacy default SSB periodicity of 20ms during initial access,</w:t>
            </w:r>
            <w:r>
              <w:rPr>
                <w:rFonts w:eastAsia="等线"/>
              </w:rPr>
              <w:t xml:space="preserve"> </w:t>
            </w:r>
            <w:r>
              <w:rPr>
                <w:lang w:eastAsia="ko-KR"/>
              </w:rPr>
              <w:t xml:space="preserve">by choosing a wide beam footprint with beam footprint sizes of 84 km and 56 km respectively. </w:t>
            </w:r>
          </w:p>
          <w:p w14:paraId="6719A264" w14:textId="77777777" w:rsidR="00575447" w:rsidRDefault="00000000">
            <w:pPr>
              <w:pStyle w:val="aff9"/>
              <w:numPr>
                <w:ilvl w:val="1"/>
                <w:numId w:val="12"/>
              </w:numPr>
              <w:adjustRightInd w:val="0"/>
              <w:snapToGrid w:val="0"/>
              <w:spacing w:beforeLines="0" w:afterLines="0"/>
              <w:ind w:firstLineChars="0"/>
              <w:rPr>
                <w:lang w:eastAsia="ko-KR"/>
              </w:rPr>
            </w:pPr>
            <w:r>
              <w:rPr>
                <w:rFonts w:hint="eastAsia"/>
                <w:lang w:eastAsia="ko-KR"/>
              </w:rPr>
              <w:t>N</w:t>
            </w:r>
            <w:r>
              <w:rPr>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D77C7EB" w14:textId="77777777" w:rsidR="00575447" w:rsidRDefault="00000000">
            <w:pPr>
              <w:pStyle w:val="aff9"/>
              <w:numPr>
                <w:ilvl w:val="0"/>
                <w:numId w:val="12"/>
              </w:numPr>
              <w:adjustRightInd w:val="0"/>
              <w:snapToGrid w:val="0"/>
              <w:spacing w:beforeLines="0" w:afterLines="0"/>
              <w:ind w:firstLineChars="0"/>
              <w:rPr>
                <w:lang w:eastAsia="ko-KR"/>
              </w:rPr>
            </w:pPr>
            <w:r>
              <w:rPr>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73D6A4C" w14:textId="77777777" w:rsidR="00575447" w:rsidRDefault="00000000">
            <w:pPr>
              <w:pStyle w:val="aff9"/>
              <w:numPr>
                <w:ilvl w:val="1"/>
                <w:numId w:val="12"/>
              </w:numPr>
              <w:adjustRightInd w:val="0"/>
              <w:snapToGrid w:val="0"/>
              <w:spacing w:beforeLines="0" w:afterLines="0"/>
              <w:ind w:firstLineChars="0"/>
              <w:jc w:val="both"/>
              <w:rPr>
                <w:rFonts w:eastAsia="等线"/>
                <w:bCs w:val="0"/>
                <w:iCs w:val="0"/>
              </w:rPr>
            </w:pPr>
            <w:r>
              <w:rPr>
                <w:lang w:eastAsia="ko-KR"/>
              </w:rPr>
              <w:t xml:space="preserve">Note: Beam footprint size is increased by increasing only the </w:t>
            </w:r>
            <w:r>
              <w:rPr>
                <w:i/>
                <w:lang w:eastAsia="ko-KR"/>
              </w:rPr>
              <w:t>adjacent beam spacing</w:t>
            </w:r>
            <w:r>
              <w:rPr>
                <w:lang w:eastAsia="ko-KR"/>
              </w:rPr>
              <w:t xml:space="preserve"> without increasing the 3dB beamwidth.</w:t>
            </w:r>
          </w:p>
          <w:p w14:paraId="6A23BCF9" w14:textId="77777777" w:rsidR="00575447" w:rsidRDefault="00000000">
            <w:pPr>
              <w:adjustRightInd w:val="0"/>
              <w:snapToGrid w:val="0"/>
            </w:pPr>
            <w:r>
              <w:t>Note: RAN1 will further investigate the impact of SSB periodicity extension</w:t>
            </w:r>
          </w:p>
          <w:p w14:paraId="781594B7" w14:textId="77777777" w:rsidR="00575447" w:rsidRDefault="00000000">
            <w:pPr>
              <w:pStyle w:val="DraftProposal"/>
              <w:adjustRightInd w:val="0"/>
              <w:snapToGrid w:val="0"/>
              <w:spacing w:beforeLines="0" w:afterLines="0"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6EF71EC6" w14:textId="77777777" w:rsidR="00575447" w:rsidRDefault="00000000">
            <w:pPr>
              <w:pStyle w:val="DraftProposal"/>
              <w:adjustRightInd w:val="0"/>
              <w:snapToGrid w:val="0"/>
              <w:spacing w:beforeLines="0" w:afterLines="0"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19647A28" w14:textId="77777777" w:rsidR="00575447" w:rsidRDefault="00575447">
            <w:pPr>
              <w:adjustRightInd w:val="0"/>
              <w:snapToGrid w:val="0"/>
              <w:rPr>
                <w:rFonts w:eastAsiaTheme="minorEastAsia"/>
              </w:rPr>
            </w:pPr>
          </w:p>
        </w:tc>
      </w:tr>
    </w:tbl>
    <w:p w14:paraId="5F0AE66D" w14:textId="77777777" w:rsidR="00575447" w:rsidRDefault="00575447">
      <w:pPr>
        <w:adjustRightInd w:val="0"/>
        <w:snapToGrid w:val="0"/>
      </w:pPr>
    </w:p>
    <w:p w14:paraId="4036CF45" w14:textId="77777777" w:rsidR="00575447" w:rsidRDefault="00000000">
      <w:pPr>
        <w:adjustRightInd w:val="0"/>
        <w:snapToGrid w:val="0"/>
      </w:pPr>
      <w:r>
        <w:t>F</w:t>
      </w:r>
      <w:r>
        <w:rPr>
          <w:rFonts w:hint="eastAsia"/>
        </w:rPr>
        <w:t>rom RAN1</w:t>
      </w:r>
      <w:r>
        <w:t>’</w:t>
      </w:r>
      <w:r>
        <w:rPr>
          <w:rFonts w:hint="eastAsia"/>
        </w:rPr>
        <w:t xml:space="preserve">s observations, </w:t>
      </w:r>
      <w:r>
        <w:t>extending</w:t>
      </w:r>
      <w:r>
        <w:rPr>
          <w:rFonts w:hint="eastAsia"/>
        </w:rPr>
        <w:t xml:space="preserve"> the periodicity of SSBs can </w:t>
      </w:r>
      <w:r>
        <w:t>improve</w:t>
      </w:r>
      <w:r>
        <w:rPr>
          <w:rFonts w:hint="eastAsia"/>
        </w:rPr>
        <w:t xml:space="preserve"> the coverage ratio </w:t>
      </w:r>
      <w:r>
        <w:t>significantly</w:t>
      </w:r>
      <w:r>
        <w:rPr>
          <w:rFonts w:hint="eastAsia"/>
        </w:rPr>
        <w:t xml:space="preserve">. </w:t>
      </w:r>
      <w:r>
        <w:t>B</w:t>
      </w:r>
      <w:r>
        <w:rPr>
          <w:rFonts w:hint="eastAsia"/>
        </w:rPr>
        <w:t>ut during RAN1</w:t>
      </w:r>
      <w:r>
        <w:t>’</w:t>
      </w:r>
      <w:r>
        <w:rPr>
          <w:rFonts w:hint="eastAsia"/>
        </w:rPr>
        <w:t xml:space="preserve">s discussion, it is </w:t>
      </w:r>
      <w:r>
        <w:t>controversial</w:t>
      </w:r>
      <w:r>
        <w:rPr>
          <w:rFonts w:hint="eastAsia"/>
        </w:rPr>
        <w:t xml:space="preserve"> </w:t>
      </w:r>
      <w:r>
        <w:t>that</w:t>
      </w:r>
      <w:r>
        <w:rPr>
          <w:rFonts w:hint="eastAsia"/>
        </w:rPr>
        <w:t xml:space="preserve"> whether the extension of SSB periodicity is </w:t>
      </w:r>
      <w:r>
        <w:t>aligned</w:t>
      </w:r>
      <w:r>
        <w:rPr>
          <w:rFonts w:hint="eastAsia"/>
        </w:rPr>
        <w:t xml:space="preserve"> with the WID. The notes in the WID says that SSB channel enhancements is not considered. </w:t>
      </w:r>
      <w:r>
        <w:t>D</w:t>
      </w:r>
      <w:r>
        <w:rPr>
          <w:rFonts w:hint="eastAsia"/>
        </w:rPr>
        <w:t xml:space="preserve">ifferent companies may have different </w:t>
      </w:r>
      <w:r>
        <w:t>understanding</w:t>
      </w:r>
      <w:r>
        <w:rPr>
          <w:rFonts w:hint="eastAsia"/>
        </w:rPr>
        <w:t xml:space="preserve">s on this note. </w:t>
      </w:r>
      <w:r>
        <w:t>Firstly</w:t>
      </w:r>
      <w:r>
        <w:rPr>
          <w:rFonts w:hint="eastAsia"/>
        </w:rPr>
        <w:t xml:space="preserve">, from our understanding, the SSB channel, such as SSB position in burst, which has significant impact to </w:t>
      </w:r>
      <w:r>
        <w:t>the</w:t>
      </w:r>
      <w:r>
        <w:rPr>
          <w:rFonts w:hint="eastAsia"/>
        </w:rPr>
        <w:t xml:space="preserve"> current specifications, </w:t>
      </w:r>
      <w:proofErr w:type="spellStart"/>
      <w:r>
        <w:rPr>
          <w:rFonts w:hint="eastAsia"/>
        </w:rPr>
        <w:t>gNB</w:t>
      </w:r>
      <w:proofErr w:type="spellEnd"/>
      <w:r>
        <w:rPr>
          <w:rFonts w:hint="eastAsia"/>
        </w:rPr>
        <w:t xml:space="preserve"> and UE</w:t>
      </w:r>
      <w:r>
        <w:t>’</w:t>
      </w:r>
      <w:r>
        <w:rPr>
          <w:rFonts w:hint="eastAsia"/>
        </w:rPr>
        <w:t xml:space="preserve">s implementation should not be pursued in Rel-19. </w:t>
      </w:r>
      <w:r>
        <w:t>B</w:t>
      </w:r>
      <w:r>
        <w:rPr>
          <w:rFonts w:hint="eastAsia"/>
        </w:rPr>
        <w:t xml:space="preserve">ut the </w:t>
      </w:r>
      <w:r>
        <w:t>periodicity</w:t>
      </w:r>
      <w:r>
        <w:rPr>
          <w:rFonts w:hint="eastAsia"/>
        </w:rPr>
        <w:t xml:space="preserve"> of SSBs which has less impact to both </w:t>
      </w:r>
      <w:proofErr w:type="spellStart"/>
      <w:r>
        <w:rPr>
          <w:rFonts w:hint="eastAsia"/>
        </w:rPr>
        <w:t>gNB</w:t>
      </w:r>
      <w:proofErr w:type="spellEnd"/>
      <w:r>
        <w:rPr>
          <w:rFonts w:hint="eastAsia"/>
        </w:rPr>
        <w:t xml:space="preserve"> and UE side can be considered </w:t>
      </w:r>
      <w:r>
        <w:t>within</w:t>
      </w:r>
      <w:r>
        <w:rPr>
          <w:rFonts w:hint="eastAsia"/>
        </w:rPr>
        <w:t xml:space="preserve"> the scope of NTN phase 3. </w:t>
      </w:r>
      <w:r>
        <w:t>C</w:t>
      </w:r>
      <w:r>
        <w:rPr>
          <w:rFonts w:hint="eastAsia"/>
        </w:rPr>
        <w:t xml:space="preserve">onsidering that without any </w:t>
      </w:r>
      <w:r>
        <w:t>extension</w:t>
      </w:r>
      <w:r>
        <w:rPr>
          <w:rFonts w:hint="eastAsia"/>
        </w:rPr>
        <w:t xml:space="preserve"> of SSB periodicity, the coverage ratio of NTN such as 1.5% and even 10% is not acceptable, the extension of SSB periodicity is a </w:t>
      </w:r>
      <w:r>
        <w:t>compromise</w:t>
      </w:r>
      <w:r>
        <w:rPr>
          <w:rFonts w:hint="eastAsia"/>
        </w:rPr>
        <w:t xml:space="preserve">d solution with the lowest impact to the specification. </w:t>
      </w:r>
    </w:p>
    <w:p w14:paraId="11BA6495" w14:textId="77777777" w:rsidR="00575447" w:rsidRDefault="00575447">
      <w:pPr>
        <w:adjustRightInd w:val="0"/>
        <w:snapToGrid w:val="0"/>
      </w:pPr>
    </w:p>
    <w:p w14:paraId="36B16BCA" w14:textId="5B1174BF" w:rsidR="00575447" w:rsidRDefault="00000000">
      <w:pPr>
        <w:adjustRightInd w:val="0"/>
        <w:snapToGrid w:val="0"/>
        <w:rPr>
          <w:b/>
          <w:bCs w:val="0"/>
        </w:rPr>
      </w:pPr>
      <w:bookmarkStart w:id="9" w:name="_Hlk168509995"/>
      <w:r>
        <w:rPr>
          <w:rFonts w:hint="eastAsia"/>
          <w:b/>
          <w:bCs w:val="0"/>
        </w:rPr>
        <w:t xml:space="preserve">Observation </w:t>
      </w:r>
      <w:r w:rsidR="00990B67">
        <w:rPr>
          <w:rFonts w:hint="eastAsia"/>
          <w:b/>
          <w:bCs w:val="0"/>
        </w:rPr>
        <w:t>6</w:t>
      </w:r>
      <w:r>
        <w:rPr>
          <w:rFonts w:hint="eastAsia"/>
          <w:b/>
          <w:bCs w:val="0"/>
        </w:rPr>
        <w:t xml:space="preserve">: SSB channel enhancements, such as </w:t>
      </w:r>
      <w:r>
        <w:rPr>
          <w:b/>
          <w:bCs w:val="0"/>
        </w:rPr>
        <w:t>changing</w:t>
      </w:r>
      <w:r>
        <w:rPr>
          <w:rFonts w:hint="eastAsia"/>
          <w:b/>
          <w:bCs w:val="0"/>
        </w:rPr>
        <w:t xml:space="preserve"> SSB position in burst, should not be pursued in Rel-19 NR-NTN phase 3. </w:t>
      </w:r>
    </w:p>
    <w:p w14:paraId="4F80FF0C" w14:textId="77777777" w:rsidR="00575447" w:rsidRDefault="00575447">
      <w:pPr>
        <w:adjustRightInd w:val="0"/>
        <w:snapToGrid w:val="0"/>
        <w:rPr>
          <w:b/>
          <w:bCs w:val="0"/>
        </w:rPr>
      </w:pPr>
    </w:p>
    <w:p w14:paraId="22C540F5" w14:textId="47B8ACE3" w:rsidR="00575447" w:rsidRDefault="00000000">
      <w:pPr>
        <w:adjustRightInd w:val="0"/>
        <w:snapToGrid w:val="0"/>
        <w:rPr>
          <w:b/>
          <w:bCs w:val="0"/>
        </w:rPr>
      </w:pPr>
      <w:r>
        <w:rPr>
          <w:rFonts w:hint="eastAsia"/>
          <w:b/>
          <w:bCs w:val="0"/>
        </w:rPr>
        <w:lastRenderedPageBreak/>
        <w:t xml:space="preserve">Observation </w:t>
      </w:r>
      <w:r w:rsidR="00990B67">
        <w:rPr>
          <w:rFonts w:hint="eastAsia"/>
          <w:b/>
          <w:bCs w:val="0"/>
        </w:rPr>
        <w:t>7</w:t>
      </w:r>
      <w:r>
        <w:rPr>
          <w:rFonts w:hint="eastAsia"/>
          <w:b/>
          <w:bCs w:val="0"/>
        </w:rPr>
        <w:t xml:space="preserve">: </w:t>
      </w:r>
      <w:r>
        <w:rPr>
          <w:b/>
          <w:bCs w:val="0"/>
        </w:rPr>
        <w:t>C</w:t>
      </w:r>
      <w:r>
        <w:rPr>
          <w:rFonts w:hint="eastAsia"/>
          <w:b/>
          <w:bCs w:val="0"/>
        </w:rPr>
        <w:t xml:space="preserve">onsidering </w:t>
      </w:r>
      <w:r>
        <w:rPr>
          <w:b/>
          <w:bCs w:val="0"/>
        </w:rPr>
        <w:t>that</w:t>
      </w:r>
      <w:r>
        <w:rPr>
          <w:rFonts w:hint="eastAsia"/>
          <w:b/>
          <w:bCs w:val="0"/>
        </w:rPr>
        <w:t xml:space="preserve"> the low coverage ratio as 1.5% and 10% is not </w:t>
      </w:r>
      <w:r>
        <w:rPr>
          <w:b/>
          <w:bCs w:val="0"/>
        </w:rPr>
        <w:t>acceptable</w:t>
      </w:r>
      <w:r>
        <w:rPr>
          <w:rFonts w:hint="eastAsia"/>
          <w:b/>
          <w:bCs w:val="0"/>
        </w:rPr>
        <w:t>, the extension of SSB periodicity is a compromised solution with limited specification impact.</w:t>
      </w:r>
    </w:p>
    <w:bookmarkEnd w:id="9"/>
    <w:p w14:paraId="0459C96E" w14:textId="77777777" w:rsidR="00575447" w:rsidRDefault="00575447">
      <w:pPr>
        <w:adjustRightInd w:val="0"/>
        <w:snapToGrid w:val="0"/>
      </w:pPr>
    </w:p>
    <w:p w14:paraId="03912CF3" w14:textId="77777777" w:rsidR="00575447" w:rsidRDefault="00000000">
      <w:pPr>
        <w:adjustRightInd w:val="0"/>
        <w:snapToGrid w:val="0"/>
      </w:pPr>
      <w:r>
        <w:t>S</w:t>
      </w:r>
      <w:r>
        <w:rPr>
          <w:rFonts w:hint="eastAsia"/>
        </w:rPr>
        <w:t xml:space="preserve">econdly, when going into the details for the justification part of the WID, there are detailed descriptions for the DL coverage enhancements as shown in the table below. </w:t>
      </w:r>
      <w:r>
        <w:t>I</w:t>
      </w:r>
      <w:r>
        <w:rPr>
          <w:rFonts w:hint="eastAsia"/>
        </w:rPr>
        <w:t xml:space="preserve">n the first bullet, it is the original intension to prevent any impact to the SSB </w:t>
      </w:r>
      <w:r>
        <w:t>design</w:t>
      </w:r>
      <w:r>
        <w:rPr>
          <w:rFonts w:hint="eastAsia"/>
        </w:rPr>
        <w:t xml:space="preserve"> from the perspective of link level enhancements. </w:t>
      </w:r>
      <w:r>
        <w:t>B</w:t>
      </w:r>
      <w:r>
        <w:rPr>
          <w:rFonts w:hint="eastAsia"/>
        </w:rPr>
        <w:t xml:space="preserve">ut for the system level </w:t>
      </w:r>
      <w:r>
        <w:t>enhancements</w:t>
      </w:r>
      <w:r>
        <w:rPr>
          <w:rFonts w:hint="eastAsia"/>
        </w:rPr>
        <w:t xml:space="preserve">, there is no explicit </w:t>
      </w:r>
      <w:r>
        <w:t>exclusion</w:t>
      </w:r>
      <w:r>
        <w:rPr>
          <w:rFonts w:hint="eastAsia"/>
        </w:rPr>
        <w:t xml:space="preserve"> of the SSB enhancements </w:t>
      </w:r>
      <w:r>
        <w:t>including</w:t>
      </w:r>
      <w:r>
        <w:rPr>
          <w:rFonts w:hint="eastAsia"/>
        </w:rPr>
        <w:t xml:space="preserve"> the extension of the SSB periodicity. </w:t>
      </w:r>
    </w:p>
    <w:p w14:paraId="73760B4A" w14:textId="77777777" w:rsidR="00575447" w:rsidRDefault="00575447">
      <w:pPr>
        <w:adjustRightInd w:val="0"/>
        <w:snapToGrid w:val="0"/>
      </w:pPr>
    </w:p>
    <w:tbl>
      <w:tblPr>
        <w:tblStyle w:val="aff1"/>
        <w:tblW w:w="0" w:type="auto"/>
        <w:tblLook w:val="04A0" w:firstRow="1" w:lastRow="0" w:firstColumn="1" w:lastColumn="0" w:noHBand="0" w:noVBand="1"/>
      </w:tblPr>
      <w:tblGrid>
        <w:gridCol w:w="9962"/>
      </w:tblGrid>
      <w:tr w:rsidR="00575447" w14:paraId="508955A7" w14:textId="77777777">
        <w:tc>
          <w:tcPr>
            <w:tcW w:w="9962" w:type="dxa"/>
          </w:tcPr>
          <w:p w14:paraId="129C0BC0" w14:textId="77777777" w:rsidR="00575447" w:rsidRDefault="00575447">
            <w:pPr>
              <w:adjustRightInd w:val="0"/>
              <w:snapToGrid w:val="0"/>
              <w:rPr>
                <w:rFonts w:eastAsiaTheme="minorEastAsia"/>
              </w:rPr>
            </w:pPr>
          </w:p>
          <w:p w14:paraId="077B6D97" w14:textId="77777777" w:rsidR="00575447" w:rsidRDefault="00000000">
            <w:pPr>
              <w:ind w:firstLine="360"/>
            </w:pPr>
            <w:r>
              <w:t>DL coverage enhancements can be considered at both</w:t>
            </w:r>
          </w:p>
          <w:p w14:paraId="2527ED1C" w14:textId="77777777" w:rsidR="00575447" w:rsidRDefault="00000000">
            <w:pPr>
              <w:widowControl/>
              <w:numPr>
                <w:ilvl w:val="0"/>
                <w:numId w:val="13"/>
              </w:numPr>
              <w:overflowPunct w:val="0"/>
              <w:autoSpaceDE w:val="0"/>
              <w:autoSpaceDN w:val="0"/>
              <w:adjustRightInd w:val="0"/>
              <w:jc w:val="left"/>
              <w:textAlignment w:val="baseline"/>
              <w:rPr>
                <w:bCs w:val="0"/>
              </w:rPr>
            </w:pPr>
            <w:r>
              <w:rPr>
                <w:bCs w:val="0"/>
              </w:rPr>
              <w:t>Link level to improve the link margin of selected physical channels in order to accommodate the EIRP reduction</w:t>
            </w:r>
            <w:r>
              <w:t xml:space="preserve"> in FR1-NTN</w:t>
            </w:r>
            <w:r>
              <w:rPr>
                <w:bCs w:val="0"/>
              </w:rPr>
              <w:t xml:space="preserve">. A link margin improvement for physical channels (e.g. PDSCH and PDCCH) may be considered without impact on SSB design. </w:t>
            </w:r>
          </w:p>
          <w:p w14:paraId="07C007F1" w14:textId="77777777" w:rsidR="00575447" w:rsidRDefault="00000000">
            <w:pPr>
              <w:widowControl/>
              <w:numPr>
                <w:ilvl w:val="0"/>
                <w:numId w:val="13"/>
              </w:numPr>
              <w:overflowPunct w:val="0"/>
              <w:autoSpaceDE w:val="0"/>
              <w:autoSpaceDN w:val="0"/>
              <w:adjustRightInd w:val="0"/>
              <w:jc w:val="left"/>
              <w:textAlignment w:val="baseline"/>
              <w:rPr>
                <w:bCs w:val="0"/>
              </w:rPr>
            </w:pPr>
            <w:r>
              <w:rPr>
                <w:bCs w:val="0"/>
              </w:rPr>
              <w:t>System level to support an efficient dynamic and flexible power sharing between beams or different beam pattern/size (i.e., wide or narrow) across the satellite foot print</w:t>
            </w:r>
            <w:r>
              <w:t xml:space="preserve"> for FR1-NTN and FR2-NTN</w:t>
            </w:r>
            <w:r>
              <w:rPr>
                <w:bCs w:val="0"/>
              </w:rPr>
              <w:t>.</w:t>
            </w:r>
          </w:p>
          <w:p w14:paraId="6CFD67F0" w14:textId="77777777" w:rsidR="00575447" w:rsidRDefault="00575447">
            <w:pPr>
              <w:adjustRightInd w:val="0"/>
              <w:snapToGrid w:val="0"/>
              <w:rPr>
                <w:rFonts w:eastAsiaTheme="minorEastAsia"/>
              </w:rPr>
            </w:pPr>
          </w:p>
        </w:tc>
      </w:tr>
    </w:tbl>
    <w:p w14:paraId="3FA7BE10" w14:textId="77777777" w:rsidR="00575447" w:rsidRDefault="00575447">
      <w:pPr>
        <w:adjustRightInd w:val="0"/>
        <w:snapToGrid w:val="0"/>
      </w:pPr>
    </w:p>
    <w:p w14:paraId="21332FD9" w14:textId="12DED52C" w:rsidR="00575447" w:rsidRDefault="00000000">
      <w:pPr>
        <w:adjustRightInd w:val="0"/>
        <w:snapToGrid w:val="0"/>
        <w:rPr>
          <w:b/>
          <w:bCs w:val="0"/>
        </w:rPr>
      </w:pPr>
      <w:bookmarkStart w:id="10" w:name="_Hlk168510002"/>
      <w:r>
        <w:rPr>
          <w:rFonts w:hint="eastAsia"/>
          <w:b/>
          <w:bCs w:val="0"/>
        </w:rPr>
        <w:t xml:space="preserve">Observation </w:t>
      </w:r>
      <w:r w:rsidR="00990B67">
        <w:rPr>
          <w:rFonts w:hint="eastAsia"/>
          <w:b/>
          <w:bCs w:val="0"/>
        </w:rPr>
        <w:t>8</w:t>
      </w:r>
      <w:r>
        <w:rPr>
          <w:rFonts w:hint="eastAsia"/>
          <w:b/>
          <w:bCs w:val="0"/>
        </w:rPr>
        <w:t xml:space="preserve">: </w:t>
      </w:r>
      <w:r>
        <w:rPr>
          <w:b/>
          <w:bCs w:val="0"/>
        </w:rPr>
        <w:t>T</w:t>
      </w:r>
      <w:r>
        <w:rPr>
          <w:rFonts w:hint="eastAsia"/>
          <w:b/>
          <w:bCs w:val="0"/>
        </w:rPr>
        <w:t xml:space="preserve">here is no explicit </w:t>
      </w:r>
      <w:r>
        <w:rPr>
          <w:b/>
          <w:bCs w:val="0"/>
        </w:rPr>
        <w:t>exclusion</w:t>
      </w:r>
      <w:r>
        <w:rPr>
          <w:rFonts w:hint="eastAsia"/>
          <w:b/>
          <w:bCs w:val="0"/>
        </w:rPr>
        <w:t xml:space="preserve"> for the SSB enhancements including the extension of the SSB periodicity in the detailed description in the </w:t>
      </w:r>
      <w:r>
        <w:rPr>
          <w:b/>
          <w:bCs w:val="0"/>
        </w:rPr>
        <w:t>justification</w:t>
      </w:r>
      <w:r>
        <w:rPr>
          <w:rFonts w:hint="eastAsia"/>
          <w:b/>
          <w:bCs w:val="0"/>
        </w:rPr>
        <w:t xml:space="preserve"> part. </w:t>
      </w:r>
    </w:p>
    <w:bookmarkEnd w:id="10"/>
    <w:p w14:paraId="43BF6EF9" w14:textId="77777777" w:rsidR="00575447" w:rsidRDefault="00575447">
      <w:pPr>
        <w:adjustRightInd w:val="0"/>
        <w:snapToGrid w:val="0"/>
      </w:pPr>
    </w:p>
    <w:p w14:paraId="221129D0" w14:textId="77777777" w:rsidR="00575447" w:rsidRDefault="00000000">
      <w:pPr>
        <w:adjustRightInd w:val="0"/>
        <w:snapToGrid w:val="0"/>
      </w:pPr>
      <w:r>
        <w:t>W</w:t>
      </w:r>
      <w:r>
        <w:rPr>
          <w:rFonts w:hint="eastAsia"/>
        </w:rPr>
        <w:t xml:space="preserve">ith the understanding of both the necessity of coverage ratio enhancements of NTN and the detailed descriptions on the system level </w:t>
      </w:r>
      <w:r>
        <w:t>enhancements</w:t>
      </w:r>
      <w:r>
        <w:rPr>
          <w:rFonts w:hint="eastAsia"/>
        </w:rPr>
        <w:t xml:space="preserve">, the extension of the SSB </w:t>
      </w:r>
      <w:r>
        <w:t>periodicity</w:t>
      </w:r>
      <w:r>
        <w:rPr>
          <w:rFonts w:hint="eastAsia"/>
        </w:rPr>
        <w:t xml:space="preserve"> is within the scope. </w:t>
      </w:r>
    </w:p>
    <w:p w14:paraId="077DE4DC" w14:textId="77777777" w:rsidR="00575447" w:rsidRDefault="00575447">
      <w:pPr>
        <w:adjustRightInd w:val="0"/>
        <w:snapToGrid w:val="0"/>
      </w:pPr>
    </w:p>
    <w:p w14:paraId="03C18CAA" w14:textId="77777777" w:rsidR="00575447" w:rsidRDefault="00000000">
      <w:pPr>
        <w:adjustRightInd w:val="0"/>
        <w:snapToGrid w:val="0"/>
        <w:rPr>
          <w:b/>
          <w:bCs w:val="0"/>
        </w:rPr>
      </w:pPr>
      <w:bookmarkStart w:id="11" w:name="_Hlk168510008"/>
      <w:r>
        <w:rPr>
          <w:b/>
          <w:bCs w:val="0"/>
        </w:rPr>
        <w:t>P</w:t>
      </w:r>
      <w:r>
        <w:rPr>
          <w:rFonts w:hint="eastAsia"/>
          <w:b/>
          <w:bCs w:val="0"/>
        </w:rPr>
        <w:t xml:space="preserve">roposal 3: </w:t>
      </w:r>
      <w:r>
        <w:rPr>
          <w:b/>
          <w:bCs w:val="0"/>
        </w:rPr>
        <w:t>W</w:t>
      </w:r>
      <w:r>
        <w:rPr>
          <w:rFonts w:hint="eastAsia"/>
          <w:b/>
          <w:bCs w:val="0"/>
        </w:rPr>
        <w:t xml:space="preserve">ith the understanding of both the necessity of coverage ratio enhancements of NTN and the detailed description on the system level </w:t>
      </w:r>
      <w:r>
        <w:rPr>
          <w:b/>
          <w:bCs w:val="0"/>
        </w:rPr>
        <w:t>enhancements</w:t>
      </w:r>
      <w:r>
        <w:rPr>
          <w:rFonts w:hint="eastAsia"/>
          <w:b/>
          <w:bCs w:val="0"/>
        </w:rPr>
        <w:t xml:space="preserve">, the extension of the SSB </w:t>
      </w:r>
      <w:r>
        <w:rPr>
          <w:b/>
          <w:bCs w:val="0"/>
        </w:rPr>
        <w:t>periodicity</w:t>
      </w:r>
      <w:r>
        <w:rPr>
          <w:rFonts w:hint="eastAsia"/>
          <w:b/>
          <w:bCs w:val="0"/>
        </w:rPr>
        <w:t xml:space="preserve"> is within the scope. </w:t>
      </w:r>
    </w:p>
    <w:bookmarkEnd w:id="11"/>
    <w:p w14:paraId="333E06D6" w14:textId="77777777" w:rsidR="00575447" w:rsidRDefault="00575447">
      <w:pPr>
        <w:adjustRightInd w:val="0"/>
        <w:snapToGrid w:val="0"/>
      </w:pPr>
    </w:p>
    <w:p w14:paraId="6D99189B" w14:textId="77777777" w:rsidR="00575447" w:rsidRDefault="00000000">
      <w:pPr>
        <w:adjustRightInd w:val="0"/>
        <w:snapToGrid w:val="0"/>
      </w:pPr>
      <w:r>
        <w:t>A</w:t>
      </w:r>
      <w:r>
        <w:rPr>
          <w:rFonts w:hint="eastAsia"/>
        </w:rPr>
        <w:t xml:space="preserve">ccordingly, the description of the notes in the WID is updated as </w:t>
      </w:r>
      <w:proofErr w:type="gramStart"/>
      <w:r>
        <w:t>below</w:t>
      </w:r>
      <w:r>
        <w:rPr>
          <w:rFonts w:hint="eastAsia"/>
        </w:rPr>
        <w:t xml:space="preserve"> ,</w:t>
      </w:r>
      <w:proofErr w:type="gramEnd"/>
    </w:p>
    <w:tbl>
      <w:tblPr>
        <w:tblStyle w:val="aff1"/>
        <w:tblW w:w="0" w:type="auto"/>
        <w:tblLook w:val="04A0" w:firstRow="1" w:lastRow="0" w:firstColumn="1" w:lastColumn="0" w:noHBand="0" w:noVBand="1"/>
      </w:tblPr>
      <w:tblGrid>
        <w:gridCol w:w="9962"/>
      </w:tblGrid>
      <w:tr w:rsidR="00575447" w14:paraId="3A56DB93" w14:textId="77777777">
        <w:tc>
          <w:tcPr>
            <w:tcW w:w="9962" w:type="dxa"/>
          </w:tcPr>
          <w:p w14:paraId="2551DC7C" w14:textId="77777777" w:rsidR="00575447" w:rsidRDefault="00575447">
            <w:pPr>
              <w:adjustRightInd w:val="0"/>
              <w:snapToGrid w:val="0"/>
              <w:rPr>
                <w:rFonts w:eastAsiaTheme="minorEastAsia"/>
              </w:rPr>
            </w:pPr>
          </w:p>
          <w:p w14:paraId="5084435C" w14:textId="77777777" w:rsidR="00575447" w:rsidRDefault="00000000">
            <w:pPr>
              <w:adjustRightInd w:val="0"/>
              <w:snapToGrid w:val="0"/>
              <w:rPr>
                <w:rFonts w:eastAsiaTheme="minorEastAsia"/>
              </w:rPr>
            </w:pPr>
            <w:r>
              <w:rPr>
                <w:rFonts w:eastAsiaTheme="minorEastAsia" w:hint="eastAsia"/>
              </w:rPr>
              <w:t xml:space="preserve">------other parts are </w:t>
            </w:r>
            <w:r>
              <w:rPr>
                <w:rFonts w:eastAsiaTheme="minorEastAsia"/>
              </w:rPr>
              <w:t>omitted</w:t>
            </w:r>
            <w:r>
              <w:rPr>
                <w:rFonts w:eastAsiaTheme="minorEastAsia" w:hint="eastAsia"/>
              </w:rPr>
              <w:t>----------------</w:t>
            </w:r>
          </w:p>
          <w:p w14:paraId="7D18F0BE" w14:textId="77777777" w:rsidR="00575447" w:rsidRDefault="00000000">
            <w:pPr>
              <w:pStyle w:val="aff9"/>
              <w:widowControl w:val="0"/>
              <w:numPr>
                <w:ilvl w:val="0"/>
                <w:numId w:val="11"/>
              </w:numPr>
              <w:adjustRightInd w:val="0"/>
              <w:snapToGrid w:val="0"/>
              <w:spacing w:beforeLines="0" w:afterLines="0"/>
              <w:ind w:firstLineChars="0"/>
              <w:contextualSpacing/>
              <w:jc w:val="both"/>
            </w:pPr>
            <w:r>
              <w:t>Notes for this objective:</w:t>
            </w:r>
          </w:p>
          <w:p w14:paraId="40D89E70" w14:textId="77777777" w:rsidR="00575447" w:rsidRDefault="00000000">
            <w:pPr>
              <w:pStyle w:val="aff9"/>
              <w:widowControl w:val="0"/>
              <w:numPr>
                <w:ilvl w:val="1"/>
                <w:numId w:val="11"/>
              </w:numPr>
              <w:adjustRightInd w:val="0"/>
              <w:snapToGrid w:val="0"/>
              <w:spacing w:beforeLines="0" w:afterLines="0"/>
              <w:ind w:firstLineChars="0"/>
              <w:contextualSpacing/>
              <w:jc w:val="both"/>
            </w:pPr>
            <w:r>
              <w:t>SSB channel enhancement is not considered</w:t>
            </w:r>
            <w:r>
              <w:rPr>
                <w:rFonts w:eastAsiaTheme="minorEastAsia" w:hint="eastAsia"/>
                <w:color w:val="FF0000"/>
              </w:rPr>
              <w:t xml:space="preserve">, except for the </w:t>
            </w:r>
            <w:r>
              <w:rPr>
                <w:rFonts w:eastAsiaTheme="minorEastAsia"/>
                <w:color w:val="FF0000"/>
              </w:rPr>
              <w:t>extension</w:t>
            </w:r>
            <w:r>
              <w:rPr>
                <w:rFonts w:eastAsiaTheme="minorEastAsia" w:hint="eastAsia"/>
                <w:color w:val="FF0000"/>
              </w:rPr>
              <w:t xml:space="preserve"> of SSB periodicity.</w:t>
            </w:r>
          </w:p>
          <w:p w14:paraId="5142FA70" w14:textId="77777777" w:rsidR="00575447" w:rsidRDefault="00000000">
            <w:pPr>
              <w:pStyle w:val="aff9"/>
              <w:widowControl w:val="0"/>
              <w:numPr>
                <w:ilvl w:val="1"/>
                <w:numId w:val="11"/>
              </w:numPr>
              <w:adjustRightInd w:val="0"/>
              <w:snapToGrid w:val="0"/>
              <w:spacing w:beforeLines="0" w:afterLines="0"/>
              <w:ind w:firstLineChars="0"/>
              <w:contextualSpacing/>
              <w:jc w:val="both"/>
              <w:rPr>
                <w:rFonts w:eastAsiaTheme="minorEastAsia"/>
              </w:rPr>
            </w:pPr>
            <w:r>
              <w:t>Antenna gain of UE shall be assumed to be -5.5dBi in case of smartphone in FR1-NTN, the UE is</w:t>
            </w:r>
          </w:p>
          <w:p w14:paraId="118E8D08" w14:textId="77777777" w:rsidR="00575447" w:rsidRDefault="00575447">
            <w:pPr>
              <w:adjustRightInd w:val="0"/>
              <w:snapToGrid w:val="0"/>
              <w:rPr>
                <w:rFonts w:eastAsiaTheme="minorEastAsia"/>
              </w:rPr>
            </w:pPr>
          </w:p>
          <w:p w14:paraId="24C5266D" w14:textId="77777777" w:rsidR="00575447" w:rsidRDefault="00000000">
            <w:pPr>
              <w:adjustRightInd w:val="0"/>
              <w:snapToGrid w:val="0"/>
              <w:rPr>
                <w:rFonts w:eastAsiaTheme="minorEastAsia"/>
              </w:rPr>
            </w:pPr>
            <w:r>
              <w:rPr>
                <w:rFonts w:eastAsiaTheme="minorEastAsia" w:hint="eastAsia"/>
              </w:rPr>
              <w:t xml:space="preserve">------other parts are </w:t>
            </w:r>
            <w:r>
              <w:rPr>
                <w:rFonts w:eastAsiaTheme="minorEastAsia"/>
              </w:rPr>
              <w:t>omitted</w:t>
            </w:r>
            <w:r>
              <w:rPr>
                <w:rFonts w:eastAsiaTheme="minorEastAsia" w:hint="eastAsia"/>
              </w:rPr>
              <w:t>----------------</w:t>
            </w:r>
          </w:p>
          <w:p w14:paraId="3A5FF81E" w14:textId="77777777" w:rsidR="00575447" w:rsidRDefault="00575447">
            <w:pPr>
              <w:adjustRightInd w:val="0"/>
              <w:snapToGrid w:val="0"/>
              <w:rPr>
                <w:rFonts w:eastAsiaTheme="minorEastAsia"/>
              </w:rPr>
            </w:pPr>
          </w:p>
          <w:p w14:paraId="0EBE6C8B" w14:textId="77777777" w:rsidR="00575447" w:rsidRDefault="00575447">
            <w:pPr>
              <w:adjustRightInd w:val="0"/>
              <w:snapToGrid w:val="0"/>
              <w:rPr>
                <w:rFonts w:eastAsiaTheme="minorEastAsia"/>
              </w:rPr>
            </w:pPr>
          </w:p>
        </w:tc>
      </w:tr>
    </w:tbl>
    <w:p w14:paraId="31327064" w14:textId="77777777" w:rsidR="00575447" w:rsidRDefault="00575447">
      <w:pPr>
        <w:adjustRightInd w:val="0"/>
        <w:snapToGrid w:val="0"/>
      </w:pPr>
    </w:p>
    <w:p w14:paraId="770E8BEF" w14:textId="77777777" w:rsidR="00575447" w:rsidRDefault="00000000">
      <w:pPr>
        <w:adjustRightInd w:val="0"/>
        <w:snapToGrid w:val="0"/>
        <w:rPr>
          <w:b/>
          <w:bCs w:val="0"/>
        </w:rPr>
      </w:pPr>
      <w:r>
        <w:rPr>
          <w:b/>
          <w:bCs w:val="0"/>
        </w:rPr>
        <w:t>P</w:t>
      </w:r>
      <w:r>
        <w:rPr>
          <w:rFonts w:hint="eastAsia"/>
          <w:b/>
          <w:bCs w:val="0"/>
        </w:rPr>
        <w:t>roposal 4:</w:t>
      </w:r>
    </w:p>
    <w:p w14:paraId="041B4757" w14:textId="77777777" w:rsidR="00575447" w:rsidRDefault="00000000">
      <w:pPr>
        <w:adjustRightInd w:val="0"/>
        <w:snapToGrid w:val="0"/>
        <w:rPr>
          <w:b/>
          <w:bCs w:val="0"/>
        </w:rPr>
      </w:pPr>
      <w:r>
        <w:rPr>
          <w:b/>
          <w:bCs w:val="0"/>
        </w:rPr>
        <w:t>U</w:t>
      </w:r>
      <w:r>
        <w:rPr>
          <w:rFonts w:hint="eastAsia"/>
          <w:b/>
          <w:bCs w:val="0"/>
        </w:rPr>
        <w:t>pdate the notes related to the SSBs in the WID as following,</w:t>
      </w:r>
    </w:p>
    <w:tbl>
      <w:tblPr>
        <w:tblStyle w:val="aff1"/>
        <w:tblW w:w="0" w:type="auto"/>
        <w:tblLook w:val="04A0" w:firstRow="1" w:lastRow="0" w:firstColumn="1" w:lastColumn="0" w:noHBand="0" w:noVBand="1"/>
      </w:tblPr>
      <w:tblGrid>
        <w:gridCol w:w="9962"/>
      </w:tblGrid>
      <w:tr w:rsidR="00575447" w14:paraId="444CAE9D" w14:textId="77777777">
        <w:tc>
          <w:tcPr>
            <w:tcW w:w="9962" w:type="dxa"/>
          </w:tcPr>
          <w:p w14:paraId="258C7D4B" w14:textId="77777777" w:rsidR="00575447" w:rsidRDefault="00575447">
            <w:pPr>
              <w:adjustRightInd w:val="0"/>
              <w:snapToGrid w:val="0"/>
              <w:rPr>
                <w:rFonts w:eastAsiaTheme="minorEastAsia"/>
              </w:rPr>
            </w:pPr>
          </w:p>
          <w:p w14:paraId="19AF71ED" w14:textId="77777777" w:rsidR="00575447" w:rsidRDefault="00000000">
            <w:pPr>
              <w:adjustRightInd w:val="0"/>
              <w:snapToGrid w:val="0"/>
              <w:rPr>
                <w:rFonts w:eastAsiaTheme="minorEastAsia"/>
              </w:rPr>
            </w:pPr>
            <w:r>
              <w:rPr>
                <w:rFonts w:eastAsiaTheme="minorEastAsia" w:hint="eastAsia"/>
              </w:rPr>
              <w:t xml:space="preserve">------other parts are </w:t>
            </w:r>
            <w:r>
              <w:rPr>
                <w:rFonts w:eastAsiaTheme="minorEastAsia"/>
              </w:rPr>
              <w:t>omitted</w:t>
            </w:r>
            <w:r>
              <w:rPr>
                <w:rFonts w:eastAsiaTheme="minorEastAsia" w:hint="eastAsia"/>
              </w:rPr>
              <w:t>----------------</w:t>
            </w:r>
          </w:p>
          <w:p w14:paraId="7AB2561A" w14:textId="77777777" w:rsidR="00575447" w:rsidRDefault="00000000">
            <w:pPr>
              <w:pStyle w:val="aff9"/>
              <w:widowControl w:val="0"/>
              <w:numPr>
                <w:ilvl w:val="0"/>
                <w:numId w:val="11"/>
              </w:numPr>
              <w:adjustRightInd w:val="0"/>
              <w:snapToGrid w:val="0"/>
              <w:spacing w:beforeLines="0" w:afterLines="0"/>
              <w:ind w:firstLineChars="0"/>
              <w:contextualSpacing/>
              <w:jc w:val="both"/>
            </w:pPr>
            <w:r>
              <w:t>Notes for this objective:</w:t>
            </w:r>
          </w:p>
          <w:p w14:paraId="269E2ED0" w14:textId="77777777" w:rsidR="00575447" w:rsidRDefault="00000000">
            <w:pPr>
              <w:pStyle w:val="aff9"/>
              <w:widowControl w:val="0"/>
              <w:numPr>
                <w:ilvl w:val="1"/>
                <w:numId w:val="11"/>
              </w:numPr>
              <w:adjustRightInd w:val="0"/>
              <w:snapToGrid w:val="0"/>
              <w:spacing w:beforeLines="0" w:afterLines="0"/>
              <w:ind w:firstLineChars="0"/>
              <w:contextualSpacing/>
              <w:jc w:val="both"/>
            </w:pPr>
            <w:r>
              <w:t>SSB channel enhancement is not considered</w:t>
            </w:r>
            <w:r>
              <w:rPr>
                <w:rFonts w:eastAsiaTheme="minorEastAsia" w:hint="eastAsia"/>
                <w:color w:val="FF0000"/>
              </w:rPr>
              <w:t xml:space="preserve">, except for the </w:t>
            </w:r>
            <w:r>
              <w:rPr>
                <w:rFonts w:eastAsiaTheme="minorEastAsia"/>
                <w:color w:val="FF0000"/>
              </w:rPr>
              <w:t>extension</w:t>
            </w:r>
            <w:r>
              <w:rPr>
                <w:rFonts w:eastAsiaTheme="minorEastAsia" w:hint="eastAsia"/>
                <w:color w:val="FF0000"/>
              </w:rPr>
              <w:t xml:space="preserve"> of SSB periodicity.</w:t>
            </w:r>
          </w:p>
          <w:p w14:paraId="1D76B5B6" w14:textId="77777777" w:rsidR="00575447" w:rsidRDefault="00000000">
            <w:pPr>
              <w:pStyle w:val="aff9"/>
              <w:widowControl w:val="0"/>
              <w:numPr>
                <w:ilvl w:val="1"/>
                <w:numId w:val="11"/>
              </w:numPr>
              <w:adjustRightInd w:val="0"/>
              <w:snapToGrid w:val="0"/>
              <w:spacing w:beforeLines="0" w:afterLines="0"/>
              <w:ind w:firstLineChars="0"/>
              <w:contextualSpacing/>
              <w:jc w:val="both"/>
              <w:rPr>
                <w:rFonts w:eastAsiaTheme="minorEastAsia"/>
              </w:rPr>
            </w:pPr>
            <w:r>
              <w:t>Antenna gain of UE shall be assumed to be -5.5dBi in case of smartphone in FR1-NTN, the UE is</w:t>
            </w:r>
          </w:p>
          <w:p w14:paraId="6E25B9EB" w14:textId="77777777" w:rsidR="00575447" w:rsidRDefault="00575447">
            <w:pPr>
              <w:adjustRightInd w:val="0"/>
              <w:snapToGrid w:val="0"/>
              <w:rPr>
                <w:rFonts w:eastAsiaTheme="minorEastAsia"/>
              </w:rPr>
            </w:pPr>
          </w:p>
          <w:p w14:paraId="385A4C0E" w14:textId="77777777" w:rsidR="00575447" w:rsidRDefault="00000000">
            <w:pPr>
              <w:adjustRightInd w:val="0"/>
              <w:snapToGrid w:val="0"/>
              <w:rPr>
                <w:rFonts w:eastAsiaTheme="minorEastAsia"/>
              </w:rPr>
            </w:pPr>
            <w:r>
              <w:rPr>
                <w:rFonts w:eastAsiaTheme="minorEastAsia" w:hint="eastAsia"/>
              </w:rPr>
              <w:t xml:space="preserve">------other parts are </w:t>
            </w:r>
            <w:r>
              <w:rPr>
                <w:rFonts w:eastAsiaTheme="minorEastAsia"/>
              </w:rPr>
              <w:t>omitted</w:t>
            </w:r>
            <w:r>
              <w:rPr>
                <w:rFonts w:eastAsiaTheme="minorEastAsia" w:hint="eastAsia"/>
              </w:rPr>
              <w:t>----------------</w:t>
            </w:r>
          </w:p>
          <w:p w14:paraId="7B248D46" w14:textId="77777777" w:rsidR="00575447" w:rsidRDefault="00575447">
            <w:pPr>
              <w:adjustRightInd w:val="0"/>
              <w:snapToGrid w:val="0"/>
              <w:rPr>
                <w:rFonts w:eastAsiaTheme="minorEastAsia"/>
              </w:rPr>
            </w:pPr>
          </w:p>
        </w:tc>
      </w:tr>
    </w:tbl>
    <w:p w14:paraId="4CD3A45C" w14:textId="77777777" w:rsidR="00575447" w:rsidRDefault="00575447">
      <w:pPr>
        <w:adjustRightInd w:val="0"/>
        <w:snapToGrid w:val="0"/>
      </w:pPr>
    </w:p>
    <w:bookmarkEnd w:id="5"/>
    <w:p w14:paraId="6E5549C4" w14:textId="77777777" w:rsidR="00575447"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58FBD711" w14:textId="77777777" w:rsidR="00575447" w:rsidRDefault="00000000">
      <w:pPr>
        <w:adjustRightInd w:val="0"/>
        <w:snapToGrid w:val="0"/>
      </w:pPr>
      <w:r>
        <w:t>I</w:t>
      </w:r>
      <w:r>
        <w:rPr>
          <w:rFonts w:hint="eastAsia"/>
        </w:rPr>
        <w:t xml:space="preserve">n this </w:t>
      </w:r>
      <w:r>
        <w:t>contribution</w:t>
      </w:r>
      <w:r>
        <w:rPr>
          <w:rFonts w:hint="eastAsia"/>
        </w:rPr>
        <w:t xml:space="preserve">, we provide our views on the progress in RAN1 study and further clarifications on the scope of WID. </w:t>
      </w:r>
      <w:r>
        <w:t>T</w:t>
      </w:r>
      <w:r>
        <w:rPr>
          <w:rFonts w:hint="eastAsia"/>
        </w:rPr>
        <w:t xml:space="preserve">he observations and proposals are listed as </w:t>
      </w:r>
      <w:r>
        <w:t>below</w:t>
      </w:r>
      <w:r>
        <w:rPr>
          <w:rFonts w:hint="eastAsia"/>
        </w:rPr>
        <w:t>.</w:t>
      </w:r>
    </w:p>
    <w:p w14:paraId="5076928C" w14:textId="77777777" w:rsidR="00575447" w:rsidRDefault="00575447">
      <w:pPr>
        <w:adjustRightInd w:val="0"/>
        <w:snapToGrid w:val="0"/>
      </w:pPr>
    </w:p>
    <w:p w14:paraId="6FE0E9DC" w14:textId="77777777" w:rsidR="00575447" w:rsidRDefault="00000000">
      <w:pPr>
        <w:adjustRightInd w:val="0"/>
        <w:snapToGrid w:val="0"/>
        <w:rPr>
          <w:b/>
          <w:bCs w:val="0"/>
        </w:rPr>
      </w:pPr>
      <w:r>
        <w:rPr>
          <w:rFonts w:hint="eastAsia"/>
          <w:b/>
          <w:bCs w:val="0"/>
        </w:rPr>
        <w:t xml:space="preserve">Observation 1: </w:t>
      </w:r>
      <w:r>
        <w:rPr>
          <w:b/>
          <w:bCs w:val="0"/>
        </w:rPr>
        <w:t>W</w:t>
      </w:r>
      <w:r>
        <w:rPr>
          <w:rFonts w:hint="eastAsia"/>
          <w:b/>
          <w:bCs w:val="0"/>
        </w:rPr>
        <w:t xml:space="preserve">ithin the dwelling window, the SSB and </w:t>
      </w:r>
      <w:r>
        <w:rPr>
          <w:b/>
          <w:bCs w:val="0"/>
        </w:rPr>
        <w:t>necessary</w:t>
      </w:r>
      <w:r>
        <w:rPr>
          <w:rFonts w:hint="eastAsia"/>
          <w:b/>
          <w:bCs w:val="0"/>
        </w:rPr>
        <w:t xml:space="preserve"> system </w:t>
      </w:r>
      <w:r>
        <w:rPr>
          <w:b/>
          <w:bCs w:val="0"/>
        </w:rPr>
        <w:t>information</w:t>
      </w:r>
      <w:r>
        <w:rPr>
          <w:rFonts w:hint="eastAsia"/>
          <w:b/>
          <w:bCs w:val="0"/>
        </w:rPr>
        <w:t xml:space="preserve"> can be broadcasted for the target beam footprints, which can be utilized by UEs to access to the satellite/</w:t>
      </w:r>
      <w:proofErr w:type="spellStart"/>
      <w:r>
        <w:rPr>
          <w:rFonts w:hint="eastAsia"/>
          <w:b/>
          <w:bCs w:val="0"/>
        </w:rPr>
        <w:t>gNB</w:t>
      </w:r>
      <w:proofErr w:type="spellEnd"/>
      <w:r>
        <w:rPr>
          <w:rFonts w:hint="eastAsia"/>
          <w:b/>
          <w:bCs w:val="0"/>
        </w:rPr>
        <w:t xml:space="preserve"> within the dwelling </w:t>
      </w:r>
      <w:r>
        <w:rPr>
          <w:b/>
          <w:bCs w:val="0"/>
        </w:rPr>
        <w:t>window</w:t>
      </w:r>
      <w:r>
        <w:rPr>
          <w:rFonts w:hint="eastAsia"/>
          <w:b/>
          <w:bCs w:val="0"/>
        </w:rPr>
        <w:t xml:space="preserve">. </w:t>
      </w:r>
      <w:r>
        <w:rPr>
          <w:b/>
          <w:bCs w:val="0"/>
        </w:rPr>
        <w:t>F</w:t>
      </w:r>
      <w:r>
        <w:rPr>
          <w:rFonts w:hint="eastAsia"/>
          <w:b/>
          <w:bCs w:val="0"/>
        </w:rPr>
        <w:t xml:space="preserve">or the residual slots of the dwelling window, it can be used </w:t>
      </w:r>
      <w:r>
        <w:rPr>
          <w:b/>
          <w:bCs w:val="0"/>
        </w:rPr>
        <w:t>for the</w:t>
      </w:r>
      <w:r>
        <w:rPr>
          <w:rFonts w:hint="eastAsia"/>
          <w:b/>
          <w:bCs w:val="0"/>
        </w:rPr>
        <w:t xml:space="preserve"> dynamic scheduling.</w:t>
      </w:r>
    </w:p>
    <w:p w14:paraId="2278976F" w14:textId="77777777" w:rsidR="00575447" w:rsidRDefault="00575447">
      <w:pPr>
        <w:adjustRightInd w:val="0"/>
        <w:snapToGrid w:val="0"/>
        <w:rPr>
          <w:b/>
          <w:bCs w:val="0"/>
        </w:rPr>
      </w:pPr>
    </w:p>
    <w:p w14:paraId="07563034" w14:textId="77777777" w:rsidR="00575447" w:rsidRDefault="00000000">
      <w:pPr>
        <w:adjustRightInd w:val="0"/>
        <w:snapToGrid w:val="0"/>
      </w:pPr>
      <w:r>
        <w:rPr>
          <w:rFonts w:hint="eastAsia"/>
          <w:b/>
          <w:bCs w:val="0"/>
        </w:rPr>
        <w:t xml:space="preserve">Observation 2: The time span for the dynamic scheduling of the dwelling window for a given beam footprints can be allocated on demand based on UE distribution and </w:t>
      </w:r>
      <w:r>
        <w:rPr>
          <w:b/>
          <w:bCs w:val="0"/>
        </w:rPr>
        <w:t>traffic</w:t>
      </w:r>
      <w:r>
        <w:rPr>
          <w:rFonts w:hint="eastAsia"/>
          <w:b/>
          <w:bCs w:val="0"/>
        </w:rPr>
        <w:t xml:space="preserve"> distribution. </w:t>
      </w:r>
    </w:p>
    <w:p w14:paraId="1083FB2F" w14:textId="77777777" w:rsidR="00575447" w:rsidRDefault="00575447">
      <w:pPr>
        <w:adjustRightInd w:val="0"/>
        <w:snapToGrid w:val="0"/>
      </w:pPr>
    </w:p>
    <w:p w14:paraId="3247E7B5" w14:textId="77777777" w:rsidR="00575447" w:rsidRDefault="00000000">
      <w:pPr>
        <w:adjustRightInd w:val="0"/>
        <w:snapToGrid w:val="0"/>
        <w:rPr>
          <w:b/>
          <w:bCs w:val="0"/>
        </w:rPr>
      </w:pPr>
      <w:r>
        <w:rPr>
          <w:rFonts w:hint="eastAsia"/>
          <w:b/>
          <w:bCs w:val="0"/>
        </w:rPr>
        <w:t xml:space="preserve">Observation 3: </w:t>
      </w:r>
      <w:r>
        <w:rPr>
          <w:b/>
          <w:bCs w:val="0"/>
        </w:rPr>
        <w:t>B</w:t>
      </w:r>
      <w:r>
        <w:rPr>
          <w:rFonts w:hint="eastAsia"/>
          <w:b/>
          <w:bCs w:val="0"/>
        </w:rPr>
        <w:t xml:space="preserve">oth using one shared beam for both broadcast and UE specific traffic and separate beams for </w:t>
      </w:r>
      <w:r>
        <w:rPr>
          <w:b/>
          <w:bCs w:val="0"/>
        </w:rPr>
        <w:t>different</w:t>
      </w:r>
      <w:r>
        <w:rPr>
          <w:rFonts w:hint="eastAsia"/>
          <w:b/>
          <w:bCs w:val="0"/>
        </w:rPr>
        <w:t xml:space="preserve"> functions respectively can be considered for the system level </w:t>
      </w:r>
      <w:r>
        <w:rPr>
          <w:b/>
          <w:bCs w:val="0"/>
        </w:rPr>
        <w:t>enhancements</w:t>
      </w:r>
      <w:r>
        <w:rPr>
          <w:rFonts w:hint="eastAsia"/>
          <w:b/>
          <w:bCs w:val="0"/>
        </w:rPr>
        <w:t xml:space="preserve"> to </w:t>
      </w:r>
      <w:r>
        <w:rPr>
          <w:b/>
          <w:bCs w:val="0"/>
        </w:rPr>
        <w:t>improve</w:t>
      </w:r>
      <w:r>
        <w:rPr>
          <w:rFonts w:hint="eastAsia"/>
          <w:b/>
          <w:bCs w:val="0"/>
        </w:rPr>
        <w:t xml:space="preserve"> the coverage ratio. </w:t>
      </w:r>
    </w:p>
    <w:p w14:paraId="68FD682D" w14:textId="77777777" w:rsidR="00315D7C" w:rsidRDefault="00315D7C">
      <w:pPr>
        <w:adjustRightInd w:val="0"/>
        <w:snapToGrid w:val="0"/>
        <w:rPr>
          <w:b/>
          <w:bCs w:val="0"/>
        </w:rPr>
      </w:pPr>
    </w:p>
    <w:p w14:paraId="48041CF9" w14:textId="77777777" w:rsidR="00315D7C" w:rsidRPr="00A24683" w:rsidRDefault="00315D7C" w:rsidP="00315D7C">
      <w:pPr>
        <w:adjustRightInd w:val="0"/>
        <w:snapToGrid w:val="0"/>
        <w:rPr>
          <w:b/>
          <w:bCs w:val="0"/>
        </w:rPr>
      </w:pPr>
      <w:r w:rsidRPr="00990B67">
        <w:rPr>
          <w:rFonts w:hint="eastAsia"/>
          <w:b/>
          <w:bCs w:val="0"/>
        </w:rPr>
        <w:t xml:space="preserve">Observation 4: </w:t>
      </w:r>
      <w:r w:rsidRPr="00A24683">
        <w:rPr>
          <w:b/>
          <w:bCs w:val="0"/>
        </w:rPr>
        <w:t>M</w:t>
      </w:r>
      <w:r w:rsidRPr="00A24683">
        <w:rPr>
          <w:rFonts w:hint="eastAsia"/>
          <w:b/>
          <w:bCs w:val="0"/>
        </w:rPr>
        <w:t>ore beams but with reduced per beam power, and wider beams can be used to extend the beam coverage of Set 1-2 and shorten the SSB periodicity.</w:t>
      </w:r>
    </w:p>
    <w:p w14:paraId="0B90D5FC" w14:textId="77777777" w:rsidR="00575447" w:rsidRDefault="00575447">
      <w:pPr>
        <w:adjustRightInd w:val="0"/>
        <w:snapToGrid w:val="0"/>
      </w:pPr>
    </w:p>
    <w:p w14:paraId="4E6DE61C" w14:textId="60D031A5" w:rsidR="00575447" w:rsidRDefault="00000000">
      <w:pPr>
        <w:adjustRightInd w:val="0"/>
        <w:snapToGrid w:val="0"/>
        <w:rPr>
          <w:b/>
          <w:bCs w:val="0"/>
        </w:rPr>
      </w:pPr>
      <w:r>
        <w:rPr>
          <w:rFonts w:hint="eastAsia"/>
          <w:b/>
          <w:bCs w:val="0"/>
        </w:rPr>
        <w:t xml:space="preserve">Observation </w:t>
      </w:r>
      <w:r w:rsidR="006871CE">
        <w:rPr>
          <w:rFonts w:hint="eastAsia"/>
          <w:b/>
          <w:bCs w:val="0"/>
        </w:rPr>
        <w:t>5</w:t>
      </w:r>
      <w:r>
        <w:rPr>
          <w:rFonts w:hint="eastAsia"/>
          <w:b/>
          <w:bCs w:val="0"/>
        </w:rPr>
        <w:t xml:space="preserve">: Extension of the </w:t>
      </w:r>
      <w:r>
        <w:rPr>
          <w:b/>
          <w:bCs w:val="0"/>
        </w:rPr>
        <w:t>periodicity</w:t>
      </w:r>
      <w:r>
        <w:rPr>
          <w:rFonts w:hint="eastAsia"/>
          <w:b/>
          <w:bCs w:val="0"/>
        </w:rPr>
        <w:t xml:space="preserve"> of SSBs is a prerequisite for reaching almost 100% coverage ratio for all the scenarios using the parameter Set 1-1/1-2/1-3.</w:t>
      </w:r>
    </w:p>
    <w:p w14:paraId="69219789" w14:textId="77777777" w:rsidR="00575447" w:rsidRPr="006871CE" w:rsidRDefault="00575447">
      <w:pPr>
        <w:adjustRightInd w:val="0"/>
        <w:snapToGrid w:val="0"/>
        <w:rPr>
          <w:b/>
          <w:bCs w:val="0"/>
        </w:rPr>
      </w:pPr>
    </w:p>
    <w:p w14:paraId="48BF5B07" w14:textId="2E0D795C" w:rsidR="00575447" w:rsidRDefault="00000000">
      <w:pPr>
        <w:adjustRightInd w:val="0"/>
        <w:snapToGrid w:val="0"/>
        <w:rPr>
          <w:b/>
          <w:bCs w:val="0"/>
        </w:rPr>
      </w:pPr>
      <w:r>
        <w:rPr>
          <w:rFonts w:hint="eastAsia"/>
          <w:b/>
          <w:bCs w:val="0"/>
        </w:rPr>
        <w:t xml:space="preserve">Observation </w:t>
      </w:r>
      <w:r w:rsidR="006871CE">
        <w:rPr>
          <w:rFonts w:hint="eastAsia"/>
          <w:b/>
          <w:bCs w:val="0"/>
        </w:rPr>
        <w:t>6</w:t>
      </w:r>
      <w:r>
        <w:rPr>
          <w:rFonts w:hint="eastAsia"/>
          <w:b/>
          <w:bCs w:val="0"/>
        </w:rPr>
        <w:t xml:space="preserve">: SSB channel enhancements, such as </w:t>
      </w:r>
      <w:r>
        <w:rPr>
          <w:b/>
          <w:bCs w:val="0"/>
        </w:rPr>
        <w:t>changing</w:t>
      </w:r>
      <w:r>
        <w:rPr>
          <w:rFonts w:hint="eastAsia"/>
          <w:b/>
          <w:bCs w:val="0"/>
        </w:rPr>
        <w:t xml:space="preserve"> SSB position in burst, should not be pursued in Rel-19 NR-NTN phase 3. </w:t>
      </w:r>
    </w:p>
    <w:p w14:paraId="701409D6" w14:textId="77777777" w:rsidR="00575447" w:rsidRPr="006871CE" w:rsidRDefault="00575447">
      <w:pPr>
        <w:adjustRightInd w:val="0"/>
        <w:snapToGrid w:val="0"/>
        <w:rPr>
          <w:b/>
          <w:bCs w:val="0"/>
        </w:rPr>
      </w:pPr>
    </w:p>
    <w:p w14:paraId="4BCA3EF8" w14:textId="55F57FE8" w:rsidR="00575447" w:rsidRDefault="00000000">
      <w:pPr>
        <w:adjustRightInd w:val="0"/>
        <w:snapToGrid w:val="0"/>
        <w:rPr>
          <w:b/>
          <w:bCs w:val="0"/>
        </w:rPr>
      </w:pPr>
      <w:r>
        <w:rPr>
          <w:rFonts w:hint="eastAsia"/>
          <w:b/>
          <w:bCs w:val="0"/>
        </w:rPr>
        <w:t xml:space="preserve">Observation </w:t>
      </w:r>
      <w:r w:rsidR="006871CE">
        <w:rPr>
          <w:rFonts w:hint="eastAsia"/>
          <w:b/>
          <w:bCs w:val="0"/>
        </w:rPr>
        <w:t>7</w:t>
      </w:r>
      <w:r>
        <w:rPr>
          <w:rFonts w:hint="eastAsia"/>
          <w:b/>
          <w:bCs w:val="0"/>
        </w:rPr>
        <w:t xml:space="preserve">: </w:t>
      </w:r>
      <w:r>
        <w:rPr>
          <w:b/>
          <w:bCs w:val="0"/>
        </w:rPr>
        <w:t>C</w:t>
      </w:r>
      <w:r>
        <w:rPr>
          <w:rFonts w:hint="eastAsia"/>
          <w:b/>
          <w:bCs w:val="0"/>
        </w:rPr>
        <w:t xml:space="preserve">onsidering </w:t>
      </w:r>
      <w:r>
        <w:rPr>
          <w:b/>
          <w:bCs w:val="0"/>
        </w:rPr>
        <w:t>that</w:t>
      </w:r>
      <w:r>
        <w:rPr>
          <w:rFonts w:hint="eastAsia"/>
          <w:b/>
          <w:bCs w:val="0"/>
        </w:rPr>
        <w:t xml:space="preserve"> the low coverage ratio as 1.5% and 10% is not </w:t>
      </w:r>
      <w:r>
        <w:rPr>
          <w:b/>
          <w:bCs w:val="0"/>
        </w:rPr>
        <w:t>acceptable</w:t>
      </w:r>
      <w:r>
        <w:rPr>
          <w:rFonts w:hint="eastAsia"/>
          <w:b/>
          <w:bCs w:val="0"/>
        </w:rPr>
        <w:t>, the extension of SSB periodicity is a compromised solution with limited specification impact.</w:t>
      </w:r>
    </w:p>
    <w:p w14:paraId="28DE7D0C" w14:textId="77777777" w:rsidR="00575447" w:rsidRDefault="00575447">
      <w:pPr>
        <w:adjustRightInd w:val="0"/>
        <w:snapToGrid w:val="0"/>
      </w:pPr>
    </w:p>
    <w:p w14:paraId="7A6FFDBD" w14:textId="4638DE0B" w:rsidR="00575447" w:rsidRDefault="00000000">
      <w:pPr>
        <w:adjustRightInd w:val="0"/>
        <w:snapToGrid w:val="0"/>
      </w:pPr>
      <w:r>
        <w:rPr>
          <w:rFonts w:hint="eastAsia"/>
          <w:b/>
          <w:bCs w:val="0"/>
        </w:rPr>
        <w:t xml:space="preserve">Observation </w:t>
      </w:r>
      <w:r w:rsidR="006871CE">
        <w:rPr>
          <w:rFonts w:hint="eastAsia"/>
          <w:b/>
          <w:bCs w:val="0"/>
        </w:rPr>
        <w:t>8</w:t>
      </w:r>
      <w:r>
        <w:rPr>
          <w:rFonts w:hint="eastAsia"/>
          <w:b/>
          <w:bCs w:val="0"/>
        </w:rPr>
        <w:t xml:space="preserve">: </w:t>
      </w:r>
      <w:r>
        <w:rPr>
          <w:b/>
          <w:bCs w:val="0"/>
        </w:rPr>
        <w:t>T</w:t>
      </w:r>
      <w:r>
        <w:rPr>
          <w:rFonts w:hint="eastAsia"/>
          <w:b/>
          <w:bCs w:val="0"/>
        </w:rPr>
        <w:t xml:space="preserve">here is no explicit </w:t>
      </w:r>
      <w:r>
        <w:rPr>
          <w:b/>
          <w:bCs w:val="0"/>
        </w:rPr>
        <w:t>exclusion</w:t>
      </w:r>
      <w:r>
        <w:rPr>
          <w:rFonts w:hint="eastAsia"/>
          <w:b/>
          <w:bCs w:val="0"/>
        </w:rPr>
        <w:t xml:space="preserve"> for the SSB enhancements including the extension of the SSB periodicity in the detailed description in the </w:t>
      </w:r>
      <w:r>
        <w:rPr>
          <w:b/>
          <w:bCs w:val="0"/>
        </w:rPr>
        <w:t>justification</w:t>
      </w:r>
      <w:r>
        <w:rPr>
          <w:rFonts w:hint="eastAsia"/>
          <w:b/>
          <w:bCs w:val="0"/>
        </w:rPr>
        <w:t xml:space="preserve"> part. </w:t>
      </w:r>
    </w:p>
    <w:p w14:paraId="35662755" w14:textId="77777777" w:rsidR="00575447" w:rsidRDefault="00575447">
      <w:pPr>
        <w:adjustRightInd w:val="0"/>
        <w:snapToGrid w:val="0"/>
        <w:rPr>
          <w:b/>
          <w:bCs w:val="0"/>
        </w:rPr>
      </w:pPr>
    </w:p>
    <w:p w14:paraId="2AFFC278" w14:textId="77777777" w:rsidR="00575447" w:rsidRDefault="00000000">
      <w:pPr>
        <w:adjustRightInd w:val="0"/>
        <w:snapToGrid w:val="0"/>
        <w:rPr>
          <w:b/>
          <w:bCs w:val="0"/>
        </w:rPr>
      </w:pPr>
      <w:r>
        <w:rPr>
          <w:b/>
          <w:bCs w:val="0"/>
        </w:rPr>
        <w:t>P</w:t>
      </w:r>
      <w:r>
        <w:rPr>
          <w:rFonts w:hint="eastAsia"/>
          <w:b/>
          <w:bCs w:val="0"/>
        </w:rPr>
        <w:t xml:space="preserve">roposal 1: </w:t>
      </w:r>
      <w:r>
        <w:rPr>
          <w:b/>
          <w:bCs w:val="0"/>
        </w:rPr>
        <w:t>Without</w:t>
      </w:r>
      <w:r>
        <w:rPr>
          <w:rFonts w:hint="eastAsia"/>
          <w:b/>
          <w:bCs w:val="0"/>
        </w:rPr>
        <w:t xml:space="preserve"> enhancement of power reduction or wider beam, to reach an almost 100% coverage ratio, the default detection period for SSBs in NTN </w:t>
      </w:r>
      <w:r>
        <w:rPr>
          <w:b/>
          <w:bCs w:val="0"/>
        </w:rPr>
        <w:t>scenarios</w:t>
      </w:r>
      <w:r>
        <w:rPr>
          <w:rFonts w:hint="eastAsia"/>
          <w:b/>
          <w:bCs w:val="0"/>
        </w:rPr>
        <w:t xml:space="preserve"> needs to be extended to 320ms for all cases of Set1-1/1-2/1-3. </w:t>
      </w:r>
    </w:p>
    <w:p w14:paraId="30D44039" w14:textId="77777777" w:rsidR="00575447" w:rsidRDefault="00575447">
      <w:pPr>
        <w:adjustRightInd w:val="0"/>
        <w:snapToGrid w:val="0"/>
        <w:rPr>
          <w:b/>
          <w:bCs w:val="0"/>
        </w:rPr>
      </w:pPr>
    </w:p>
    <w:p w14:paraId="59B0A13F" w14:textId="77777777" w:rsidR="00575447" w:rsidRDefault="00000000">
      <w:pPr>
        <w:adjustRightInd w:val="0"/>
        <w:snapToGrid w:val="0"/>
        <w:rPr>
          <w:b/>
          <w:bCs w:val="0"/>
        </w:rPr>
      </w:pPr>
      <w:r>
        <w:rPr>
          <w:b/>
          <w:bCs w:val="0"/>
        </w:rPr>
        <w:t>P</w:t>
      </w:r>
      <w:r>
        <w:rPr>
          <w:rFonts w:hint="eastAsia"/>
          <w:b/>
          <w:bCs w:val="0"/>
        </w:rPr>
        <w:t xml:space="preserve">roposal 2: </w:t>
      </w:r>
      <w:r>
        <w:rPr>
          <w:b/>
          <w:bCs w:val="0"/>
        </w:rPr>
        <w:t>S</w:t>
      </w:r>
      <w:r>
        <w:rPr>
          <w:rFonts w:hint="eastAsia"/>
          <w:b/>
          <w:bCs w:val="0"/>
        </w:rPr>
        <w:t xml:space="preserve">upport the system level enhancements to improve the </w:t>
      </w:r>
      <w:r>
        <w:rPr>
          <w:b/>
          <w:bCs w:val="0"/>
        </w:rPr>
        <w:t>coverage</w:t>
      </w:r>
      <w:r>
        <w:rPr>
          <w:rFonts w:hint="eastAsia"/>
          <w:b/>
          <w:bCs w:val="0"/>
        </w:rPr>
        <w:t xml:space="preserve"> ratio in NR-NTN phase 3, with the consideration of introducing the revisit periodicity and dwelling window.</w:t>
      </w:r>
    </w:p>
    <w:p w14:paraId="6826E638" w14:textId="77777777" w:rsidR="00575447" w:rsidRDefault="00575447">
      <w:pPr>
        <w:adjustRightInd w:val="0"/>
        <w:snapToGrid w:val="0"/>
        <w:rPr>
          <w:b/>
          <w:bCs w:val="0"/>
        </w:rPr>
      </w:pPr>
    </w:p>
    <w:p w14:paraId="375AE79B" w14:textId="77777777" w:rsidR="00575447" w:rsidRDefault="00000000">
      <w:pPr>
        <w:adjustRightInd w:val="0"/>
        <w:snapToGrid w:val="0"/>
        <w:rPr>
          <w:b/>
          <w:bCs w:val="0"/>
        </w:rPr>
      </w:pPr>
      <w:r>
        <w:rPr>
          <w:b/>
          <w:bCs w:val="0"/>
        </w:rPr>
        <w:t>P</w:t>
      </w:r>
      <w:r>
        <w:rPr>
          <w:rFonts w:hint="eastAsia"/>
          <w:b/>
          <w:bCs w:val="0"/>
        </w:rPr>
        <w:t xml:space="preserve">roposal 3: </w:t>
      </w:r>
      <w:r>
        <w:rPr>
          <w:b/>
          <w:bCs w:val="0"/>
        </w:rPr>
        <w:t>W</w:t>
      </w:r>
      <w:r>
        <w:rPr>
          <w:rFonts w:hint="eastAsia"/>
          <w:b/>
          <w:bCs w:val="0"/>
        </w:rPr>
        <w:t xml:space="preserve">ith the understanding of both the necessity of coverage ratio enhancements of NTN and the detailed description on the system level </w:t>
      </w:r>
      <w:r>
        <w:rPr>
          <w:b/>
          <w:bCs w:val="0"/>
        </w:rPr>
        <w:t>enhancements</w:t>
      </w:r>
      <w:r>
        <w:rPr>
          <w:rFonts w:hint="eastAsia"/>
          <w:b/>
          <w:bCs w:val="0"/>
        </w:rPr>
        <w:t xml:space="preserve">, the extension of the SSB </w:t>
      </w:r>
      <w:r>
        <w:rPr>
          <w:b/>
          <w:bCs w:val="0"/>
        </w:rPr>
        <w:t>periodicity</w:t>
      </w:r>
      <w:r>
        <w:rPr>
          <w:rFonts w:hint="eastAsia"/>
          <w:b/>
          <w:bCs w:val="0"/>
        </w:rPr>
        <w:t xml:space="preserve"> is within the scope.</w:t>
      </w:r>
    </w:p>
    <w:p w14:paraId="3574096A" w14:textId="77777777" w:rsidR="00575447" w:rsidRDefault="00575447">
      <w:pPr>
        <w:rPr>
          <w:b/>
          <w:bCs w:val="0"/>
        </w:rPr>
      </w:pPr>
    </w:p>
    <w:p w14:paraId="3F99F4C2" w14:textId="77777777" w:rsidR="00575447" w:rsidRDefault="00000000">
      <w:pPr>
        <w:adjustRightInd w:val="0"/>
        <w:snapToGrid w:val="0"/>
        <w:rPr>
          <w:b/>
          <w:bCs w:val="0"/>
        </w:rPr>
      </w:pPr>
      <w:r>
        <w:rPr>
          <w:b/>
          <w:bCs w:val="0"/>
        </w:rPr>
        <w:t>P</w:t>
      </w:r>
      <w:r>
        <w:rPr>
          <w:rFonts w:hint="eastAsia"/>
          <w:b/>
          <w:bCs w:val="0"/>
        </w:rPr>
        <w:t>roposal 4:</w:t>
      </w:r>
    </w:p>
    <w:p w14:paraId="104F9ABC" w14:textId="77777777" w:rsidR="00575447" w:rsidRDefault="00000000">
      <w:pPr>
        <w:adjustRightInd w:val="0"/>
        <w:snapToGrid w:val="0"/>
        <w:rPr>
          <w:b/>
          <w:bCs w:val="0"/>
        </w:rPr>
      </w:pPr>
      <w:r>
        <w:rPr>
          <w:b/>
          <w:bCs w:val="0"/>
        </w:rPr>
        <w:t>U</w:t>
      </w:r>
      <w:r>
        <w:rPr>
          <w:rFonts w:hint="eastAsia"/>
          <w:b/>
          <w:bCs w:val="0"/>
        </w:rPr>
        <w:t>pdate the notes related to the SSBs in the WID as following,</w:t>
      </w:r>
    </w:p>
    <w:tbl>
      <w:tblPr>
        <w:tblStyle w:val="aff1"/>
        <w:tblW w:w="0" w:type="auto"/>
        <w:tblLook w:val="04A0" w:firstRow="1" w:lastRow="0" w:firstColumn="1" w:lastColumn="0" w:noHBand="0" w:noVBand="1"/>
      </w:tblPr>
      <w:tblGrid>
        <w:gridCol w:w="9962"/>
      </w:tblGrid>
      <w:tr w:rsidR="00575447" w:rsidRPr="00A07CF3" w14:paraId="543AEA4F" w14:textId="77777777">
        <w:tc>
          <w:tcPr>
            <w:tcW w:w="9962" w:type="dxa"/>
          </w:tcPr>
          <w:p w14:paraId="58EFD31F" w14:textId="77777777" w:rsidR="00575447" w:rsidRDefault="00575447">
            <w:pPr>
              <w:adjustRightInd w:val="0"/>
              <w:snapToGrid w:val="0"/>
              <w:rPr>
                <w:rFonts w:eastAsiaTheme="minorEastAsia"/>
              </w:rPr>
            </w:pPr>
          </w:p>
          <w:p w14:paraId="03832847" w14:textId="77777777" w:rsidR="00575447" w:rsidRPr="00A07CF3" w:rsidRDefault="00000000">
            <w:pPr>
              <w:adjustRightInd w:val="0"/>
              <w:snapToGrid w:val="0"/>
              <w:rPr>
                <w:rFonts w:eastAsiaTheme="minorEastAsia"/>
              </w:rPr>
            </w:pPr>
            <w:r w:rsidRPr="00A07CF3">
              <w:rPr>
                <w:rFonts w:eastAsiaTheme="minorEastAsia" w:hint="eastAsia"/>
              </w:rPr>
              <w:t xml:space="preserve">------other parts are </w:t>
            </w:r>
            <w:r w:rsidRPr="00A07CF3">
              <w:rPr>
                <w:rFonts w:eastAsiaTheme="minorEastAsia"/>
              </w:rPr>
              <w:t>omitted</w:t>
            </w:r>
            <w:r w:rsidRPr="00A07CF3">
              <w:rPr>
                <w:rFonts w:eastAsiaTheme="minorEastAsia" w:hint="eastAsia"/>
              </w:rPr>
              <w:t>----------------</w:t>
            </w:r>
          </w:p>
          <w:p w14:paraId="59ACE15E" w14:textId="77777777" w:rsidR="00575447" w:rsidRPr="00A07CF3" w:rsidRDefault="00000000">
            <w:pPr>
              <w:pStyle w:val="aff9"/>
              <w:widowControl w:val="0"/>
              <w:numPr>
                <w:ilvl w:val="0"/>
                <w:numId w:val="11"/>
              </w:numPr>
              <w:adjustRightInd w:val="0"/>
              <w:snapToGrid w:val="0"/>
              <w:spacing w:beforeLines="0" w:afterLines="0"/>
              <w:ind w:firstLineChars="0"/>
              <w:contextualSpacing/>
              <w:jc w:val="both"/>
            </w:pPr>
            <w:r w:rsidRPr="00A07CF3">
              <w:t>Notes for this objective:</w:t>
            </w:r>
          </w:p>
          <w:p w14:paraId="584EA81E" w14:textId="77777777" w:rsidR="00575447" w:rsidRPr="00A07CF3" w:rsidRDefault="00000000">
            <w:pPr>
              <w:pStyle w:val="aff9"/>
              <w:widowControl w:val="0"/>
              <w:numPr>
                <w:ilvl w:val="1"/>
                <w:numId w:val="11"/>
              </w:numPr>
              <w:adjustRightInd w:val="0"/>
              <w:snapToGrid w:val="0"/>
              <w:spacing w:beforeLines="0" w:afterLines="0"/>
              <w:ind w:firstLineChars="0"/>
              <w:contextualSpacing/>
              <w:jc w:val="both"/>
            </w:pPr>
            <w:r w:rsidRPr="00A07CF3">
              <w:t>SSB channel enhancement is not considered</w:t>
            </w:r>
            <w:r w:rsidRPr="00A07CF3">
              <w:rPr>
                <w:rFonts w:eastAsiaTheme="minorEastAsia" w:hint="eastAsia"/>
                <w:color w:val="FF0000"/>
              </w:rPr>
              <w:t xml:space="preserve">, except for the </w:t>
            </w:r>
            <w:r w:rsidRPr="00A07CF3">
              <w:rPr>
                <w:rFonts w:eastAsiaTheme="minorEastAsia"/>
                <w:color w:val="FF0000"/>
              </w:rPr>
              <w:t>extension</w:t>
            </w:r>
            <w:r w:rsidRPr="00A07CF3">
              <w:rPr>
                <w:rFonts w:eastAsiaTheme="minorEastAsia" w:hint="eastAsia"/>
                <w:color w:val="FF0000"/>
              </w:rPr>
              <w:t xml:space="preserve"> of SSB periodicity.</w:t>
            </w:r>
          </w:p>
          <w:p w14:paraId="5C945FFD" w14:textId="77777777" w:rsidR="00575447" w:rsidRPr="00A07CF3" w:rsidRDefault="00000000">
            <w:pPr>
              <w:pStyle w:val="aff9"/>
              <w:widowControl w:val="0"/>
              <w:numPr>
                <w:ilvl w:val="1"/>
                <w:numId w:val="11"/>
              </w:numPr>
              <w:adjustRightInd w:val="0"/>
              <w:snapToGrid w:val="0"/>
              <w:spacing w:beforeLines="0" w:afterLines="0"/>
              <w:ind w:firstLineChars="0"/>
              <w:contextualSpacing/>
              <w:jc w:val="both"/>
              <w:rPr>
                <w:rFonts w:eastAsiaTheme="minorEastAsia"/>
              </w:rPr>
            </w:pPr>
            <w:r w:rsidRPr="00A07CF3">
              <w:t>Antenna gain of UE shall be assumed to be -5.5dBi in case of smartphone in FR1-NTN, the UE is</w:t>
            </w:r>
          </w:p>
          <w:p w14:paraId="433345A0" w14:textId="77777777" w:rsidR="00575447" w:rsidRPr="00A07CF3" w:rsidRDefault="00575447">
            <w:pPr>
              <w:adjustRightInd w:val="0"/>
              <w:snapToGrid w:val="0"/>
              <w:rPr>
                <w:rFonts w:eastAsiaTheme="minorEastAsia"/>
              </w:rPr>
            </w:pPr>
          </w:p>
          <w:p w14:paraId="2102E75D" w14:textId="77777777" w:rsidR="00575447" w:rsidRPr="00A07CF3" w:rsidRDefault="00000000">
            <w:pPr>
              <w:adjustRightInd w:val="0"/>
              <w:snapToGrid w:val="0"/>
              <w:rPr>
                <w:rFonts w:eastAsiaTheme="minorEastAsia"/>
              </w:rPr>
            </w:pPr>
            <w:r w:rsidRPr="00A07CF3">
              <w:rPr>
                <w:rFonts w:eastAsiaTheme="minorEastAsia" w:hint="eastAsia"/>
              </w:rPr>
              <w:t xml:space="preserve">------other parts are </w:t>
            </w:r>
            <w:r w:rsidRPr="00A07CF3">
              <w:rPr>
                <w:rFonts w:eastAsiaTheme="minorEastAsia"/>
              </w:rPr>
              <w:t>omitted</w:t>
            </w:r>
            <w:r w:rsidRPr="00A07CF3">
              <w:rPr>
                <w:rFonts w:eastAsiaTheme="minorEastAsia" w:hint="eastAsia"/>
              </w:rPr>
              <w:t>----------------</w:t>
            </w:r>
          </w:p>
          <w:p w14:paraId="0772A545" w14:textId="77777777" w:rsidR="00575447" w:rsidRPr="00A07CF3" w:rsidRDefault="00575447">
            <w:pPr>
              <w:adjustRightInd w:val="0"/>
              <w:snapToGrid w:val="0"/>
              <w:rPr>
                <w:rFonts w:eastAsiaTheme="minorEastAsia"/>
              </w:rPr>
            </w:pPr>
          </w:p>
        </w:tc>
      </w:tr>
    </w:tbl>
    <w:p w14:paraId="733BB2E9" w14:textId="77777777" w:rsidR="00575447" w:rsidRPr="00A07CF3" w:rsidRDefault="00575447"/>
    <w:p w14:paraId="544B8928" w14:textId="77777777" w:rsidR="00575447" w:rsidRPr="00A07CF3"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sidRPr="00A07CF3">
        <w:rPr>
          <w:rFonts w:ascii="Times New Roman" w:hAnsi="Times New Roman"/>
          <w:sz w:val="28"/>
          <w:szCs w:val="28"/>
        </w:rPr>
        <w:t>References</w:t>
      </w:r>
    </w:p>
    <w:p w14:paraId="70D9AEC0" w14:textId="77777777" w:rsidR="00575447" w:rsidRPr="00A07CF3" w:rsidRDefault="00000000">
      <w:pPr>
        <w:pStyle w:val="aff9"/>
        <w:numPr>
          <w:ilvl w:val="0"/>
          <w:numId w:val="14"/>
        </w:numPr>
        <w:adjustRightInd w:val="0"/>
        <w:snapToGrid w:val="0"/>
        <w:spacing w:beforeLines="0" w:afterLines="0"/>
        <w:ind w:firstLineChars="0"/>
      </w:pPr>
      <w:bookmarkStart w:id="12" w:name="_Ref533782101"/>
      <w:bookmarkStart w:id="13" w:name="_Ref60817485"/>
      <w:bookmarkStart w:id="14" w:name="_Ref53491160"/>
      <w:bookmarkStart w:id="15" w:name="_Ref78875676"/>
      <w:bookmarkStart w:id="16" w:name="_Ref521162878"/>
      <w:bookmarkStart w:id="17" w:name="_Ref71203205"/>
      <w:bookmarkStart w:id="18" w:name="_Ref505807368"/>
      <w:bookmarkStart w:id="19" w:name="_Ref30757894"/>
      <w:bookmarkStart w:id="20" w:name="_Ref53511278"/>
      <w:bookmarkStart w:id="21" w:name="_Ref521313643"/>
      <w:bookmarkStart w:id="22" w:name="_Ref23496549"/>
      <w:bookmarkStart w:id="23" w:name="_Ref86784880"/>
      <w:bookmarkStart w:id="24" w:name="_Ref83712416"/>
      <w:bookmarkStart w:id="25" w:name="_Ref505867252"/>
      <w:r w:rsidRPr="00A07CF3">
        <w:t>RP-240775</w:t>
      </w:r>
      <w:r w:rsidRPr="00A07CF3">
        <w:rPr>
          <w:rFonts w:hint="eastAsia"/>
        </w:rPr>
        <w:t xml:space="preserve">, </w:t>
      </w:r>
      <w:r w:rsidRPr="00A07CF3">
        <w:t>Revised WID: Non-Terrestrial Networks (NTN) for NR Phase 3</w:t>
      </w:r>
      <w:r w:rsidRPr="00A07CF3">
        <w:rPr>
          <w:rFonts w:hint="eastAsia"/>
        </w:rPr>
        <w:t xml:space="preserve">, </w:t>
      </w:r>
      <w:r w:rsidRPr="00A07CF3">
        <w:t>3GPP TSG RAN Meeting #103</w:t>
      </w:r>
    </w:p>
    <w:p w14:paraId="6A11F92D" w14:textId="77777777" w:rsidR="00575447" w:rsidRPr="00A07CF3" w:rsidRDefault="00000000">
      <w:pPr>
        <w:pStyle w:val="aff9"/>
        <w:numPr>
          <w:ilvl w:val="0"/>
          <w:numId w:val="14"/>
        </w:numPr>
        <w:adjustRightInd w:val="0"/>
        <w:snapToGrid w:val="0"/>
        <w:spacing w:beforeLines="0" w:afterLines="0"/>
        <w:ind w:firstLineChars="0"/>
      </w:pPr>
      <w:r w:rsidRPr="00A07CF3">
        <w:t>Draft Report of 3GPP TSG RAN WG1 #116b v0.3.0</w:t>
      </w:r>
      <w:r w:rsidRPr="00A07CF3">
        <w:rPr>
          <w:rFonts w:eastAsiaTheme="minorEastAsia" w:hint="eastAsia"/>
        </w:rPr>
        <w:t xml:space="preserve">, </w:t>
      </w:r>
      <w:r w:rsidRPr="00A07CF3">
        <w:t>3GPP TSG RAN WG1 #11</w:t>
      </w:r>
      <w:r w:rsidRPr="00A07CF3">
        <w:rPr>
          <w:rFonts w:eastAsiaTheme="minorEastAsia" w:hint="eastAsia"/>
        </w:rPr>
        <w:t xml:space="preserve">6bis, </w:t>
      </w:r>
      <w:r w:rsidRPr="00A07CF3">
        <w:t>Changsha, China, April 15</w:t>
      </w:r>
      <w:r w:rsidRPr="00A07CF3">
        <w:rPr>
          <w:vertAlign w:val="superscript"/>
        </w:rPr>
        <w:t>th</w:t>
      </w:r>
      <w:r w:rsidRPr="00A07CF3">
        <w:t xml:space="preserve"> – 19</w:t>
      </w:r>
      <w:r w:rsidRPr="00A07CF3">
        <w:rPr>
          <w:vertAlign w:val="superscript"/>
        </w:rPr>
        <w:t>th</w:t>
      </w:r>
      <w:r w:rsidRPr="00A07CF3">
        <w:t>, 2024</w:t>
      </w:r>
    </w:p>
    <w:p w14:paraId="4E91363F" w14:textId="77777777" w:rsidR="00575447" w:rsidRPr="00A07CF3" w:rsidRDefault="00000000">
      <w:pPr>
        <w:pStyle w:val="aff9"/>
        <w:numPr>
          <w:ilvl w:val="0"/>
          <w:numId w:val="14"/>
        </w:numPr>
        <w:adjustRightInd w:val="0"/>
        <w:snapToGrid w:val="0"/>
        <w:spacing w:beforeLines="0" w:afterLines="0"/>
        <w:ind w:firstLineChars="0"/>
      </w:pPr>
      <w:r w:rsidRPr="00A07CF3">
        <w:t>Draft Report of 3GPP TSG RAN WG1 #117 v0.1.0</w:t>
      </w:r>
      <w:r w:rsidRPr="00A07CF3">
        <w:rPr>
          <w:rFonts w:hint="eastAsia"/>
        </w:rPr>
        <w:t xml:space="preserve">, </w:t>
      </w:r>
      <w:r w:rsidRPr="00A07CF3">
        <w:t>3GPP TSG RAN WG1 #117</w:t>
      </w:r>
      <w:r w:rsidRPr="00A07CF3">
        <w:rPr>
          <w:rFonts w:hint="eastAsia"/>
        </w:rPr>
        <w:t xml:space="preserve">, </w:t>
      </w:r>
      <w:r w:rsidRPr="00A07CF3">
        <w:t>Fukuoka, Japan, May 20th – 24th, 2024</w:t>
      </w:r>
    </w:p>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3DAF53D" w14:textId="77777777" w:rsidR="00575447" w:rsidRPr="00A07CF3" w:rsidRDefault="00575447">
      <w:pPr>
        <w:pStyle w:val="aff9"/>
        <w:adjustRightInd w:val="0"/>
        <w:snapToGrid w:val="0"/>
        <w:spacing w:beforeLines="0" w:afterLines="0"/>
        <w:ind w:firstLineChars="0" w:firstLine="0"/>
        <w:rPr>
          <w:rFonts w:eastAsiaTheme="minorEastAsia" w:cs="Times New Roman"/>
        </w:rPr>
      </w:pPr>
    </w:p>
    <w:p w14:paraId="71FF03A4" w14:textId="77777777" w:rsidR="00575447" w:rsidRPr="00A07CF3" w:rsidRDefault="00000000">
      <w:pPr>
        <w:pStyle w:val="1"/>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bookmarkStart w:id="26" w:name="_Ref162996067"/>
      <w:r w:rsidRPr="00A07CF3">
        <w:rPr>
          <w:rFonts w:ascii="Times New Roman" w:eastAsiaTheme="minorEastAsia" w:hAnsi="Times New Roman" w:hint="eastAsia"/>
          <w:sz w:val="28"/>
          <w:szCs w:val="28"/>
          <w:lang w:eastAsia="zh-CN"/>
        </w:rPr>
        <w:t>Annex</w:t>
      </w:r>
      <w:bookmarkEnd w:id="26"/>
    </w:p>
    <w:p w14:paraId="5F3BACA7" w14:textId="77777777" w:rsidR="00575447" w:rsidRPr="00A07CF3" w:rsidRDefault="00575447">
      <w:pPr>
        <w:pStyle w:val="aff9"/>
        <w:adjustRightInd w:val="0"/>
        <w:snapToGrid w:val="0"/>
        <w:spacing w:beforeLines="0" w:afterLines="0"/>
        <w:ind w:firstLineChars="0" w:firstLine="0"/>
        <w:rPr>
          <w:rFonts w:eastAsiaTheme="minorEastAsia" w:cs="Times New Roman"/>
        </w:rPr>
      </w:pPr>
    </w:p>
    <w:p w14:paraId="0F5B6919" w14:textId="77777777" w:rsidR="00575447" w:rsidRPr="00A07CF3" w:rsidRDefault="00000000">
      <w:pPr>
        <w:pStyle w:val="aff9"/>
        <w:adjustRightInd w:val="0"/>
        <w:snapToGrid w:val="0"/>
        <w:spacing w:beforeLines="0" w:afterLines="0"/>
        <w:ind w:firstLineChars="0" w:firstLine="0"/>
        <w:rPr>
          <w:rFonts w:eastAsiaTheme="minorEastAsia" w:cs="Times New Roman"/>
        </w:rPr>
      </w:pPr>
      <w:r w:rsidRPr="00A07CF3">
        <w:rPr>
          <w:rFonts w:eastAsiaTheme="minorEastAsia" w:cs="Times New Roman"/>
        </w:rPr>
        <w:t>T</w:t>
      </w:r>
      <w:r w:rsidRPr="00A07CF3">
        <w:rPr>
          <w:rFonts w:eastAsiaTheme="minorEastAsia" w:cs="Times New Roman" w:hint="eastAsia"/>
        </w:rPr>
        <w:t xml:space="preserve">he agreements on the 3 sets of </w:t>
      </w:r>
      <w:r w:rsidRPr="00A07CF3">
        <w:rPr>
          <w:rFonts w:eastAsiaTheme="minorEastAsia" w:cs="Times New Roman"/>
        </w:rPr>
        <w:t>reference</w:t>
      </w:r>
      <w:r w:rsidRPr="00A07CF3">
        <w:rPr>
          <w:rFonts w:eastAsiaTheme="minorEastAsia" w:cs="Times New Roman" w:hint="eastAsia"/>
        </w:rPr>
        <w:t xml:space="preserve"> satellite parameters for system level and link level evaluation from RAN1#116.</w:t>
      </w:r>
    </w:p>
    <w:p w14:paraId="40DBA32C" w14:textId="77777777" w:rsidR="00575447" w:rsidRDefault="00575447">
      <w:pPr>
        <w:pStyle w:val="aff9"/>
        <w:adjustRightInd w:val="0"/>
        <w:snapToGrid w:val="0"/>
        <w:spacing w:beforeLines="0" w:afterLines="0"/>
        <w:ind w:firstLineChars="0" w:firstLine="0"/>
        <w:rPr>
          <w:rFonts w:eastAsiaTheme="minorEastAsia" w:cs="Times New Roman"/>
          <w:highlight w:val="yellow"/>
        </w:rPr>
      </w:pPr>
    </w:p>
    <w:tbl>
      <w:tblPr>
        <w:tblStyle w:val="aff1"/>
        <w:tblW w:w="0" w:type="auto"/>
        <w:tblLook w:val="04A0" w:firstRow="1" w:lastRow="0" w:firstColumn="1" w:lastColumn="0" w:noHBand="0" w:noVBand="1"/>
      </w:tblPr>
      <w:tblGrid>
        <w:gridCol w:w="9962"/>
      </w:tblGrid>
      <w:tr w:rsidR="00575447" w14:paraId="51F170D0" w14:textId="77777777">
        <w:tc>
          <w:tcPr>
            <w:tcW w:w="9962" w:type="dxa"/>
          </w:tcPr>
          <w:p w14:paraId="450FA693" w14:textId="77777777" w:rsidR="00575447" w:rsidRDefault="00575447">
            <w:pPr>
              <w:pStyle w:val="aff9"/>
              <w:adjustRightInd w:val="0"/>
              <w:snapToGrid w:val="0"/>
              <w:spacing w:beforeLines="0" w:afterLines="0"/>
              <w:ind w:firstLineChars="0" w:firstLine="0"/>
              <w:rPr>
                <w:rFonts w:eastAsiaTheme="minorEastAsia" w:cs="Times New Roman"/>
                <w:highlight w:val="yellow"/>
              </w:rPr>
            </w:pPr>
          </w:p>
          <w:p w14:paraId="04763C35" w14:textId="77777777" w:rsidR="00575447" w:rsidRDefault="00000000">
            <w:pPr>
              <w:rPr>
                <w:b/>
                <w:bCs w:val="0"/>
              </w:rPr>
            </w:pPr>
            <w:r>
              <w:rPr>
                <w:rFonts w:eastAsiaTheme="minorEastAsia" w:hint="eastAsia"/>
                <w:b/>
                <w:highlight w:val="green"/>
              </w:rPr>
              <w:t xml:space="preserve">RAN1#116 </w:t>
            </w:r>
            <w:r>
              <w:rPr>
                <w:b/>
                <w:highlight w:val="green"/>
              </w:rPr>
              <w:t>Agreement</w:t>
            </w:r>
          </w:p>
          <w:p w14:paraId="46F078D2" w14:textId="77777777" w:rsidR="00575447" w:rsidRDefault="00000000">
            <w:pPr>
              <w:rPr>
                <w:rFonts w:eastAsiaTheme="minorEastAsia"/>
              </w:rPr>
            </w:pPr>
            <w: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75447" w14:paraId="5410CAE4" w14:textId="77777777">
              <w:trPr>
                <w:gridAfter w:val="1"/>
                <w:wAfter w:w="1368" w:type="pct"/>
                <w:trHeight w:val="300"/>
                <w:jc w:val="center"/>
              </w:trPr>
              <w:tc>
                <w:tcPr>
                  <w:tcW w:w="3632" w:type="pct"/>
                  <w:tcBorders>
                    <w:bottom w:val="single" w:sz="12" w:space="0" w:color="666666"/>
                  </w:tcBorders>
                  <w:shd w:val="clear" w:color="auto" w:fill="00B0F0"/>
                  <w:vAlign w:val="center"/>
                </w:tcPr>
                <w:p w14:paraId="1257F9A4" w14:textId="77777777" w:rsidR="00575447" w:rsidRDefault="00000000">
                  <w:pPr>
                    <w:jc w:val="center"/>
                    <w:rPr>
                      <w:rFonts w:ascii="Arial" w:hAnsi="Arial" w:cs="Arial"/>
                      <w:b/>
                      <w:bCs w:val="0"/>
                      <w:sz w:val="16"/>
                      <w:szCs w:val="16"/>
                    </w:rPr>
                  </w:pPr>
                  <w:r>
                    <w:rPr>
                      <w:rFonts w:ascii="Arial" w:hAnsi="Arial" w:cs="Arial"/>
                      <w:kern w:val="24"/>
                      <w:sz w:val="16"/>
                      <w:szCs w:val="16"/>
                    </w:rPr>
                    <w:t xml:space="preserve"> </w:t>
                  </w:r>
                  <w:r>
                    <w:rPr>
                      <w:rFonts w:ascii="Arial" w:hAnsi="Arial" w:cs="Arial"/>
                      <w:b/>
                      <w:kern w:val="24"/>
                      <w:sz w:val="16"/>
                      <w:szCs w:val="16"/>
                    </w:rPr>
                    <w:t>LEO600km Set1-1 FR1 (i.e., S-band)</w:t>
                  </w:r>
                </w:p>
              </w:tc>
            </w:tr>
            <w:tr w:rsidR="00575447" w14:paraId="41FBE006" w14:textId="77777777">
              <w:trPr>
                <w:trHeight w:val="179"/>
                <w:jc w:val="center"/>
              </w:trPr>
              <w:tc>
                <w:tcPr>
                  <w:tcW w:w="3632" w:type="pct"/>
                  <w:shd w:val="clear" w:color="auto" w:fill="auto"/>
                  <w:vAlign w:val="center"/>
                </w:tcPr>
                <w:p w14:paraId="23445D27" w14:textId="77777777" w:rsidR="00575447" w:rsidRDefault="00000000">
                  <w:pPr>
                    <w:rPr>
                      <w:rFonts w:ascii="Arial" w:hAnsi="Arial" w:cs="Arial"/>
                      <w:b/>
                      <w:bCs w:val="0"/>
                      <w:sz w:val="16"/>
                      <w:szCs w:val="16"/>
                    </w:rPr>
                  </w:pPr>
                  <w:r>
                    <w:rPr>
                      <w:rFonts w:ascii="Arial" w:hAnsi="Arial" w:cs="Arial"/>
                      <w:b/>
                      <w:kern w:val="24"/>
                      <w:sz w:val="16"/>
                      <w:szCs w:val="16"/>
                      <w:lang w:val="fr-FR"/>
                    </w:rPr>
                    <w:t>Maximum Bandwidth per beam</w:t>
                  </w:r>
                </w:p>
              </w:tc>
              <w:tc>
                <w:tcPr>
                  <w:tcW w:w="1368" w:type="pct"/>
                  <w:shd w:val="clear" w:color="auto" w:fill="auto"/>
                  <w:vAlign w:val="center"/>
                </w:tcPr>
                <w:p w14:paraId="10B67038" w14:textId="77777777" w:rsidR="00575447" w:rsidRDefault="00000000">
                  <w:pPr>
                    <w:jc w:val="center"/>
                    <w:rPr>
                      <w:rFonts w:ascii="Arial" w:hAnsi="Arial" w:cs="Arial"/>
                      <w:sz w:val="16"/>
                      <w:szCs w:val="16"/>
                    </w:rPr>
                  </w:pPr>
                  <w:r>
                    <w:rPr>
                      <w:rFonts w:ascii="Arial" w:hAnsi="Arial" w:cs="Arial"/>
                      <w:kern w:val="24"/>
                      <w:sz w:val="16"/>
                      <w:szCs w:val="16"/>
                      <w:lang w:val="fr-FR"/>
                    </w:rPr>
                    <w:t>5 MHz</w:t>
                  </w:r>
                </w:p>
              </w:tc>
            </w:tr>
            <w:tr w:rsidR="00575447" w14:paraId="07936433" w14:textId="77777777">
              <w:trPr>
                <w:trHeight w:val="37"/>
                <w:jc w:val="center"/>
              </w:trPr>
              <w:tc>
                <w:tcPr>
                  <w:tcW w:w="3632" w:type="pct"/>
                  <w:shd w:val="clear" w:color="auto" w:fill="auto"/>
                  <w:vAlign w:val="center"/>
                </w:tcPr>
                <w:p w14:paraId="76CE0B30" w14:textId="77777777" w:rsidR="00575447" w:rsidRDefault="00000000">
                  <w:pPr>
                    <w:rPr>
                      <w:rFonts w:ascii="Arial" w:hAnsi="Arial" w:cs="Arial"/>
                      <w:b/>
                      <w:bCs w:val="0"/>
                      <w:sz w:val="16"/>
                      <w:szCs w:val="16"/>
                    </w:rPr>
                  </w:pPr>
                  <w:r>
                    <w:rPr>
                      <w:rFonts w:ascii="Arial" w:hAnsi="Arial" w:cs="Arial"/>
                      <w:b/>
                      <w:kern w:val="24"/>
                      <w:sz w:val="16"/>
                      <w:szCs w:val="16"/>
                    </w:rPr>
                    <w:t>SCS</w:t>
                  </w:r>
                </w:p>
              </w:tc>
              <w:tc>
                <w:tcPr>
                  <w:tcW w:w="1368" w:type="pct"/>
                  <w:shd w:val="clear" w:color="auto" w:fill="auto"/>
                  <w:vAlign w:val="center"/>
                </w:tcPr>
                <w:p w14:paraId="59901571" w14:textId="77777777" w:rsidR="00575447" w:rsidRDefault="00000000">
                  <w:pPr>
                    <w:jc w:val="center"/>
                    <w:rPr>
                      <w:rFonts w:ascii="Arial" w:hAnsi="Arial" w:cs="Arial"/>
                      <w:sz w:val="16"/>
                      <w:szCs w:val="16"/>
                    </w:rPr>
                  </w:pPr>
                  <w:r>
                    <w:rPr>
                      <w:rFonts w:ascii="Arial" w:hAnsi="Arial" w:cs="Arial"/>
                      <w:kern w:val="24"/>
                      <w:sz w:val="16"/>
                      <w:szCs w:val="16"/>
                    </w:rPr>
                    <w:t>15 kHz</w:t>
                  </w:r>
                </w:p>
              </w:tc>
            </w:tr>
            <w:tr w:rsidR="00575447" w14:paraId="230C9DA5" w14:textId="77777777">
              <w:trPr>
                <w:trHeight w:val="124"/>
                <w:jc w:val="center"/>
              </w:trPr>
              <w:tc>
                <w:tcPr>
                  <w:tcW w:w="3632" w:type="pct"/>
                  <w:shd w:val="clear" w:color="auto" w:fill="auto"/>
                  <w:vAlign w:val="center"/>
                </w:tcPr>
                <w:p w14:paraId="3C77AB54" w14:textId="77777777" w:rsidR="00575447" w:rsidRPr="00A07CF3" w:rsidRDefault="00000000">
                  <w:pPr>
                    <w:rPr>
                      <w:rFonts w:ascii="Arial" w:hAnsi="Arial" w:cs="Arial"/>
                      <w:b/>
                      <w:bCs w:val="0"/>
                      <w:sz w:val="16"/>
                      <w:szCs w:val="16"/>
                    </w:rPr>
                  </w:pPr>
                  <w:r w:rsidRPr="00A07CF3">
                    <w:rPr>
                      <w:rFonts w:ascii="Arial" w:eastAsia="等线" w:hAnsi="Arial" w:cs="Arial"/>
                      <w:b/>
                      <w:kern w:val="24"/>
                      <w:sz w:val="16"/>
                      <w:szCs w:val="16"/>
                      <w:lang w:val="fr-FR"/>
                    </w:rPr>
                    <w:t>Beam size(Note 1)</w:t>
                  </w:r>
                </w:p>
              </w:tc>
              <w:tc>
                <w:tcPr>
                  <w:tcW w:w="1368" w:type="pct"/>
                  <w:shd w:val="clear" w:color="auto" w:fill="auto"/>
                  <w:vAlign w:val="center"/>
                </w:tcPr>
                <w:p w14:paraId="55F49533"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lang w:val="fr-FR"/>
                    </w:rPr>
                    <w:t>50km</w:t>
                  </w:r>
                </w:p>
              </w:tc>
            </w:tr>
            <w:tr w:rsidR="00575447" w14:paraId="588C93C5" w14:textId="77777777">
              <w:trPr>
                <w:trHeight w:val="100"/>
                <w:jc w:val="center"/>
              </w:trPr>
              <w:tc>
                <w:tcPr>
                  <w:tcW w:w="3632" w:type="pct"/>
                  <w:shd w:val="clear" w:color="auto" w:fill="auto"/>
                  <w:vAlign w:val="center"/>
                </w:tcPr>
                <w:p w14:paraId="36088DCC" w14:textId="77777777" w:rsidR="00575447" w:rsidRPr="00A07CF3" w:rsidRDefault="00000000">
                  <w:pPr>
                    <w:rPr>
                      <w:rFonts w:ascii="Arial" w:hAnsi="Arial" w:cs="Arial"/>
                      <w:b/>
                      <w:bCs w:val="0"/>
                      <w:sz w:val="16"/>
                      <w:szCs w:val="16"/>
                    </w:rPr>
                  </w:pPr>
                  <w:r w:rsidRPr="00A07CF3">
                    <w:rPr>
                      <w:rFonts w:ascii="Arial" w:eastAsia="等线" w:hAnsi="Arial" w:cs="Arial"/>
                      <w:b/>
                      <w:kern w:val="24"/>
                      <w:sz w:val="16"/>
                      <w:szCs w:val="16"/>
                    </w:rPr>
                    <w:t>Satellite EIRP density /beam (</w:t>
                  </w:r>
                  <w:proofErr w:type="spellStart"/>
                  <w:r w:rsidRPr="00A07CF3">
                    <w:rPr>
                      <w:rFonts w:ascii="Arial" w:eastAsia="等线" w:hAnsi="Arial" w:cs="Arial"/>
                      <w:b/>
                      <w:kern w:val="24"/>
                      <w:sz w:val="16"/>
                      <w:szCs w:val="16"/>
                    </w:rPr>
                    <w:t>dBW</w:t>
                  </w:r>
                  <w:proofErr w:type="spellEnd"/>
                  <w:r w:rsidRPr="00A07CF3">
                    <w:rPr>
                      <w:rFonts w:ascii="Arial" w:eastAsia="等线" w:hAnsi="Arial" w:cs="Arial"/>
                      <w:b/>
                      <w:kern w:val="24"/>
                      <w:sz w:val="16"/>
                      <w:szCs w:val="16"/>
                    </w:rPr>
                    <w:t>/MHz)</w:t>
                  </w:r>
                </w:p>
              </w:tc>
              <w:tc>
                <w:tcPr>
                  <w:tcW w:w="1368" w:type="pct"/>
                  <w:shd w:val="clear" w:color="auto" w:fill="auto"/>
                  <w:vAlign w:val="center"/>
                </w:tcPr>
                <w:p w14:paraId="01349033"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lang w:val="fr-FR"/>
                    </w:rPr>
                    <w:t>34</w:t>
                  </w:r>
                </w:p>
              </w:tc>
            </w:tr>
            <w:tr w:rsidR="00575447" w14:paraId="003B8117" w14:textId="77777777">
              <w:trPr>
                <w:trHeight w:val="218"/>
                <w:jc w:val="center"/>
              </w:trPr>
              <w:tc>
                <w:tcPr>
                  <w:tcW w:w="3632" w:type="pct"/>
                  <w:shd w:val="clear" w:color="auto" w:fill="auto"/>
                  <w:vAlign w:val="center"/>
                </w:tcPr>
                <w:p w14:paraId="240DE2F5" w14:textId="77777777" w:rsidR="00575447" w:rsidRPr="00A07CF3" w:rsidRDefault="00000000">
                  <w:pPr>
                    <w:rPr>
                      <w:rFonts w:ascii="Arial" w:hAnsi="Arial" w:cs="Arial"/>
                      <w:b/>
                      <w:bCs w:val="0"/>
                      <w:sz w:val="16"/>
                      <w:szCs w:val="16"/>
                    </w:rPr>
                  </w:pPr>
                  <w:r w:rsidRPr="00A07CF3">
                    <w:rPr>
                      <w:rFonts w:ascii="Arial" w:hAnsi="Arial" w:cs="Arial"/>
                      <w:b/>
                      <w:kern w:val="24"/>
                      <w:sz w:val="16"/>
                      <w:szCs w:val="16"/>
                    </w:rPr>
                    <w:t>Payload Total DL power level (</w:t>
                  </w:r>
                  <w:proofErr w:type="spellStart"/>
                  <w:r w:rsidRPr="00A07CF3">
                    <w:rPr>
                      <w:rFonts w:ascii="Arial" w:hAnsi="Arial" w:cs="Arial"/>
                      <w:b/>
                      <w:kern w:val="24"/>
                      <w:sz w:val="16"/>
                      <w:szCs w:val="16"/>
                    </w:rPr>
                    <w:t>dBW</w:t>
                  </w:r>
                  <w:proofErr w:type="spellEnd"/>
                  <w:r w:rsidRPr="00A07CF3">
                    <w:rPr>
                      <w:rFonts w:ascii="Arial" w:hAnsi="Arial" w:cs="Arial"/>
                      <w:b/>
                      <w:kern w:val="24"/>
                      <w:sz w:val="16"/>
                      <w:szCs w:val="16"/>
                    </w:rPr>
                    <w:t>)</w:t>
                  </w:r>
                </w:p>
              </w:tc>
              <w:tc>
                <w:tcPr>
                  <w:tcW w:w="1368" w:type="pct"/>
                  <w:shd w:val="clear" w:color="auto" w:fill="auto"/>
                  <w:vAlign w:val="center"/>
                </w:tcPr>
                <w:p w14:paraId="43C88FA5"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31.24</w:t>
                  </w:r>
                </w:p>
              </w:tc>
            </w:tr>
            <w:tr w:rsidR="00575447" w14:paraId="54D35C78" w14:textId="77777777">
              <w:trPr>
                <w:trHeight w:val="194"/>
                <w:jc w:val="center"/>
              </w:trPr>
              <w:tc>
                <w:tcPr>
                  <w:tcW w:w="3632" w:type="pct"/>
                  <w:shd w:val="clear" w:color="auto" w:fill="auto"/>
                  <w:vAlign w:val="center"/>
                </w:tcPr>
                <w:p w14:paraId="05D40229" w14:textId="77777777" w:rsidR="00575447" w:rsidRPr="00A07CF3" w:rsidRDefault="00000000">
                  <w:pPr>
                    <w:rPr>
                      <w:rFonts w:ascii="Arial" w:hAnsi="Arial" w:cs="Arial"/>
                      <w:b/>
                      <w:bCs w:val="0"/>
                      <w:sz w:val="16"/>
                      <w:szCs w:val="16"/>
                    </w:rPr>
                  </w:pPr>
                  <w:r w:rsidRPr="00A07CF3">
                    <w:rPr>
                      <w:rFonts w:ascii="Arial" w:hAnsi="Arial" w:cs="Arial"/>
                      <w:b/>
                      <w:kern w:val="24"/>
                      <w:sz w:val="16"/>
                      <w:szCs w:val="16"/>
                    </w:rPr>
                    <w:t>Aggregated EIRP (Total) (</w:t>
                  </w:r>
                  <w:proofErr w:type="spellStart"/>
                  <w:r w:rsidRPr="00A07CF3">
                    <w:rPr>
                      <w:rFonts w:ascii="Arial" w:hAnsi="Arial" w:cs="Arial"/>
                      <w:b/>
                      <w:kern w:val="24"/>
                      <w:sz w:val="16"/>
                      <w:szCs w:val="16"/>
                    </w:rPr>
                    <w:t>dBW</w:t>
                  </w:r>
                  <w:proofErr w:type="spellEnd"/>
                  <w:r w:rsidRPr="00A07CF3">
                    <w:rPr>
                      <w:rFonts w:ascii="Arial" w:hAnsi="Arial" w:cs="Arial"/>
                      <w:b/>
                      <w:kern w:val="24"/>
                      <w:sz w:val="16"/>
                      <w:szCs w:val="16"/>
                    </w:rPr>
                    <w:t>)</w:t>
                  </w:r>
                </w:p>
              </w:tc>
              <w:tc>
                <w:tcPr>
                  <w:tcW w:w="1368" w:type="pct"/>
                  <w:shd w:val="clear" w:color="auto" w:fill="auto"/>
                  <w:vAlign w:val="center"/>
                </w:tcPr>
                <w:p w14:paraId="31639838"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61.24*</w:t>
                  </w:r>
                </w:p>
              </w:tc>
            </w:tr>
            <w:tr w:rsidR="00575447" w14:paraId="249CA761" w14:textId="77777777">
              <w:trPr>
                <w:trHeight w:val="228"/>
                <w:jc w:val="center"/>
              </w:trPr>
              <w:tc>
                <w:tcPr>
                  <w:tcW w:w="3632" w:type="pct"/>
                  <w:shd w:val="clear" w:color="auto" w:fill="auto"/>
                  <w:vAlign w:val="center"/>
                </w:tcPr>
                <w:p w14:paraId="4B8F3D20" w14:textId="77777777" w:rsidR="00575447" w:rsidRPr="00A07CF3" w:rsidRDefault="00000000">
                  <w:pPr>
                    <w:rPr>
                      <w:rFonts w:ascii="Arial" w:hAnsi="Arial" w:cs="Arial"/>
                      <w:b/>
                      <w:bCs w:val="0"/>
                      <w:sz w:val="16"/>
                      <w:szCs w:val="16"/>
                    </w:rPr>
                  </w:pPr>
                  <w:r w:rsidRPr="00A07CF3">
                    <w:rPr>
                      <w:rFonts w:ascii="Arial" w:hAnsi="Arial" w:cs="Arial"/>
                      <w:b/>
                      <w:kern w:val="24"/>
                      <w:sz w:val="16"/>
                      <w:szCs w:val="16"/>
                    </w:rPr>
                    <w:t>Satellite Tx max Gain</w:t>
                  </w:r>
                </w:p>
              </w:tc>
              <w:tc>
                <w:tcPr>
                  <w:tcW w:w="1368" w:type="pct"/>
                  <w:shd w:val="clear" w:color="auto" w:fill="auto"/>
                  <w:vAlign w:val="center"/>
                </w:tcPr>
                <w:p w14:paraId="5128C865"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 xml:space="preserve">30 </w:t>
                  </w:r>
                  <w:proofErr w:type="spellStart"/>
                  <w:r w:rsidRPr="00A07CF3">
                    <w:rPr>
                      <w:rFonts w:ascii="Arial" w:hAnsi="Arial" w:cs="Arial"/>
                      <w:kern w:val="24"/>
                      <w:sz w:val="16"/>
                      <w:szCs w:val="16"/>
                    </w:rPr>
                    <w:t>dBi</w:t>
                  </w:r>
                  <w:proofErr w:type="spellEnd"/>
                </w:p>
              </w:tc>
            </w:tr>
            <w:tr w:rsidR="00575447" w14:paraId="673299F6" w14:textId="77777777">
              <w:trPr>
                <w:trHeight w:val="120"/>
                <w:jc w:val="center"/>
              </w:trPr>
              <w:tc>
                <w:tcPr>
                  <w:tcW w:w="3632" w:type="pct"/>
                  <w:shd w:val="clear" w:color="auto" w:fill="auto"/>
                  <w:vAlign w:val="center"/>
                </w:tcPr>
                <w:p w14:paraId="28CE022A" w14:textId="77777777" w:rsidR="00575447" w:rsidRPr="00A07CF3" w:rsidRDefault="00000000">
                  <w:pPr>
                    <w:rPr>
                      <w:rFonts w:ascii="Arial" w:hAnsi="Arial" w:cs="Arial"/>
                      <w:b/>
                      <w:bCs w:val="0"/>
                      <w:sz w:val="16"/>
                      <w:szCs w:val="16"/>
                      <w:lang w:val="de-DE"/>
                    </w:rPr>
                  </w:pPr>
                  <w:r w:rsidRPr="00A07CF3">
                    <w:rPr>
                      <w:rFonts w:ascii="Arial" w:hAnsi="Arial" w:cs="Arial"/>
                      <w:b/>
                      <w:kern w:val="24"/>
                      <w:sz w:val="16"/>
                      <w:szCs w:val="16"/>
                      <w:lang w:val="de-DE"/>
                    </w:rPr>
                    <w:t>Maximum EIRP per Satellite beam (dBW)</w:t>
                  </w:r>
                </w:p>
              </w:tc>
              <w:tc>
                <w:tcPr>
                  <w:tcW w:w="1368" w:type="pct"/>
                  <w:shd w:val="clear" w:color="auto" w:fill="auto"/>
                  <w:vAlign w:val="center"/>
                </w:tcPr>
                <w:p w14:paraId="0235DB81"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41</w:t>
                  </w:r>
                </w:p>
              </w:tc>
            </w:tr>
            <w:tr w:rsidR="00575447" w14:paraId="27FC97B2" w14:textId="77777777">
              <w:trPr>
                <w:trHeight w:val="154"/>
                <w:jc w:val="center"/>
              </w:trPr>
              <w:tc>
                <w:tcPr>
                  <w:tcW w:w="3632" w:type="pct"/>
                  <w:shd w:val="clear" w:color="auto" w:fill="auto"/>
                  <w:vAlign w:val="center"/>
                </w:tcPr>
                <w:p w14:paraId="1B4951C1" w14:textId="77777777" w:rsidR="00575447" w:rsidRPr="00A07CF3" w:rsidRDefault="00000000">
                  <w:pPr>
                    <w:rPr>
                      <w:rFonts w:ascii="Arial" w:hAnsi="Arial" w:cs="Arial"/>
                      <w:b/>
                      <w:bCs w:val="0"/>
                      <w:sz w:val="16"/>
                      <w:szCs w:val="16"/>
                    </w:rPr>
                  </w:pPr>
                  <w:r w:rsidRPr="00A07CF3">
                    <w:rPr>
                      <w:rFonts w:ascii="Arial" w:eastAsia="等线" w:hAnsi="Arial" w:cs="Arial"/>
                      <w:b/>
                      <w:kern w:val="24"/>
                      <w:sz w:val="16"/>
                      <w:szCs w:val="16"/>
                    </w:rPr>
                    <w:t>Total number of beam footprints***</w:t>
                  </w:r>
                </w:p>
              </w:tc>
              <w:tc>
                <w:tcPr>
                  <w:tcW w:w="1368" w:type="pct"/>
                  <w:shd w:val="clear" w:color="auto" w:fill="auto"/>
                  <w:vAlign w:val="center"/>
                </w:tcPr>
                <w:p w14:paraId="66D22C5B"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1058</w:t>
                  </w:r>
                </w:p>
              </w:tc>
            </w:tr>
            <w:tr w:rsidR="00575447" w14:paraId="15A60B6F" w14:textId="77777777">
              <w:trPr>
                <w:trHeight w:val="132"/>
                <w:jc w:val="center"/>
              </w:trPr>
              <w:tc>
                <w:tcPr>
                  <w:tcW w:w="3632" w:type="pct"/>
                  <w:shd w:val="clear" w:color="auto" w:fill="auto"/>
                  <w:vAlign w:val="center"/>
                </w:tcPr>
                <w:p w14:paraId="20544C13" w14:textId="77777777" w:rsidR="00575447" w:rsidRPr="00A07CF3" w:rsidRDefault="00000000">
                  <w:pPr>
                    <w:rPr>
                      <w:rFonts w:ascii="Arial" w:hAnsi="Arial" w:cs="Arial"/>
                      <w:b/>
                      <w:bCs w:val="0"/>
                      <w:sz w:val="16"/>
                      <w:szCs w:val="16"/>
                    </w:rPr>
                  </w:pPr>
                  <w:r w:rsidRPr="00A07CF3">
                    <w:rPr>
                      <w:rFonts w:ascii="Arial" w:hAnsi="Arial" w:cs="Arial"/>
                      <w:b/>
                      <w:kern w:val="24"/>
                      <w:sz w:val="16"/>
                      <w:szCs w:val="16"/>
                    </w:rPr>
                    <w:t>Total number of simultaneously active beams **</w:t>
                  </w:r>
                </w:p>
              </w:tc>
              <w:tc>
                <w:tcPr>
                  <w:tcW w:w="1368" w:type="pct"/>
                  <w:shd w:val="clear" w:color="auto" w:fill="auto"/>
                  <w:vAlign w:val="center"/>
                </w:tcPr>
                <w:p w14:paraId="5CF74885"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106</w:t>
                  </w:r>
                </w:p>
              </w:tc>
            </w:tr>
            <w:tr w:rsidR="00575447" w14:paraId="67843630" w14:textId="77777777">
              <w:trPr>
                <w:trHeight w:val="110"/>
                <w:jc w:val="center"/>
              </w:trPr>
              <w:tc>
                <w:tcPr>
                  <w:tcW w:w="3632" w:type="pct"/>
                  <w:shd w:val="clear" w:color="auto" w:fill="auto"/>
                  <w:vAlign w:val="center"/>
                </w:tcPr>
                <w:p w14:paraId="1E115122" w14:textId="77777777" w:rsidR="00575447" w:rsidRPr="00A07CF3" w:rsidRDefault="00000000">
                  <w:pPr>
                    <w:rPr>
                      <w:rFonts w:ascii="Arial" w:hAnsi="Arial" w:cs="Arial"/>
                      <w:b/>
                      <w:bCs w:val="0"/>
                      <w:sz w:val="16"/>
                      <w:szCs w:val="16"/>
                    </w:rPr>
                  </w:pPr>
                  <w:r w:rsidRPr="00A07CF3">
                    <w:rPr>
                      <w:rFonts w:ascii="Arial" w:eastAsia="等线" w:hAnsi="Arial" w:cs="Arial"/>
                      <w:b/>
                      <w:kern w:val="24"/>
                      <w:sz w:val="16"/>
                      <w:szCs w:val="16"/>
                      <w:lang w:val="fr-FR"/>
                    </w:rPr>
                    <w:t>% simultaneously active beams**</w:t>
                  </w:r>
                </w:p>
              </w:tc>
              <w:tc>
                <w:tcPr>
                  <w:tcW w:w="1368" w:type="pct"/>
                  <w:shd w:val="clear" w:color="auto" w:fill="auto"/>
                  <w:vAlign w:val="center"/>
                </w:tcPr>
                <w:p w14:paraId="1962347C"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lang w:val="fr-FR"/>
                    </w:rPr>
                    <w:t>10.02 %</w:t>
                  </w:r>
                </w:p>
              </w:tc>
            </w:tr>
            <w:tr w:rsidR="00575447" w14:paraId="08074BFE" w14:textId="77777777">
              <w:trPr>
                <w:trHeight w:val="439"/>
                <w:jc w:val="center"/>
              </w:trPr>
              <w:tc>
                <w:tcPr>
                  <w:tcW w:w="5000" w:type="pct"/>
                  <w:gridSpan w:val="2"/>
                  <w:shd w:val="clear" w:color="auto" w:fill="auto"/>
                  <w:vAlign w:val="center"/>
                </w:tcPr>
                <w:p w14:paraId="561FB1AB" w14:textId="77777777" w:rsidR="00575447" w:rsidRDefault="00000000">
                  <w:pPr>
                    <w:ind w:left="850" w:hanging="850"/>
                    <w:rPr>
                      <w:rFonts w:ascii="Arial" w:hAnsi="Arial" w:cs="Arial"/>
                      <w:b/>
                      <w:bCs w:val="0"/>
                      <w:sz w:val="16"/>
                      <w:szCs w:val="16"/>
                    </w:rPr>
                  </w:pPr>
                  <w:r>
                    <w:rPr>
                      <w:rFonts w:ascii="Arial" w:hAnsi="Arial" w:cs="Arial"/>
                      <w:kern w:val="24"/>
                      <w:sz w:val="16"/>
                      <w:szCs w:val="16"/>
                    </w:rPr>
                    <w:t>*</w:t>
                  </w:r>
                  <w:r>
                    <w:rPr>
                      <w:rFonts w:ascii="Arial" w:hAnsi="Arial" w:cs="Arial"/>
                      <w:b/>
                      <w:kern w:val="24"/>
                      <w:sz w:val="16"/>
                      <w:szCs w:val="16"/>
                    </w:rPr>
                    <w:t xml:space="preserve">Note: EIRP limit is 61.24 dBm for the reference configuration. </w:t>
                  </w:r>
                </w:p>
                <w:p w14:paraId="18EFCBFC" w14:textId="77777777" w:rsidR="00575447" w:rsidRDefault="00000000">
                  <w:pPr>
                    <w:rPr>
                      <w:rFonts w:ascii="Arial" w:hAnsi="Arial" w:cs="Arial"/>
                      <w:b/>
                      <w:bCs w:val="0"/>
                      <w:kern w:val="24"/>
                      <w:sz w:val="16"/>
                      <w:szCs w:val="16"/>
                    </w:rPr>
                  </w:pPr>
                  <w:r>
                    <w:rPr>
                      <w:rFonts w:ascii="Arial" w:eastAsia="等线" w:hAnsi="Arial" w:cs="Arial"/>
                      <w:b/>
                      <w:kern w:val="24"/>
                      <w:sz w:val="16"/>
                      <w:szCs w:val="16"/>
                    </w:rPr>
                    <w:t xml:space="preserve">**Assuming 100 % Resource Block utilization within the same beam at max power. </w:t>
                  </w:r>
                  <w:r>
                    <w:rPr>
                      <w:rFonts w:ascii="Arial" w:hAnsi="Arial" w:cs="Arial"/>
                      <w:b/>
                      <w:kern w:val="24"/>
                      <w:sz w:val="16"/>
                      <w:szCs w:val="16"/>
                    </w:rPr>
                    <w:t xml:space="preserve">Absolute number of simultaneously active beams is up to 212 (due to limitation of RF) </w:t>
                  </w:r>
                </w:p>
                <w:p w14:paraId="42713460" w14:textId="77777777" w:rsidR="00575447" w:rsidRDefault="00000000">
                  <w:pPr>
                    <w:rPr>
                      <w:rFonts w:ascii="Arial" w:hAnsi="Arial" w:cs="Arial"/>
                      <w:b/>
                      <w:bCs w:val="0"/>
                      <w:kern w:val="24"/>
                      <w:sz w:val="16"/>
                      <w:szCs w:val="16"/>
                    </w:rPr>
                  </w:pPr>
                  <w:r>
                    <w:rPr>
                      <w:rFonts w:ascii="Arial" w:hAnsi="Arial" w:cs="Arial"/>
                      <w:b/>
                      <w:kern w:val="24"/>
                      <w:sz w:val="16"/>
                      <w:szCs w:val="16"/>
                    </w:rPr>
                    <w:t>*** For a constellation design at 600km with low elevation angle with 30° and selected (</w:t>
                  </w:r>
                  <w:proofErr w:type="spellStart"/>
                  <w:r>
                    <w:rPr>
                      <w:rFonts w:ascii="Arial" w:hAnsi="Arial" w:cs="Arial"/>
                      <w:b/>
                      <w:kern w:val="24"/>
                      <w:sz w:val="16"/>
                      <w:szCs w:val="16"/>
                    </w:rPr>
                    <w:t>i.e</w:t>
                  </w:r>
                  <w:proofErr w:type="spellEnd"/>
                  <w:r>
                    <w:rPr>
                      <w:rFonts w:ascii="Arial" w:hAnsi="Arial" w:cs="Arial"/>
                      <w:b/>
                      <w:kern w:val="24"/>
                      <w:sz w:val="16"/>
                      <w:szCs w:val="16"/>
                    </w:rPr>
                    <w:t xml:space="preserve"> Set 1 parameters) beam size</w:t>
                  </w:r>
                </w:p>
                <w:p w14:paraId="0BF318B3" w14:textId="77777777" w:rsidR="00575447" w:rsidRDefault="00000000">
                  <w:pPr>
                    <w:rPr>
                      <w:rFonts w:ascii="Arial" w:eastAsia="等线" w:hAnsi="Arial" w:cs="Arial"/>
                      <w:b/>
                      <w:bCs w:val="0"/>
                      <w:kern w:val="24"/>
                      <w:sz w:val="16"/>
                      <w:szCs w:val="16"/>
                    </w:rPr>
                  </w:pPr>
                  <w:r>
                    <w:rPr>
                      <w:rFonts w:ascii="Arial" w:eastAsia="等线" w:hAnsi="Arial" w:cs="Arial"/>
                      <w:b/>
                      <w:kern w:val="24"/>
                      <w:sz w:val="16"/>
                      <w:szCs w:val="16"/>
                    </w:rPr>
                    <w:t>Note 1: At least this beam size is considered in this scenario, larger beam sizes maybe evaluated and reported by companies</w:t>
                  </w:r>
                </w:p>
              </w:tc>
            </w:tr>
          </w:tbl>
          <w:p w14:paraId="1AFB1542" w14:textId="77777777" w:rsidR="00575447" w:rsidRDefault="00575447"/>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75447" w14:paraId="0921A09F" w14:textId="77777777">
              <w:trPr>
                <w:gridAfter w:val="1"/>
                <w:wAfter w:w="1368" w:type="pct"/>
                <w:trHeight w:val="300"/>
                <w:jc w:val="center"/>
              </w:trPr>
              <w:tc>
                <w:tcPr>
                  <w:tcW w:w="3632" w:type="pct"/>
                  <w:tcBorders>
                    <w:bottom w:val="single" w:sz="12" w:space="0" w:color="666666"/>
                  </w:tcBorders>
                  <w:shd w:val="clear" w:color="auto" w:fill="00B0F0"/>
                  <w:vAlign w:val="center"/>
                </w:tcPr>
                <w:p w14:paraId="2D6B517B" w14:textId="77777777" w:rsidR="00575447" w:rsidRDefault="00000000">
                  <w:pPr>
                    <w:jc w:val="center"/>
                    <w:rPr>
                      <w:rFonts w:ascii="Arial" w:hAnsi="Arial" w:cs="Arial"/>
                      <w:b/>
                      <w:bCs w:val="0"/>
                      <w:sz w:val="16"/>
                      <w:szCs w:val="16"/>
                    </w:rPr>
                  </w:pPr>
                  <w:r w:rsidRPr="00A07CF3">
                    <w:rPr>
                      <w:rFonts w:ascii="Arial" w:hAnsi="Arial" w:cs="Arial"/>
                      <w:b/>
                      <w:kern w:val="24"/>
                      <w:sz w:val="16"/>
                      <w:szCs w:val="16"/>
                    </w:rPr>
                    <w:t>LEO600km Set1-2</w:t>
                  </w:r>
                  <w:r>
                    <w:rPr>
                      <w:rFonts w:ascii="Arial" w:hAnsi="Arial" w:cs="Arial"/>
                      <w:b/>
                      <w:kern w:val="24"/>
                      <w:sz w:val="16"/>
                      <w:szCs w:val="16"/>
                    </w:rPr>
                    <w:t xml:space="preserve"> FR1 (i.e., S-band)</w:t>
                  </w:r>
                </w:p>
              </w:tc>
            </w:tr>
            <w:tr w:rsidR="00575447" w14:paraId="26ED0EA6" w14:textId="77777777">
              <w:trPr>
                <w:trHeight w:val="54"/>
                <w:jc w:val="center"/>
              </w:trPr>
              <w:tc>
                <w:tcPr>
                  <w:tcW w:w="3632" w:type="pct"/>
                  <w:shd w:val="clear" w:color="auto" w:fill="auto"/>
                  <w:vAlign w:val="center"/>
                </w:tcPr>
                <w:p w14:paraId="6A1BAB6E" w14:textId="77777777" w:rsidR="00575447" w:rsidRDefault="00000000">
                  <w:pPr>
                    <w:rPr>
                      <w:rFonts w:ascii="Arial" w:hAnsi="Arial" w:cs="Arial"/>
                      <w:b/>
                      <w:bCs w:val="0"/>
                      <w:sz w:val="16"/>
                      <w:szCs w:val="16"/>
                    </w:rPr>
                  </w:pPr>
                  <w:r>
                    <w:rPr>
                      <w:rFonts w:ascii="Arial" w:hAnsi="Arial" w:cs="Arial"/>
                      <w:b/>
                      <w:kern w:val="24"/>
                      <w:sz w:val="16"/>
                      <w:szCs w:val="16"/>
                    </w:rPr>
                    <w:t>Maximum Bandwidth per beam</w:t>
                  </w:r>
                </w:p>
              </w:tc>
              <w:tc>
                <w:tcPr>
                  <w:tcW w:w="1368" w:type="pct"/>
                  <w:shd w:val="clear" w:color="auto" w:fill="auto"/>
                  <w:vAlign w:val="center"/>
                </w:tcPr>
                <w:p w14:paraId="428C9997"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5 MHz</w:t>
                  </w:r>
                </w:p>
              </w:tc>
            </w:tr>
            <w:tr w:rsidR="00575447" w14:paraId="669B3750" w14:textId="77777777">
              <w:trPr>
                <w:trHeight w:val="37"/>
                <w:jc w:val="center"/>
              </w:trPr>
              <w:tc>
                <w:tcPr>
                  <w:tcW w:w="3632" w:type="pct"/>
                  <w:shd w:val="clear" w:color="auto" w:fill="auto"/>
                  <w:vAlign w:val="center"/>
                </w:tcPr>
                <w:p w14:paraId="6F57B325" w14:textId="77777777" w:rsidR="00575447" w:rsidRDefault="00000000">
                  <w:pPr>
                    <w:rPr>
                      <w:rFonts w:ascii="Arial" w:hAnsi="Arial" w:cs="Arial"/>
                      <w:b/>
                      <w:bCs w:val="0"/>
                      <w:sz w:val="16"/>
                      <w:szCs w:val="16"/>
                    </w:rPr>
                  </w:pPr>
                  <w:r>
                    <w:rPr>
                      <w:rFonts w:ascii="Arial" w:hAnsi="Arial" w:cs="Arial"/>
                      <w:b/>
                      <w:kern w:val="24"/>
                      <w:sz w:val="16"/>
                      <w:szCs w:val="16"/>
                    </w:rPr>
                    <w:t>SCS</w:t>
                  </w:r>
                </w:p>
              </w:tc>
              <w:tc>
                <w:tcPr>
                  <w:tcW w:w="1368" w:type="pct"/>
                  <w:shd w:val="clear" w:color="auto" w:fill="auto"/>
                  <w:vAlign w:val="center"/>
                </w:tcPr>
                <w:p w14:paraId="12807F2A"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15 kHz</w:t>
                  </w:r>
                </w:p>
              </w:tc>
            </w:tr>
            <w:tr w:rsidR="00575447" w14:paraId="5D5DFEBE" w14:textId="77777777">
              <w:trPr>
                <w:trHeight w:val="37"/>
                <w:jc w:val="center"/>
              </w:trPr>
              <w:tc>
                <w:tcPr>
                  <w:tcW w:w="3632" w:type="pct"/>
                  <w:shd w:val="clear" w:color="auto" w:fill="auto"/>
                  <w:vAlign w:val="center"/>
                </w:tcPr>
                <w:p w14:paraId="6BA5D5B8" w14:textId="77777777" w:rsidR="00575447" w:rsidRDefault="00000000">
                  <w:pPr>
                    <w:rPr>
                      <w:rFonts w:ascii="Arial" w:hAnsi="Arial" w:cs="Arial"/>
                      <w:b/>
                      <w:bCs w:val="0"/>
                      <w:sz w:val="16"/>
                      <w:szCs w:val="16"/>
                    </w:rPr>
                  </w:pPr>
                  <w:r>
                    <w:rPr>
                      <w:rFonts w:ascii="Arial" w:eastAsia="等线" w:hAnsi="Arial" w:cs="Arial"/>
                      <w:b/>
                      <w:kern w:val="24"/>
                      <w:sz w:val="16"/>
                      <w:szCs w:val="16"/>
                    </w:rPr>
                    <w:t>Beam size (note 1)</w:t>
                  </w:r>
                </w:p>
              </w:tc>
              <w:tc>
                <w:tcPr>
                  <w:tcW w:w="1368" w:type="pct"/>
                  <w:shd w:val="clear" w:color="auto" w:fill="auto"/>
                  <w:vAlign w:val="center"/>
                </w:tcPr>
                <w:p w14:paraId="5404F5FE"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50km</w:t>
                  </w:r>
                </w:p>
              </w:tc>
            </w:tr>
            <w:tr w:rsidR="00575447" w14:paraId="0DB2905F" w14:textId="77777777">
              <w:trPr>
                <w:trHeight w:val="56"/>
                <w:jc w:val="center"/>
              </w:trPr>
              <w:tc>
                <w:tcPr>
                  <w:tcW w:w="3632" w:type="pct"/>
                  <w:shd w:val="clear" w:color="auto" w:fill="auto"/>
                  <w:vAlign w:val="center"/>
                </w:tcPr>
                <w:p w14:paraId="7A02A752" w14:textId="77777777" w:rsidR="00575447" w:rsidRDefault="00000000">
                  <w:pPr>
                    <w:rPr>
                      <w:rFonts w:ascii="Arial" w:hAnsi="Arial" w:cs="Arial"/>
                      <w:b/>
                      <w:bCs w:val="0"/>
                      <w:sz w:val="16"/>
                      <w:szCs w:val="16"/>
                    </w:rPr>
                  </w:pPr>
                  <w:r>
                    <w:rPr>
                      <w:rFonts w:ascii="Arial" w:eastAsia="等线" w:hAnsi="Arial" w:cs="Arial"/>
                      <w:b/>
                      <w:kern w:val="24"/>
                      <w:sz w:val="16"/>
                      <w:szCs w:val="16"/>
                    </w:rPr>
                    <w:t>Satellite EIRP density /beam (</w:t>
                  </w:r>
                  <w:proofErr w:type="spellStart"/>
                  <w:r>
                    <w:rPr>
                      <w:rFonts w:ascii="Arial" w:eastAsia="等线" w:hAnsi="Arial" w:cs="Arial"/>
                      <w:b/>
                      <w:kern w:val="24"/>
                      <w:sz w:val="16"/>
                      <w:szCs w:val="16"/>
                    </w:rPr>
                    <w:t>dBW</w:t>
                  </w:r>
                  <w:proofErr w:type="spellEnd"/>
                  <w:r>
                    <w:rPr>
                      <w:rFonts w:ascii="Arial" w:eastAsia="等线" w:hAnsi="Arial" w:cs="Arial"/>
                      <w:b/>
                      <w:kern w:val="24"/>
                      <w:sz w:val="16"/>
                      <w:szCs w:val="16"/>
                    </w:rPr>
                    <w:t>/MHz)</w:t>
                  </w:r>
                </w:p>
              </w:tc>
              <w:tc>
                <w:tcPr>
                  <w:tcW w:w="1368" w:type="pct"/>
                  <w:shd w:val="clear" w:color="auto" w:fill="auto"/>
                  <w:vAlign w:val="center"/>
                </w:tcPr>
                <w:p w14:paraId="52D9EEFF"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34</w:t>
                  </w:r>
                </w:p>
              </w:tc>
            </w:tr>
            <w:tr w:rsidR="00575447" w14:paraId="55A086BF" w14:textId="77777777">
              <w:trPr>
                <w:trHeight w:val="88"/>
                <w:jc w:val="center"/>
              </w:trPr>
              <w:tc>
                <w:tcPr>
                  <w:tcW w:w="3632" w:type="pct"/>
                  <w:shd w:val="clear" w:color="auto" w:fill="auto"/>
                  <w:vAlign w:val="center"/>
                </w:tcPr>
                <w:p w14:paraId="165936ED" w14:textId="77777777" w:rsidR="00575447" w:rsidRDefault="00000000">
                  <w:pPr>
                    <w:rPr>
                      <w:rFonts w:ascii="Arial" w:hAnsi="Arial" w:cs="Arial"/>
                      <w:b/>
                      <w:bCs w:val="0"/>
                      <w:sz w:val="16"/>
                      <w:szCs w:val="16"/>
                    </w:rPr>
                  </w:pPr>
                  <w:r>
                    <w:rPr>
                      <w:rFonts w:ascii="Arial" w:hAnsi="Arial" w:cs="Arial"/>
                      <w:b/>
                      <w:kern w:val="24"/>
                      <w:sz w:val="16"/>
                      <w:szCs w:val="16"/>
                    </w:rPr>
                    <w:t>Payload Total DL power level (</w:t>
                  </w:r>
                  <w:proofErr w:type="spellStart"/>
                  <w:r>
                    <w:rPr>
                      <w:rFonts w:ascii="Arial" w:hAnsi="Arial" w:cs="Arial"/>
                      <w:b/>
                      <w:kern w:val="24"/>
                      <w:sz w:val="16"/>
                      <w:szCs w:val="16"/>
                    </w:rPr>
                    <w:t>dBW</w:t>
                  </w:r>
                  <w:proofErr w:type="spellEnd"/>
                  <w:r>
                    <w:rPr>
                      <w:rFonts w:ascii="Arial" w:hAnsi="Arial" w:cs="Arial"/>
                      <w:b/>
                      <w:kern w:val="24"/>
                      <w:sz w:val="16"/>
                      <w:szCs w:val="16"/>
                    </w:rPr>
                    <w:t>)</w:t>
                  </w:r>
                </w:p>
              </w:tc>
              <w:tc>
                <w:tcPr>
                  <w:tcW w:w="1368" w:type="pct"/>
                  <w:shd w:val="clear" w:color="auto" w:fill="auto"/>
                  <w:vAlign w:val="center"/>
                </w:tcPr>
                <w:p w14:paraId="779CCE3A"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23</w:t>
                  </w:r>
                </w:p>
              </w:tc>
            </w:tr>
            <w:tr w:rsidR="00575447" w14:paraId="1B9A5E8D" w14:textId="77777777">
              <w:trPr>
                <w:trHeight w:val="43"/>
                <w:jc w:val="center"/>
              </w:trPr>
              <w:tc>
                <w:tcPr>
                  <w:tcW w:w="3632" w:type="pct"/>
                  <w:shd w:val="clear" w:color="auto" w:fill="auto"/>
                  <w:vAlign w:val="center"/>
                </w:tcPr>
                <w:p w14:paraId="0A5E3B03" w14:textId="77777777" w:rsidR="00575447" w:rsidRDefault="00000000">
                  <w:pPr>
                    <w:rPr>
                      <w:rFonts w:ascii="Arial" w:hAnsi="Arial" w:cs="Arial"/>
                      <w:b/>
                      <w:bCs w:val="0"/>
                      <w:sz w:val="16"/>
                      <w:szCs w:val="16"/>
                    </w:rPr>
                  </w:pPr>
                  <w:r>
                    <w:rPr>
                      <w:rFonts w:ascii="Arial" w:hAnsi="Arial" w:cs="Arial"/>
                      <w:b/>
                      <w:kern w:val="24"/>
                      <w:sz w:val="16"/>
                      <w:szCs w:val="16"/>
                    </w:rPr>
                    <w:t>Aggregated EIRP (Total) (</w:t>
                  </w:r>
                  <w:proofErr w:type="spellStart"/>
                  <w:r>
                    <w:rPr>
                      <w:rFonts w:ascii="Arial" w:hAnsi="Arial" w:cs="Arial"/>
                      <w:b/>
                      <w:kern w:val="24"/>
                      <w:sz w:val="16"/>
                      <w:szCs w:val="16"/>
                    </w:rPr>
                    <w:t>dBW</w:t>
                  </w:r>
                  <w:proofErr w:type="spellEnd"/>
                  <w:r>
                    <w:rPr>
                      <w:rFonts w:ascii="Arial" w:hAnsi="Arial" w:cs="Arial"/>
                      <w:b/>
                      <w:kern w:val="24"/>
                      <w:sz w:val="16"/>
                      <w:szCs w:val="16"/>
                    </w:rPr>
                    <w:t>)</w:t>
                  </w:r>
                </w:p>
              </w:tc>
              <w:tc>
                <w:tcPr>
                  <w:tcW w:w="1368" w:type="pct"/>
                  <w:shd w:val="clear" w:color="auto" w:fill="auto"/>
                  <w:vAlign w:val="center"/>
                </w:tcPr>
                <w:p w14:paraId="5C0A8B99"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53*</w:t>
                  </w:r>
                </w:p>
              </w:tc>
            </w:tr>
            <w:tr w:rsidR="00575447" w14:paraId="2835DD01" w14:textId="77777777">
              <w:trPr>
                <w:trHeight w:val="37"/>
                <w:jc w:val="center"/>
              </w:trPr>
              <w:tc>
                <w:tcPr>
                  <w:tcW w:w="3632" w:type="pct"/>
                  <w:shd w:val="clear" w:color="auto" w:fill="auto"/>
                  <w:vAlign w:val="center"/>
                </w:tcPr>
                <w:p w14:paraId="0C2A0544" w14:textId="77777777" w:rsidR="00575447" w:rsidRDefault="00000000">
                  <w:pPr>
                    <w:rPr>
                      <w:rFonts w:ascii="Arial" w:hAnsi="Arial" w:cs="Arial"/>
                      <w:b/>
                      <w:bCs w:val="0"/>
                      <w:sz w:val="16"/>
                      <w:szCs w:val="16"/>
                    </w:rPr>
                  </w:pPr>
                  <w:r>
                    <w:rPr>
                      <w:rFonts w:ascii="Arial" w:hAnsi="Arial" w:cs="Arial"/>
                      <w:b/>
                      <w:kern w:val="24"/>
                      <w:sz w:val="16"/>
                      <w:szCs w:val="16"/>
                    </w:rPr>
                    <w:t>Satellite Tx max Gain</w:t>
                  </w:r>
                </w:p>
              </w:tc>
              <w:tc>
                <w:tcPr>
                  <w:tcW w:w="1368" w:type="pct"/>
                  <w:shd w:val="clear" w:color="auto" w:fill="auto"/>
                  <w:vAlign w:val="center"/>
                </w:tcPr>
                <w:p w14:paraId="4318C477"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 xml:space="preserve">30 </w:t>
                  </w:r>
                  <w:proofErr w:type="spellStart"/>
                  <w:r w:rsidRPr="00A07CF3">
                    <w:rPr>
                      <w:rFonts w:ascii="Arial" w:hAnsi="Arial" w:cs="Arial"/>
                      <w:kern w:val="24"/>
                      <w:sz w:val="16"/>
                      <w:szCs w:val="16"/>
                    </w:rPr>
                    <w:t>dBi</w:t>
                  </w:r>
                  <w:proofErr w:type="spellEnd"/>
                </w:p>
              </w:tc>
            </w:tr>
            <w:tr w:rsidR="00575447" w14:paraId="2D515A87" w14:textId="77777777">
              <w:trPr>
                <w:trHeight w:val="37"/>
                <w:jc w:val="center"/>
              </w:trPr>
              <w:tc>
                <w:tcPr>
                  <w:tcW w:w="3632" w:type="pct"/>
                  <w:shd w:val="clear" w:color="auto" w:fill="auto"/>
                  <w:vAlign w:val="center"/>
                </w:tcPr>
                <w:p w14:paraId="356C25B0" w14:textId="77777777" w:rsidR="00575447" w:rsidRDefault="00000000">
                  <w:pPr>
                    <w:rPr>
                      <w:rFonts w:ascii="Arial" w:hAnsi="Arial" w:cs="Arial"/>
                      <w:b/>
                      <w:bCs w:val="0"/>
                      <w:sz w:val="16"/>
                      <w:szCs w:val="16"/>
                      <w:lang w:val="de-DE"/>
                    </w:rPr>
                  </w:pPr>
                  <w:r>
                    <w:rPr>
                      <w:rFonts w:ascii="Arial" w:hAnsi="Arial" w:cs="Arial"/>
                      <w:b/>
                      <w:kern w:val="24"/>
                      <w:sz w:val="16"/>
                      <w:szCs w:val="16"/>
                      <w:lang w:val="de-DE"/>
                    </w:rPr>
                    <w:t>Maximum EIRP per Satellite beam (dBW)</w:t>
                  </w:r>
                </w:p>
              </w:tc>
              <w:tc>
                <w:tcPr>
                  <w:tcW w:w="1368" w:type="pct"/>
                  <w:shd w:val="clear" w:color="auto" w:fill="auto"/>
                  <w:vAlign w:val="center"/>
                </w:tcPr>
                <w:p w14:paraId="10EE9EDE"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41</w:t>
                  </w:r>
                </w:p>
              </w:tc>
            </w:tr>
            <w:tr w:rsidR="00575447" w14:paraId="405E087E" w14:textId="77777777">
              <w:trPr>
                <w:trHeight w:val="37"/>
                <w:jc w:val="center"/>
              </w:trPr>
              <w:tc>
                <w:tcPr>
                  <w:tcW w:w="3632" w:type="pct"/>
                  <w:shd w:val="clear" w:color="auto" w:fill="auto"/>
                  <w:vAlign w:val="center"/>
                </w:tcPr>
                <w:p w14:paraId="250AC982" w14:textId="77777777" w:rsidR="00575447" w:rsidRDefault="00000000">
                  <w:pPr>
                    <w:rPr>
                      <w:rFonts w:ascii="Arial" w:hAnsi="Arial" w:cs="Arial"/>
                      <w:b/>
                      <w:bCs w:val="0"/>
                      <w:sz w:val="16"/>
                      <w:szCs w:val="16"/>
                    </w:rPr>
                  </w:pPr>
                  <w:r>
                    <w:rPr>
                      <w:rFonts w:ascii="Arial" w:eastAsia="等线" w:hAnsi="Arial" w:cs="Arial"/>
                      <w:b/>
                      <w:kern w:val="24"/>
                      <w:sz w:val="16"/>
                      <w:szCs w:val="16"/>
                    </w:rPr>
                    <w:t>Total number of beam footprints</w:t>
                  </w:r>
                </w:p>
              </w:tc>
              <w:tc>
                <w:tcPr>
                  <w:tcW w:w="1368" w:type="pct"/>
                  <w:shd w:val="clear" w:color="auto" w:fill="auto"/>
                  <w:vAlign w:val="center"/>
                </w:tcPr>
                <w:p w14:paraId="29E13940"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1058</w:t>
                  </w:r>
                </w:p>
              </w:tc>
            </w:tr>
            <w:tr w:rsidR="00575447" w14:paraId="07FB321C" w14:textId="77777777">
              <w:trPr>
                <w:trHeight w:val="37"/>
                <w:jc w:val="center"/>
              </w:trPr>
              <w:tc>
                <w:tcPr>
                  <w:tcW w:w="3632" w:type="pct"/>
                  <w:shd w:val="clear" w:color="auto" w:fill="auto"/>
                  <w:vAlign w:val="center"/>
                </w:tcPr>
                <w:p w14:paraId="7278A51C" w14:textId="77777777" w:rsidR="00575447" w:rsidRDefault="00000000">
                  <w:pPr>
                    <w:rPr>
                      <w:rFonts w:ascii="Arial" w:hAnsi="Arial" w:cs="Arial"/>
                      <w:b/>
                      <w:bCs w:val="0"/>
                      <w:sz w:val="16"/>
                      <w:szCs w:val="16"/>
                    </w:rPr>
                  </w:pPr>
                  <w:r>
                    <w:rPr>
                      <w:rFonts w:ascii="Arial" w:hAnsi="Arial" w:cs="Arial"/>
                      <w:b/>
                      <w:kern w:val="24"/>
                      <w:sz w:val="16"/>
                      <w:szCs w:val="16"/>
                    </w:rPr>
                    <w:t>Total number of simultaneously active beams**</w:t>
                  </w:r>
                </w:p>
              </w:tc>
              <w:tc>
                <w:tcPr>
                  <w:tcW w:w="1368" w:type="pct"/>
                  <w:shd w:val="clear" w:color="auto" w:fill="auto"/>
                  <w:vAlign w:val="center"/>
                </w:tcPr>
                <w:p w14:paraId="19630D20"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16</w:t>
                  </w:r>
                </w:p>
              </w:tc>
            </w:tr>
            <w:tr w:rsidR="00575447" w14:paraId="2F7E93E3" w14:textId="77777777">
              <w:trPr>
                <w:trHeight w:val="126"/>
                <w:jc w:val="center"/>
              </w:trPr>
              <w:tc>
                <w:tcPr>
                  <w:tcW w:w="3632" w:type="pct"/>
                  <w:shd w:val="clear" w:color="auto" w:fill="auto"/>
                  <w:vAlign w:val="center"/>
                </w:tcPr>
                <w:p w14:paraId="4ABE1977" w14:textId="77777777" w:rsidR="00575447" w:rsidRDefault="00000000">
                  <w:pPr>
                    <w:rPr>
                      <w:rFonts w:ascii="Arial" w:hAnsi="Arial" w:cs="Arial"/>
                      <w:b/>
                      <w:bCs w:val="0"/>
                      <w:sz w:val="16"/>
                      <w:szCs w:val="16"/>
                    </w:rPr>
                  </w:pPr>
                  <w:r>
                    <w:rPr>
                      <w:rFonts w:ascii="Arial" w:eastAsia="等线" w:hAnsi="Arial" w:cs="Arial"/>
                      <w:b/>
                      <w:kern w:val="24"/>
                      <w:sz w:val="16"/>
                      <w:szCs w:val="16"/>
                      <w:lang w:val="fr-FR"/>
                    </w:rPr>
                    <w:t>% simultaneously active beams**</w:t>
                  </w:r>
                </w:p>
              </w:tc>
              <w:tc>
                <w:tcPr>
                  <w:tcW w:w="1368" w:type="pct"/>
                  <w:shd w:val="clear" w:color="auto" w:fill="auto"/>
                  <w:vAlign w:val="center"/>
                </w:tcPr>
                <w:p w14:paraId="79E3B408"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1.5 %</w:t>
                  </w:r>
                </w:p>
              </w:tc>
            </w:tr>
            <w:tr w:rsidR="00575447" w14:paraId="49F5C3B1" w14:textId="77777777">
              <w:trPr>
                <w:trHeight w:val="37"/>
                <w:jc w:val="center"/>
              </w:trPr>
              <w:tc>
                <w:tcPr>
                  <w:tcW w:w="5000" w:type="pct"/>
                  <w:gridSpan w:val="2"/>
                  <w:shd w:val="clear" w:color="auto" w:fill="auto"/>
                  <w:vAlign w:val="center"/>
                </w:tcPr>
                <w:p w14:paraId="25FC4468" w14:textId="77777777" w:rsidR="00575447" w:rsidRDefault="00000000">
                  <w:pPr>
                    <w:ind w:left="850" w:hanging="850"/>
                    <w:rPr>
                      <w:rFonts w:ascii="Arial" w:hAnsi="Arial" w:cs="Arial"/>
                      <w:b/>
                      <w:bCs w:val="0"/>
                      <w:kern w:val="24"/>
                      <w:sz w:val="16"/>
                      <w:szCs w:val="16"/>
                    </w:rPr>
                  </w:pPr>
                  <w:r>
                    <w:rPr>
                      <w:rFonts w:ascii="Arial" w:hAnsi="Arial" w:cs="Arial"/>
                      <w:b/>
                      <w:kern w:val="24"/>
                      <w:sz w:val="16"/>
                      <w:szCs w:val="16"/>
                    </w:rPr>
                    <w:t xml:space="preserve">*Note: EIRP limit is 53 dBm for the reference configuration. </w:t>
                  </w:r>
                </w:p>
                <w:p w14:paraId="59D9148F" w14:textId="77777777" w:rsidR="00575447" w:rsidRDefault="00000000">
                  <w:pPr>
                    <w:rPr>
                      <w:rFonts w:ascii="Arial" w:eastAsia="等线" w:hAnsi="Arial" w:cs="Arial"/>
                      <w:b/>
                      <w:bCs w:val="0"/>
                      <w:kern w:val="24"/>
                      <w:sz w:val="16"/>
                      <w:szCs w:val="16"/>
                    </w:rPr>
                  </w:pPr>
                  <w:r>
                    <w:rPr>
                      <w:rFonts w:ascii="Arial" w:hAnsi="Arial" w:cs="Arial"/>
                      <w:b/>
                      <w:kern w:val="24"/>
                      <w:sz w:val="16"/>
                      <w:szCs w:val="16"/>
                    </w:rPr>
                    <w:t>**Absolute number of simultaneously active beams is up to 16 (due to limitation of RF)</w:t>
                  </w:r>
                </w:p>
                <w:p w14:paraId="77F6966D" w14:textId="77777777" w:rsidR="00575447" w:rsidRDefault="00000000">
                  <w:pPr>
                    <w:rPr>
                      <w:rFonts w:ascii="Arial" w:eastAsia="等线" w:hAnsi="Arial" w:cs="Arial"/>
                      <w:b/>
                      <w:bCs w:val="0"/>
                      <w:kern w:val="24"/>
                      <w:sz w:val="16"/>
                      <w:szCs w:val="16"/>
                    </w:rPr>
                  </w:pPr>
                  <w:r>
                    <w:rPr>
                      <w:rFonts w:ascii="Arial" w:eastAsia="等线" w:hAnsi="Arial" w:cs="Arial"/>
                      <w:b/>
                      <w:kern w:val="24"/>
                      <w:sz w:val="16"/>
                      <w:szCs w:val="16"/>
                    </w:rPr>
                    <w:t>Note 1: At least this beam size is considered in this scenario, larger beam sizes maybe evaluated and reported by companies</w:t>
                  </w:r>
                </w:p>
              </w:tc>
            </w:tr>
          </w:tbl>
          <w:p w14:paraId="74612CF2" w14:textId="77777777" w:rsidR="00575447" w:rsidRDefault="00575447">
            <w:pPr>
              <w:rPr>
                <w:b/>
                <w:color w:val="493118"/>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575447" w14:paraId="3E522B29" w14:textId="77777777">
              <w:trPr>
                <w:gridAfter w:val="1"/>
                <w:wAfter w:w="1368" w:type="pct"/>
                <w:trHeight w:val="300"/>
                <w:jc w:val="center"/>
              </w:trPr>
              <w:tc>
                <w:tcPr>
                  <w:tcW w:w="3632" w:type="pct"/>
                  <w:tcBorders>
                    <w:bottom w:val="single" w:sz="12" w:space="0" w:color="666666"/>
                  </w:tcBorders>
                  <w:shd w:val="clear" w:color="auto" w:fill="00B0F0"/>
                  <w:vAlign w:val="center"/>
                </w:tcPr>
                <w:p w14:paraId="4F064356" w14:textId="77777777" w:rsidR="00575447" w:rsidRDefault="00000000">
                  <w:pPr>
                    <w:jc w:val="center"/>
                    <w:rPr>
                      <w:rFonts w:ascii="Arial" w:hAnsi="Arial" w:cs="Arial"/>
                      <w:b/>
                      <w:bCs w:val="0"/>
                      <w:sz w:val="16"/>
                      <w:szCs w:val="16"/>
                    </w:rPr>
                  </w:pPr>
                  <w:r>
                    <w:rPr>
                      <w:rFonts w:ascii="Arial" w:hAnsi="Arial" w:cs="Arial"/>
                      <w:b/>
                      <w:kern w:val="24"/>
                      <w:sz w:val="16"/>
                      <w:szCs w:val="16"/>
                    </w:rPr>
                    <w:t>LEO600km Set 1-3 FR1 (i.e., S-band)</w:t>
                  </w:r>
                </w:p>
              </w:tc>
            </w:tr>
            <w:tr w:rsidR="00575447" w14:paraId="2E97868A" w14:textId="77777777">
              <w:trPr>
                <w:trHeight w:val="145"/>
                <w:jc w:val="center"/>
              </w:trPr>
              <w:tc>
                <w:tcPr>
                  <w:tcW w:w="3632" w:type="pct"/>
                  <w:shd w:val="clear" w:color="auto" w:fill="auto"/>
                  <w:vAlign w:val="center"/>
                </w:tcPr>
                <w:p w14:paraId="714E9377" w14:textId="77777777" w:rsidR="00575447" w:rsidRDefault="00000000">
                  <w:pPr>
                    <w:rPr>
                      <w:rFonts w:ascii="Arial" w:hAnsi="Arial" w:cs="Arial"/>
                      <w:b/>
                      <w:bCs w:val="0"/>
                      <w:sz w:val="16"/>
                      <w:szCs w:val="16"/>
                    </w:rPr>
                  </w:pPr>
                  <w:r>
                    <w:rPr>
                      <w:rFonts w:ascii="Arial" w:hAnsi="Arial" w:cs="Arial"/>
                      <w:b/>
                      <w:kern w:val="24"/>
                      <w:sz w:val="16"/>
                      <w:szCs w:val="16"/>
                    </w:rPr>
                    <w:t>Maximum Bandwidth per beam</w:t>
                  </w:r>
                </w:p>
              </w:tc>
              <w:tc>
                <w:tcPr>
                  <w:tcW w:w="1368" w:type="pct"/>
                  <w:shd w:val="clear" w:color="auto" w:fill="auto"/>
                  <w:vAlign w:val="center"/>
                </w:tcPr>
                <w:p w14:paraId="6E7C38AF" w14:textId="77777777" w:rsidR="00575447" w:rsidRDefault="00000000">
                  <w:pPr>
                    <w:jc w:val="center"/>
                    <w:rPr>
                      <w:rFonts w:ascii="Arial" w:hAnsi="Arial" w:cs="Arial"/>
                      <w:sz w:val="16"/>
                      <w:szCs w:val="16"/>
                    </w:rPr>
                  </w:pPr>
                  <w:r>
                    <w:rPr>
                      <w:rFonts w:ascii="Arial" w:hAnsi="Arial" w:cs="Arial"/>
                      <w:kern w:val="24"/>
                      <w:sz w:val="16"/>
                      <w:szCs w:val="16"/>
                    </w:rPr>
                    <w:t>5 MHz</w:t>
                  </w:r>
                </w:p>
              </w:tc>
            </w:tr>
            <w:tr w:rsidR="00575447" w14:paraId="239AF7F7" w14:textId="77777777">
              <w:trPr>
                <w:trHeight w:val="37"/>
                <w:jc w:val="center"/>
              </w:trPr>
              <w:tc>
                <w:tcPr>
                  <w:tcW w:w="3632" w:type="pct"/>
                  <w:shd w:val="clear" w:color="auto" w:fill="auto"/>
                  <w:vAlign w:val="center"/>
                </w:tcPr>
                <w:p w14:paraId="06112471" w14:textId="77777777" w:rsidR="00575447" w:rsidRDefault="00000000">
                  <w:pPr>
                    <w:rPr>
                      <w:rFonts w:ascii="Arial" w:hAnsi="Arial" w:cs="Arial"/>
                      <w:b/>
                      <w:bCs w:val="0"/>
                      <w:sz w:val="16"/>
                      <w:szCs w:val="16"/>
                    </w:rPr>
                  </w:pPr>
                  <w:r>
                    <w:rPr>
                      <w:rFonts w:ascii="Arial" w:hAnsi="Arial" w:cs="Arial"/>
                      <w:b/>
                      <w:kern w:val="24"/>
                      <w:sz w:val="16"/>
                      <w:szCs w:val="16"/>
                    </w:rPr>
                    <w:t>SCS</w:t>
                  </w:r>
                </w:p>
              </w:tc>
              <w:tc>
                <w:tcPr>
                  <w:tcW w:w="1368" w:type="pct"/>
                  <w:shd w:val="clear" w:color="auto" w:fill="auto"/>
                  <w:vAlign w:val="center"/>
                </w:tcPr>
                <w:p w14:paraId="5AAFC164"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15 kHz</w:t>
                  </w:r>
                </w:p>
              </w:tc>
            </w:tr>
            <w:tr w:rsidR="00575447" w14:paraId="59B2A06A" w14:textId="77777777">
              <w:trPr>
                <w:trHeight w:val="104"/>
                <w:jc w:val="center"/>
              </w:trPr>
              <w:tc>
                <w:tcPr>
                  <w:tcW w:w="3632" w:type="pct"/>
                  <w:shd w:val="clear" w:color="auto" w:fill="auto"/>
                  <w:vAlign w:val="center"/>
                </w:tcPr>
                <w:p w14:paraId="0B278205" w14:textId="77777777" w:rsidR="00575447" w:rsidRDefault="00000000">
                  <w:pPr>
                    <w:rPr>
                      <w:rFonts w:ascii="Arial" w:hAnsi="Arial" w:cs="Arial"/>
                      <w:b/>
                      <w:bCs w:val="0"/>
                      <w:sz w:val="16"/>
                      <w:szCs w:val="16"/>
                    </w:rPr>
                  </w:pPr>
                  <w:r>
                    <w:rPr>
                      <w:rFonts w:ascii="Arial" w:eastAsia="等线" w:hAnsi="Arial" w:cs="Arial"/>
                      <w:b/>
                      <w:kern w:val="24"/>
                      <w:sz w:val="16"/>
                      <w:szCs w:val="16"/>
                    </w:rPr>
                    <w:t>Beam size (note 1)</w:t>
                  </w:r>
                </w:p>
              </w:tc>
              <w:tc>
                <w:tcPr>
                  <w:tcW w:w="1368" w:type="pct"/>
                  <w:shd w:val="clear" w:color="auto" w:fill="auto"/>
                  <w:vAlign w:val="center"/>
                </w:tcPr>
                <w:p w14:paraId="05B3B1A4"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50km</w:t>
                  </w:r>
                </w:p>
              </w:tc>
            </w:tr>
            <w:tr w:rsidR="00575447" w14:paraId="6A0EC154" w14:textId="77777777">
              <w:trPr>
                <w:trHeight w:val="80"/>
                <w:jc w:val="center"/>
              </w:trPr>
              <w:tc>
                <w:tcPr>
                  <w:tcW w:w="3632" w:type="pct"/>
                  <w:shd w:val="clear" w:color="auto" w:fill="auto"/>
                  <w:vAlign w:val="center"/>
                </w:tcPr>
                <w:p w14:paraId="34C0F96C" w14:textId="77777777" w:rsidR="00575447" w:rsidRDefault="00000000">
                  <w:pPr>
                    <w:rPr>
                      <w:rFonts w:ascii="Arial" w:hAnsi="Arial" w:cs="Arial"/>
                      <w:b/>
                      <w:bCs w:val="0"/>
                      <w:sz w:val="16"/>
                      <w:szCs w:val="16"/>
                    </w:rPr>
                  </w:pPr>
                  <w:r>
                    <w:rPr>
                      <w:rFonts w:ascii="Arial" w:eastAsia="等线" w:hAnsi="Arial" w:cs="Arial"/>
                      <w:b/>
                      <w:kern w:val="24"/>
                      <w:sz w:val="16"/>
                      <w:szCs w:val="16"/>
                    </w:rPr>
                    <w:t>Satellite EIRP density /beam (</w:t>
                  </w:r>
                  <w:proofErr w:type="spellStart"/>
                  <w:r>
                    <w:rPr>
                      <w:rFonts w:ascii="Arial" w:eastAsia="等线" w:hAnsi="Arial" w:cs="Arial"/>
                      <w:b/>
                      <w:kern w:val="24"/>
                      <w:sz w:val="16"/>
                      <w:szCs w:val="16"/>
                    </w:rPr>
                    <w:t>dBW</w:t>
                  </w:r>
                  <w:proofErr w:type="spellEnd"/>
                  <w:r>
                    <w:rPr>
                      <w:rFonts w:ascii="Arial" w:eastAsia="等线" w:hAnsi="Arial" w:cs="Arial"/>
                      <w:b/>
                      <w:kern w:val="24"/>
                      <w:sz w:val="16"/>
                      <w:szCs w:val="16"/>
                    </w:rPr>
                    <w:t>/MHz)</w:t>
                  </w:r>
                </w:p>
              </w:tc>
              <w:tc>
                <w:tcPr>
                  <w:tcW w:w="1368" w:type="pct"/>
                  <w:shd w:val="clear" w:color="auto" w:fill="auto"/>
                  <w:vAlign w:val="center"/>
                </w:tcPr>
                <w:p w14:paraId="6A2D61D3"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26</w:t>
                  </w:r>
                </w:p>
              </w:tc>
            </w:tr>
            <w:tr w:rsidR="00575447" w14:paraId="6E34B718" w14:textId="77777777">
              <w:trPr>
                <w:trHeight w:val="183"/>
                <w:jc w:val="center"/>
              </w:trPr>
              <w:tc>
                <w:tcPr>
                  <w:tcW w:w="3632" w:type="pct"/>
                  <w:shd w:val="clear" w:color="auto" w:fill="auto"/>
                  <w:vAlign w:val="center"/>
                </w:tcPr>
                <w:p w14:paraId="531BA003" w14:textId="77777777" w:rsidR="00575447" w:rsidRDefault="00000000">
                  <w:pPr>
                    <w:rPr>
                      <w:rFonts w:ascii="Arial" w:hAnsi="Arial" w:cs="Arial"/>
                      <w:b/>
                      <w:bCs w:val="0"/>
                      <w:sz w:val="16"/>
                      <w:szCs w:val="16"/>
                    </w:rPr>
                  </w:pPr>
                  <w:r>
                    <w:rPr>
                      <w:rFonts w:ascii="Arial" w:hAnsi="Arial" w:cs="Arial"/>
                      <w:b/>
                      <w:kern w:val="24"/>
                      <w:sz w:val="16"/>
                      <w:szCs w:val="16"/>
                    </w:rPr>
                    <w:t>Payload Total DL power level (</w:t>
                  </w:r>
                  <w:proofErr w:type="spellStart"/>
                  <w:r>
                    <w:rPr>
                      <w:rFonts w:ascii="Arial" w:hAnsi="Arial" w:cs="Arial"/>
                      <w:b/>
                      <w:kern w:val="24"/>
                      <w:sz w:val="16"/>
                      <w:szCs w:val="16"/>
                    </w:rPr>
                    <w:t>dBW</w:t>
                  </w:r>
                  <w:proofErr w:type="spellEnd"/>
                  <w:r>
                    <w:rPr>
                      <w:rFonts w:ascii="Arial" w:hAnsi="Arial" w:cs="Arial"/>
                      <w:b/>
                      <w:kern w:val="24"/>
                      <w:sz w:val="16"/>
                      <w:szCs w:val="16"/>
                    </w:rPr>
                    <w:t>)</w:t>
                  </w:r>
                </w:p>
              </w:tc>
              <w:tc>
                <w:tcPr>
                  <w:tcW w:w="1368" w:type="pct"/>
                  <w:shd w:val="clear" w:color="auto" w:fill="auto"/>
                  <w:vAlign w:val="center"/>
                </w:tcPr>
                <w:p w14:paraId="65D66D87"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23.24</w:t>
                  </w:r>
                </w:p>
              </w:tc>
            </w:tr>
            <w:tr w:rsidR="00575447" w14:paraId="240099E7" w14:textId="77777777">
              <w:trPr>
                <w:trHeight w:val="160"/>
                <w:jc w:val="center"/>
              </w:trPr>
              <w:tc>
                <w:tcPr>
                  <w:tcW w:w="3632" w:type="pct"/>
                  <w:shd w:val="clear" w:color="auto" w:fill="auto"/>
                  <w:vAlign w:val="center"/>
                </w:tcPr>
                <w:p w14:paraId="776118DD" w14:textId="77777777" w:rsidR="00575447" w:rsidRDefault="00000000">
                  <w:pPr>
                    <w:rPr>
                      <w:rFonts w:ascii="Arial" w:hAnsi="Arial" w:cs="Arial"/>
                      <w:b/>
                      <w:bCs w:val="0"/>
                      <w:sz w:val="16"/>
                      <w:szCs w:val="16"/>
                    </w:rPr>
                  </w:pPr>
                  <w:r>
                    <w:rPr>
                      <w:rFonts w:ascii="Arial" w:hAnsi="Arial" w:cs="Arial"/>
                      <w:b/>
                      <w:kern w:val="24"/>
                      <w:sz w:val="16"/>
                      <w:szCs w:val="16"/>
                    </w:rPr>
                    <w:t>Aggregated EIRP (Total) (</w:t>
                  </w:r>
                  <w:proofErr w:type="spellStart"/>
                  <w:r>
                    <w:rPr>
                      <w:rFonts w:ascii="Arial" w:hAnsi="Arial" w:cs="Arial"/>
                      <w:b/>
                      <w:kern w:val="24"/>
                      <w:sz w:val="16"/>
                      <w:szCs w:val="16"/>
                    </w:rPr>
                    <w:t>dBW</w:t>
                  </w:r>
                  <w:proofErr w:type="spellEnd"/>
                  <w:r>
                    <w:rPr>
                      <w:rFonts w:ascii="Arial" w:hAnsi="Arial" w:cs="Arial"/>
                      <w:b/>
                      <w:kern w:val="24"/>
                      <w:sz w:val="16"/>
                      <w:szCs w:val="16"/>
                    </w:rPr>
                    <w:t>)</w:t>
                  </w:r>
                </w:p>
              </w:tc>
              <w:tc>
                <w:tcPr>
                  <w:tcW w:w="1368" w:type="pct"/>
                  <w:shd w:val="clear" w:color="auto" w:fill="auto"/>
                  <w:vAlign w:val="center"/>
                </w:tcPr>
                <w:p w14:paraId="6303CDF2"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53.24*</w:t>
                  </w:r>
                </w:p>
              </w:tc>
            </w:tr>
            <w:tr w:rsidR="00575447" w14:paraId="578F1DE2" w14:textId="77777777">
              <w:trPr>
                <w:trHeight w:val="66"/>
                <w:jc w:val="center"/>
              </w:trPr>
              <w:tc>
                <w:tcPr>
                  <w:tcW w:w="3632" w:type="pct"/>
                  <w:shd w:val="clear" w:color="auto" w:fill="auto"/>
                  <w:vAlign w:val="center"/>
                </w:tcPr>
                <w:p w14:paraId="461CF65A" w14:textId="77777777" w:rsidR="00575447" w:rsidRDefault="00000000">
                  <w:pPr>
                    <w:rPr>
                      <w:rFonts w:ascii="Arial" w:hAnsi="Arial" w:cs="Arial"/>
                      <w:b/>
                      <w:bCs w:val="0"/>
                      <w:sz w:val="16"/>
                      <w:szCs w:val="16"/>
                    </w:rPr>
                  </w:pPr>
                  <w:r>
                    <w:rPr>
                      <w:rFonts w:ascii="Arial" w:hAnsi="Arial" w:cs="Arial"/>
                      <w:b/>
                      <w:kern w:val="24"/>
                      <w:sz w:val="16"/>
                      <w:szCs w:val="16"/>
                    </w:rPr>
                    <w:t>Satellite Tx max Gain</w:t>
                  </w:r>
                </w:p>
              </w:tc>
              <w:tc>
                <w:tcPr>
                  <w:tcW w:w="1368" w:type="pct"/>
                  <w:shd w:val="clear" w:color="auto" w:fill="auto"/>
                  <w:vAlign w:val="center"/>
                </w:tcPr>
                <w:p w14:paraId="6023C6D1" w14:textId="77777777" w:rsidR="00575447" w:rsidRPr="00A07CF3" w:rsidRDefault="00000000">
                  <w:pPr>
                    <w:jc w:val="center"/>
                    <w:rPr>
                      <w:rFonts w:ascii="Arial" w:hAnsi="Arial" w:cs="Arial"/>
                      <w:sz w:val="16"/>
                      <w:szCs w:val="16"/>
                    </w:rPr>
                  </w:pPr>
                  <w:r w:rsidRPr="00A07CF3">
                    <w:rPr>
                      <w:rFonts w:ascii="Arial" w:hAnsi="Arial" w:cs="Arial"/>
                      <w:kern w:val="24"/>
                      <w:sz w:val="16"/>
                      <w:szCs w:val="16"/>
                    </w:rPr>
                    <w:t xml:space="preserve">30 </w:t>
                  </w:r>
                  <w:proofErr w:type="spellStart"/>
                  <w:r w:rsidRPr="00A07CF3">
                    <w:rPr>
                      <w:rFonts w:ascii="Arial" w:hAnsi="Arial" w:cs="Arial"/>
                      <w:kern w:val="24"/>
                      <w:sz w:val="16"/>
                      <w:szCs w:val="16"/>
                    </w:rPr>
                    <w:t>dBi</w:t>
                  </w:r>
                  <w:proofErr w:type="spellEnd"/>
                </w:p>
              </w:tc>
            </w:tr>
            <w:tr w:rsidR="00575447" w14:paraId="7A0B1794" w14:textId="77777777">
              <w:trPr>
                <w:trHeight w:val="86"/>
                <w:jc w:val="center"/>
              </w:trPr>
              <w:tc>
                <w:tcPr>
                  <w:tcW w:w="3632" w:type="pct"/>
                  <w:shd w:val="clear" w:color="auto" w:fill="auto"/>
                  <w:vAlign w:val="center"/>
                </w:tcPr>
                <w:p w14:paraId="287A5EC4" w14:textId="77777777" w:rsidR="00575447" w:rsidRDefault="00000000">
                  <w:pPr>
                    <w:rPr>
                      <w:rFonts w:ascii="Arial" w:hAnsi="Arial" w:cs="Arial"/>
                      <w:b/>
                      <w:bCs w:val="0"/>
                      <w:sz w:val="16"/>
                      <w:szCs w:val="16"/>
                      <w:lang w:val="de-DE"/>
                    </w:rPr>
                  </w:pPr>
                  <w:r>
                    <w:rPr>
                      <w:rFonts w:ascii="Arial" w:hAnsi="Arial" w:cs="Arial"/>
                      <w:b/>
                      <w:kern w:val="24"/>
                      <w:sz w:val="16"/>
                      <w:szCs w:val="16"/>
                      <w:lang w:val="de-DE"/>
                    </w:rPr>
                    <w:t>Maximum EIRP per Satellite beam (dBW)</w:t>
                  </w:r>
                </w:p>
              </w:tc>
              <w:tc>
                <w:tcPr>
                  <w:tcW w:w="1368" w:type="pct"/>
                  <w:shd w:val="clear" w:color="auto" w:fill="auto"/>
                  <w:vAlign w:val="center"/>
                </w:tcPr>
                <w:p w14:paraId="79923BBF"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33</w:t>
                  </w:r>
                </w:p>
              </w:tc>
            </w:tr>
            <w:tr w:rsidR="00575447" w14:paraId="704E5EA4" w14:textId="77777777">
              <w:trPr>
                <w:trHeight w:val="37"/>
                <w:jc w:val="center"/>
              </w:trPr>
              <w:tc>
                <w:tcPr>
                  <w:tcW w:w="3632" w:type="pct"/>
                  <w:shd w:val="clear" w:color="auto" w:fill="auto"/>
                  <w:vAlign w:val="center"/>
                </w:tcPr>
                <w:p w14:paraId="16947916" w14:textId="77777777" w:rsidR="00575447" w:rsidRDefault="00000000">
                  <w:pPr>
                    <w:rPr>
                      <w:rFonts w:ascii="Arial" w:hAnsi="Arial" w:cs="Arial"/>
                      <w:b/>
                      <w:bCs w:val="0"/>
                      <w:sz w:val="16"/>
                      <w:szCs w:val="16"/>
                    </w:rPr>
                  </w:pPr>
                  <w:r>
                    <w:rPr>
                      <w:rFonts w:ascii="Arial" w:eastAsia="等线" w:hAnsi="Arial" w:cs="Arial"/>
                      <w:b/>
                      <w:kern w:val="24"/>
                      <w:sz w:val="16"/>
                      <w:szCs w:val="16"/>
                    </w:rPr>
                    <w:t>Total number of beam footprints</w:t>
                  </w:r>
                </w:p>
              </w:tc>
              <w:tc>
                <w:tcPr>
                  <w:tcW w:w="1368" w:type="pct"/>
                  <w:shd w:val="clear" w:color="auto" w:fill="auto"/>
                  <w:vAlign w:val="center"/>
                </w:tcPr>
                <w:p w14:paraId="58F5FF42"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rPr>
                    <w:t>1058</w:t>
                  </w:r>
                </w:p>
              </w:tc>
            </w:tr>
            <w:tr w:rsidR="00575447" w14:paraId="7BF931AB" w14:textId="77777777">
              <w:trPr>
                <w:trHeight w:val="98"/>
                <w:jc w:val="center"/>
              </w:trPr>
              <w:tc>
                <w:tcPr>
                  <w:tcW w:w="3632" w:type="pct"/>
                  <w:shd w:val="clear" w:color="auto" w:fill="auto"/>
                  <w:vAlign w:val="center"/>
                </w:tcPr>
                <w:p w14:paraId="0991A75A" w14:textId="77777777" w:rsidR="00575447" w:rsidRDefault="00000000">
                  <w:pPr>
                    <w:rPr>
                      <w:rFonts w:ascii="Arial" w:hAnsi="Arial" w:cs="Arial"/>
                      <w:b/>
                      <w:bCs w:val="0"/>
                      <w:sz w:val="16"/>
                      <w:szCs w:val="16"/>
                    </w:rPr>
                  </w:pPr>
                  <w:r>
                    <w:rPr>
                      <w:rFonts w:ascii="Arial" w:hAnsi="Arial" w:cs="Arial"/>
                      <w:b/>
                      <w:kern w:val="24"/>
                      <w:sz w:val="16"/>
                      <w:szCs w:val="16"/>
                    </w:rPr>
                    <w:t>Total number of simultaneously active beams**</w:t>
                  </w:r>
                </w:p>
              </w:tc>
              <w:tc>
                <w:tcPr>
                  <w:tcW w:w="1368" w:type="pct"/>
                  <w:shd w:val="clear" w:color="auto" w:fill="auto"/>
                  <w:vAlign w:val="center"/>
                </w:tcPr>
                <w:p w14:paraId="33CDDF38" w14:textId="77777777" w:rsidR="00575447" w:rsidRPr="00A07CF3" w:rsidRDefault="00000000">
                  <w:pPr>
                    <w:jc w:val="center"/>
                    <w:rPr>
                      <w:rFonts w:ascii="Arial" w:hAnsi="Arial" w:cs="Arial"/>
                      <w:sz w:val="16"/>
                      <w:szCs w:val="16"/>
                    </w:rPr>
                  </w:pPr>
                  <w:r w:rsidRPr="00A07CF3">
                    <w:rPr>
                      <w:rFonts w:ascii="Arial" w:hAnsi="Arial" w:cs="Arial"/>
                      <w:kern w:val="24"/>
                      <w:sz w:val="16"/>
                      <w:szCs w:val="16"/>
                      <w:lang w:val="fr-FR"/>
                    </w:rPr>
                    <w:t>106</w:t>
                  </w:r>
                </w:p>
              </w:tc>
            </w:tr>
            <w:tr w:rsidR="00575447" w14:paraId="40033F6B" w14:textId="77777777">
              <w:trPr>
                <w:trHeight w:val="76"/>
                <w:jc w:val="center"/>
              </w:trPr>
              <w:tc>
                <w:tcPr>
                  <w:tcW w:w="3632" w:type="pct"/>
                  <w:shd w:val="clear" w:color="auto" w:fill="auto"/>
                  <w:vAlign w:val="center"/>
                </w:tcPr>
                <w:p w14:paraId="21F37485" w14:textId="77777777" w:rsidR="00575447" w:rsidRDefault="00000000">
                  <w:pPr>
                    <w:rPr>
                      <w:rFonts w:ascii="Arial" w:hAnsi="Arial" w:cs="Arial"/>
                      <w:b/>
                      <w:bCs w:val="0"/>
                      <w:sz w:val="16"/>
                      <w:szCs w:val="16"/>
                    </w:rPr>
                  </w:pPr>
                  <w:r>
                    <w:rPr>
                      <w:rFonts w:ascii="Arial" w:eastAsia="等线" w:hAnsi="Arial" w:cs="Arial"/>
                      <w:b/>
                      <w:kern w:val="24"/>
                      <w:sz w:val="16"/>
                      <w:szCs w:val="16"/>
                      <w:lang w:val="fr-FR"/>
                    </w:rPr>
                    <w:t>% simultaneously active beams**</w:t>
                  </w:r>
                </w:p>
              </w:tc>
              <w:tc>
                <w:tcPr>
                  <w:tcW w:w="1368" w:type="pct"/>
                  <w:shd w:val="clear" w:color="auto" w:fill="auto"/>
                  <w:vAlign w:val="center"/>
                </w:tcPr>
                <w:p w14:paraId="13C9CE7D" w14:textId="77777777" w:rsidR="00575447" w:rsidRPr="00A07CF3" w:rsidRDefault="00000000">
                  <w:pPr>
                    <w:jc w:val="center"/>
                    <w:rPr>
                      <w:rFonts w:ascii="Arial" w:hAnsi="Arial" w:cs="Arial"/>
                      <w:sz w:val="16"/>
                      <w:szCs w:val="16"/>
                    </w:rPr>
                  </w:pPr>
                  <w:r w:rsidRPr="00A07CF3">
                    <w:rPr>
                      <w:rFonts w:ascii="Arial" w:eastAsia="等线" w:hAnsi="Arial" w:cs="Arial"/>
                      <w:kern w:val="24"/>
                      <w:sz w:val="16"/>
                      <w:szCs w:val="16"/>
                      <w:lang w:val="fr-FR"/>
                    </w:rPr>
                    <w:t>10.02 %</w:t>
                  </w:r>
                </w:p>
              </w:tc>
            </w:tr>
            <w:tr w:rsidR="00575447" w14:paraId="25B97716" w14:textId="77777777">
              <w:trPr>
                <w:trHeight w:val="37"/>
                <w:jc w:val="center"/>
              </w:trPr>
              <w:tc>
                <w:tcPr>
                  <w:tcW w:w="5000" w:type="pct"/>
                  <w:gridSpan w:val="2"/>
                  <w:shd w:val="clear" w:color="auto" w:fill="auto"/>
                  <w:vAlign w:val="center"/>
                </w:tcPr>
                <w:p w14:paraId="57A4B394" w14:textId="77777777" w:rsidR="00575447" w:rsidRDefault="00000000">
                  <w:pPr>
                    <w:ind w:left="850" w:hanging="850"/>
                    <w:rPr>
                      <w:rFonts w:ascii="Arial" w:hAnsi="Arial" w:cs="Arial"/>
                      <w:b/>
                      <w:bCs w:val="0"/>
                      <w:sz w:val="16"/>
                      <w:szCs w:val="16"/>
                    </w:rPr>
                  </w:pPr>
                  <w:r>
                    <w:rPr>
                      <w:rFonts w:ascii="Arial" w:hAnsi="Arial" w:cs="Arial"/>
                      <w:b/>
                      <w:kern w:val="24"/>
                      <w:sz w:val="16"/>
                      <w:szCs w:val="16"/>
                    </w:rPr>
                    <w:t xml:space="preserve">*Note: EIRP limit is 53.24 dBm for the reference configuration. </w:t>
                  </w:r>
                </w:p>
                <w:p w14:paraId="648A0815" w14:textId="77777777" w:rsidR="00575447" w:rsidRDefault="00000000">
                  <w:pPr>
                    <w:rPr>
                      <w:rFonts w:ascii="Arial" w:eastAsia="等线" w:hAnsi="Arial" w:cs="Arial"/>
                      <w:b/>
                      <w:bCs w:val="0"/>
                      <w:kern w:val="24"/>
                      <w:sz w:val="16"/>
                      <w:szCs w:val="16"/>
                    </w:rPr>
                  </w:pPr>
                  <w:r>
                    <w:rPr>
                      <w:rFonts w:ascii="Arial" w:hAnsi="Arial" w:cs="Arial"/>
                      <w:b/>
                      <w:kern w:val="24"/>
                      <w:sz w:val="16"/>
                      <w:szCs w:val="16"/>
                    </w:rPr>
                    <w:t>**Absolute number of simultaneously active beams is up to 212 (due to limitation of RF)</w:t>
                  </w:r>
                </w:p>
                <w:p w14:paraId="1E650D3C" w14:textId="77777777" w:rsidR="00575447" w:rsidRDefault="00000000">
                  <w:pPr>
                    <w:rPr>
                      <w:rFonts w:ascii="Arial" w:eastAsia="等线" w:hAnsi="Arial" w:cs="Arial"/>
                      <w:b/>
                      <w:bCs w:val="0"/>
                      <w:kern w:val="24"/>
                      <w:sz w:val="16"/>
                      <w:szCs w:val="16"/>
                    </w:rPr>
                  </w:pPr>
                  <w:r>
                    <w:rPr>
                      <w:rFonts w:ascii="Arial" w:eastAsia="等线" w:hAnsi="Arial" w:cs="Arial"/>
                      <w:b/>
                      <w:kern w:val="24"/>
                      <w:sz w:val="16"/>
                      <w:szCs w:val="16"/>
                    </w:rPr>
                    <w:t>Note 1: At least this beam size is considered in this scenario, larger beam sizes maybe evaluated and reported by companies</w:t>
                  </w:r>
                </w:p>
              </w:tc>
            </w:tr>
          </w:tbl>
          <w:p w14:paraId="571A5AFC" w14:textId="77777777" w:rsidR="00575447" w:rsidRDefault="00575447"/>
          <w:p w14:paraId="29216724" w14:textId="77777777" w:rsidR="00575447" w:rsidRDefault="00000000">
            <w:r>
              <w:t>Note: RAN1 will aim to identify necessary enhancements for these scenarios in the study phase. At the end of the study phase, RAN1 will further discuss whether the potential enhancements will be specified within Rel-19 framework.</w:t>
            </w:r>
          </w:p>
          <w:p w14:paraId="017E91A5" w14:textId="77777777" w:rsidR="00575447" w:rsidRDefault="00575447">
            <w:pPr>
              <w:pStyle w:val="aff9"/>
              <w:adjustRightInd w:val="0"/>
              <w:snapToGrid w:val="0"/>
              <w:spacing w:beforeLines="0" w:afterLines="0"/>
              <w:ind w:firstLineChars="0" w:firstLine="0"/>
              <w:rPr>
                <w:rFonts w:eastAsiaTheme="minorEastAsia" w:cs="Times New Roman"/>
                <w:highlight w:val="yellow"/>
              </w:rPr>
            </w:pPr>
          </w:p>
          <w:p w14:paraId="6FA617F1" w14:textId="77777777" w:rsidR="00575447" w:rsidRDefault="00575447">
            <w:pPr>
              <w:pStyle w:val="aff9"/>
              <w:adjustRightInd w:val="0"/>
              <w:snapToGrid w:val="0"/>
              <w:spacing w:beforeLines="0" w:afterLines="0"/>
              <w:ind w:firstLineChars="0" w:firstLine="0"/>
              <w:rPr>
                <w:rFonts w:eastAsiaTheme="minorEastAsia" w:cs="Times New Roman"/>
                <w:highlight w:val="yellow"/>
              </w:rPr>
            </w:pPr>
          </w:p>
        </w:tc>
      </w:tr>
    </w:tbl>
    <w:p w14:paraId="3681AF1C" w14:textId="77777777" w:rsidR="00575447" w:rsidRDefault="00575447">
      <w:pPr>
        <w:pStyle w:val="aff9"/>
        <w:adjustRightInd w:val="0"/>
        <w:snapToGrid w:val="0"/>
        <w:spacing w:beforeLines="0" w:afterLines="0"/>
        <w:ind w:firstLineChars="0" w:firstLine="0"/>
        <w:rPr>
          <w:rFonts w:eastAsiaTheme="minorEastAsia" w:cs="Times New Roman"/>
          <w:highlight w:val="yellow"/>
        </w:rPr>
      </w:pPr>
    </w:p>
    <w:sectPr w:rsidR="00575447">
      <w:footerReference w:type="default" r:id="rId10"/>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85BD9" w14:textId="77777777" w:rsidR="008E4E96" w:rsidRDefault="008E4E96">
      <w:r>
        <w:separator/>
      </w:r>
    </w:p>
  </w:endnote>
  <w:endnote w:type="continuationSeparator" w:id="0">
    <w:p w14:paraId="06119DE8" w14:textId="77777777" w:rsidR="008E4E96" w:rsidRDefault="008E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1B73E" w14:textId="77777777" w:rsidR="00575447"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FFF3F" w14:textId="77777777" w:rsidR="008E4E96" w:rsidRDefault="008E4E96">
      <w:r>
        <w:separator/>
      </w:r>
    </w:p>
  </w:footnote>
  <w:footnote w:type="continuationSeparator" w:id="0">
    <w:p w14:paraId="51EDD479" w14:textId="77777777" w:rsidR="008E4E96" w:rsidRDefault="008E4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19EB0B61"/>
    <w:multiLevelType w:val="multilevel"/>
    <w:tmpl w:val="19EB0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A24647C"/>
    <w:multiLevelType w:val="multilevel"/>
    <w:tmpl w:val="2A24647C"/>
    <w:lvl w:ilvl="0">
      <w:numFmt w:val="bullet"/>
      <w:lvlText w:val="-"/>
      <w:lvlJc w:val="left"/>
      <w:pPr>
        <w:ind w:left="720" w:hanging="360"/>
      </w:pPr>
      <w:rPr>
        <w:rFonts w:ascii="Arial" w:eastAsia="Times New Roman" w:hAnsi="Arial" w:cs="Arial" w:hint="default"/>
      </w:rPr>
    </w:lvl>
    <w:lvl w:ilvl="1">
      <w:numFmt w:val="bullet"/>
      <w:lvlText w:val="•"/>
      <w:lvlJc w:val="left"/>
      <w:pPr>
        <w:ind w:left="1875" w:hanging="795"/>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9895A42"/>
    <w:multiLevelType w:val="multilevel"/>
    <w:tmpl w:val="49895A42"/>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38783322">
    <w:abstractNumId w:val="8"/>
  </w:num>
  <w:num w:numId="2" w16cid:durableId="1089886248">
    <w:abstractNumId w:val="10"/>
  </w:num>
  <w:num w:numId="3" w16cid:durableId="1013916334">
    <w:abstractNumId w:val="0"/>
  </w:num>
  <w:num w:numId="4" w16cid:durableId="318000784">
    <w:abstractNumId w:val="6"/>
  </w:num>
  <w:num w:numId="5" w16cid:durableId="2099792234">
    <w:abstractNumId w:val="11"/>
  </w:num>
  <w:num w:numId="6" w16cid:durableId="1240674480">
    <w:abstractNumId w:val="13"/>
  </w:num>
  <w:num w:numId="7" w16cid:durableId="609779138">
    <w:abstractNumId w:val="7"/>
    <w:lvlOverride w:ilvl="0">
      <w:startOverride w:val="1"/>
    </w:lvlOverride>
  </w:num>
  <w:num w:numId="8" w16cid:durableId="526215244">
    <w:abstractNumId w:val="4"/>
  </w:num>
  <w:num w:numId="9" w16cid:durableId="9012144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8732141">
    <w:abstractNumId w:val="12"/>
  </w:num>
  <w:num w:numId="11" w16cid:durableId="430668792">
    <w:abstractNumId w:val="5"/>
  </w:num>
  <w:num w:numId="12" w16cid:durableId="129910450">
    <w:abstractNumId w:val="3"/>
  </w:num>
  <w:num w:numId="13" w16cid:durableId="42825712">
    <w:abstractNumId w:val="1"/>
  </w:num>
  <w:num w:numId="14" w16cid:durableId="949164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1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84D83"/>
    <w:rsid w:val="000000E2"/>
    <w:rsid w:val="000003D0"/>
    <w:rsid w:val="00000804"/>
    <w:rsid w:val="00000A5C"/>
    <w:rsid w:val="000010A7"/>
    <w:rsid w:val="0000134D"/>
    <w:rsid w:val="00001499"/>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291"/>
    <w:rsid w:val="0001154B"/>
    <w:rsid w:val="00011DB4"/>
    <w:rsid w:val="00012594"/>
    <w:rsid w:val="000135BC"/>
    <w:rsid w:val="0001361C"/>
    <w:rsid w:val="0001362F"/>
    <w:rsid w:val="00013BB4"/>
    <w:rsid w:val="0001423D"/>
    <w:rsid w:val="00014A9D"/>
    <w:rsid w:val="00014B87"/>
    <w:rsid w:val="00014CDB"/>
    <w:rsid w:val="00014F01"/>
    <w:rsid w:val="00014FB6"/>
    <w:rsid w:val="00015586"/>
    <w:rsid w:val="000159C0"/>
    <w:rsid w:val="00015E8B"/>
    <w:rsid w:val="0001607E"/>
    <w:rsid w:val="00016C62"/>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A8D"/>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10"/>
    <w:rsid w:val="00036EF7"/>
    <w:rsid w:val="0003702A"/>
    <w:rsid w:val="00037572"/>
    <w:rsid w:val="000376ED"/>
    <w:rsid w:val="00037954"/>
    <w:rsid w:val="000379F0"/>
    <w:rsid w:val="00037B23"/>
    <w:rsid w:val="00037B78"/>
    <w:rsid w:val="00037E60"/>
    <w:rsid w:val="00040117"/>
    <w:rsid w:val="00040981"/>
    <w:rsid w:val="00040D37"/>
    <w:rsid w:val="0004156F"/>
    <w:rsid w:val="0004224A"/>
    <w:rsid w:val="00042A4D"/>
    <w:rsid w:val="00042D71"/>
    <w:rsid w:val="00042E2C"/>
    <w:rsid w:val="000437CA"/>
    <w:rsid w:val="000439A8"/>
    <w:rsid w:val="00043B43"/>
    <w:rsid w:val="00044001"/>
    <w:rsid w:val="00044304"/>
    <w:rsid w:val="0004446D"/>
    <w:rsid w:val="000446FC"/>
    <w:rsid w:val="00044CB5"/>
    <w:rsid w:val="00044FA5"/>
    <w:rsid w:val="000450D7"/>
    <w:rsid w:val="0004536B"/>
    <w:rsid w:val="00045835"/>
    <w:rsid w:val="00045C93"/>
    <w:rsid w:val="00046127"/>
    <w:rsid w:val="0004655C"/>
    <w:rsid w:val="00046C63"/>
    <w:rsid w:val="00047536"/>
    <w:rsid w:val="000475BF"/>
    <w:rsid w:val="000500CF"/>
    <w:rsid w:val="0005016F"/>
    <w:rsid w:val="000507B2"/>
    <w:rsid w:val="000509EE"/>
    <w:rsid w:val="00050AC7"/>
    <w:rsid w:val="000510BF"/>
    <w:rsid w:val="000510E7"/>
    <w:rsid w:val="000517BD"/>
    <w:rsid w:val="0005200A"/>
    <w:rsid w:val="00052322"/>
    <w:rsid w:val="000523B6"/>
    <w:rsid w:val="000527E7"/>
    <w:rsid w:val="00052DEC"/>
    <w:rsid w:val="00052E2F"/>
    <w:rsid w:val="00052ECA"/>
    <w:rsid w:val="000535B2"/>
    <w:rsid w:val="00053B6F"/>
    <w:rsid w:val="00053C3F"/>
    <w:rsid w:val="000545BB"/>
    <w:rsid w:val="000546D0"/>
    <w:rsid w:val="00054A81"/>
    <w:rsid w:val="00054F34"/>
    <w:rsid w:val="00055761"/>
    <w:rsid w:val="000558BB"/>
    <w:rsid w:val="00055B81"/>
    <w:rsid w:val="00056077"/>
    <w:rsid w:val="000564D6"/>
    <w:rsid w:val="00056878"/>
    <w:rsid w:val="0005690F"/>
    <w:rsid w:val="00056A36"/>
    <w:rsid w:val="00056F09"/>
    <w:rsid w:val="000572BC"/>
    <w:rsid w:val="00057396"/>
    <w:rsid w:val="00057606"/>
    <w:rsid w:val="000577A9"/>
    <w:rsid w:val="000577C6"/>
    <w:rsid w:val="0005784D"/>
    <w:rsid w:val="000602D0"/>
    <w:rsid w:val="000602EC"/>
    <w:rsid w:val="000605FA"/>
    <w:rsid w:val="00060756"/>
    <w:rsid w:val="000607DF"/>
    <w:rsid w:val="000609AB"/>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509"/>
    <w:rsid w:val="000667CE"/>
    <w:rsid w:val="00066D6D"/>
    <w:rsid w:val="00067232"/>
    <w:rsid w:val="00067556"/>
    <w:rsid w:val="00067976"/>
    <w:rsid w:val="00067983"/>
    <w:rsid w:val="00067B80"/>
    <w:rsid w:val="00067C75"/>
    <w:rsid w:val="00067F4C"/>
    <w:rsid w:val="0007046C"/>
    <w:rsid w:val="00070CAF"/>
    <w:rsid w:val="0007144B"/>
    <w:rsid w:val="0007193F"/>
    <w:rsid w:val="00071DE6"/>
    <w:rsid w:val="00072047"/>
    <w:rsid w:val="0007281F"/>
    <w:rsid w:val="00072B8B"/>
    <w:rsid w:val="00072E51"/>
    <w:rsid w:val="00073219"/>
    <w:rsid w:val="0007346E"/>
    <w:rsid w:val="00073494"/>
    <w:rsid w:val="0007365E"/>
    <w:rsid w:val="00073886"/>
    <w:rsid w:val="00073A97"/>
    <w:rsid w:val="00073B10"/>
    <w:rsid w:val="00073B16"/>
    <w:rsid w:val="00073F1B"/>
    <w:rsid w:val="00074266"/>
    <w:rsid w:val="000745A7"/>
    <w:rsid w:val="00074636"/>
    <w:rsid w:val="00074BEA"/>
    <w:rsid w:val="00074EC9"/>
    <w:rsid w:val="00074F02"/>
    <w:rsid w:val="000750ED"/>
    <w:rsid w:val="000752DD"/>
    <w:rsid w:val="00075371"/>
    <w:rsid w:val="00075496"/>
    <w:rsid w:val="000756F1"/>
    <w:rsid w:val="00075707"/>
    <w:rsid w:val="0007571C"/>
    <w:rsid w:val="000758F4"/>
    <w:rsid w:val="0007591C"/>
    <w:rsid w:val="00075A77"/>
    <w:rsid w:val="00075B4C"/>
    <w:rsid w:val="00075C34"/>
    <w:rsid w:val="00075CFE"/>
    <w:rsid w:val="0007640C"/>
    <w:rsid w:val="00076480"/>
    <w:rsid w:val="000767FE"/>
    <w:rsid w:val="0007691C"/>
    <w:rsid w:val="00077B13"/>
    <w:rsid w:val="00077C7A"/>
    <w:rsid w:val="00077D0A"/>
    <w:rsid w:val="00077DE2"/>
    <w:rsid w:val="00080156"/>
    <w:rsid w:val="0008057D"/>
    <w:rsid w:val="000805F8"/>
    <w:rsid w:val="0008072F"/>
    <w:rsid w:val="000807DD"/>
    <w:rsid w:val="0008105C"/>
    <w:rsid w:val="00081146"/>
    <w:rsid w:val="000812C5"/>
    <w:rsid w:val="00081485"/>
    <w:rsid w:val="00081C32"/>
    <w:rsid w:val="000820C2"/>
    <w:rsid w:val="000825A9"/>
    <w:rsid w:val="0008276E"/>
    <w:rsid w:val="00082BDA"/>
    <w:rsid w:val="00082F53"/>
    <w:rsid w:val="00083BF3"/>
    <w:rsid w:val="0008407D"/>
    <w:rsid w:val="0008429A"/>
    <w:rsid w:val="00084592"/>
    <w:rsid w:val="000848F1"/>
    <w:rsid w:val="00084B03"/>
    <w:rsid w:val="00084C61"/>
    <w:rsid w:val="00084E71"/>
    <w:rsid w:val="00084F0F"/>
    <w:rsid w:val="00085310"/>
    <w:rsid w:val="00085991"/>
    <w:rsid w:val="00086212"/>
    <w:rsid w:val="00086248"/>
    <w:rsid w:val="000868D6"/>
    <w:rsid w:val="00086AC8"/>
    <w:rsid w:val="00086CE7"/>
    <w:rsid w:val="00086F99"/>
    <w:rsid w:val="0008707D"/>
    <w:rsid w:val="00087360"/>
    <w:rsid w:val="00087553"/>
    <w:rsid w:val="00087612"/>
    <w:rsid w:val="00087AF6"/>
    <w:rsid w:val="00087C9E"/>
    <w:rsid w:val="000909AF"/>
    <w:rsid w:val="00090ACD"/>
    <w:rsid w:val="00090BD2"/>
    <w:rsid w:val="00091338"/>
    <w:rsid w:val="000918A2"/>
    <w:rsid w:val="00091A8A"/>
    <w:rsid w:val="0009222B"/>
    <w:rsid w:val="00092FA4"/>
    <w:rsid w:val="00092FD5"/>
    <w:rsid w:val="00093291"/>
    <w:rsid w:val="00093353"/>
    <w:rsid w:val="000933E7"/>
    <w:rsid w:val="00093729"/>
    <w:rsid w:val="00093AF8"/>
    <w:rsid w:val="000943DD"/>
    <w:rsid w:val="000948C2"/>
    <w:rsid w:val="00094A89"/>
    <w:rsid w:val="00094BEE"/>
    <w:rsid w:val="00094DEF"/>
    <w:rsid w:val="00095970"/>
    <w:rsid w:val="00095B66"/>
    <w:rsid w:val="00096B13"/>
    <w:rsid w:val="00096BD2"/>
    <w:rsid w:val="00097557"/>
    <w:rsid w:val="00097AB6"/>
    <w:rsid w:val="00097C00"/>
    <w:rsid w:val="000A0C40"/>
    <w:rsid w:val="000A0C57"/>
    <w:rsid w:val="000A0EBA"/>
    <w:rsid w:val="000A0F06"/>
    <w:rsid w:val="000A1054"/>
    <w:rsid w:val="000A129E"/>
    <w:rsid w:val="000A133F"/>
    <w:rsid w:val="000A13B6"/>
    <w:rsid w:val="000A1BFF"/>
    <w:rsid w:val="000A1ECC"/>
    <w:rsid w:val="000A1F3B"/>
    <w:rsid w:val="000A2C2E"/>
    <w:rsid w:val="000A3815"/>
    <w:rsid w:val="000A3934"/>
    <w:rsid w:val="000A3B0F"/>
    <w:rsid w:val="000A3BEB"/>
    <w:rsid w:val="000A3F8C"/>
    <w:rsid w:val="000A43FE"/>
    <w:rsid w:val="000A4736"/>
    <w:rsid w:val="000A49F0"/>
    <w:rsid w:val="000A4BC0"/>
    <w:rsid w:val="000A50A6"/>
    <w:rsid w:val="000A53DB"/>
    <w:rsid w:val="000A571C"/>
    <w:rsid w:val="000A580D"/>
    <w:rsid w:val="000A584F"/>
    <w:rsid w:val="000A60A2"/>
    <w:rsid w:val="000A60BB"/>
    <w:rsid w:val="000A612F"/>
    <w:rsid w:val="000A6793"/>
    <w:rsid w:val="000A6FDF"/>
    <w:rsid w:val="000A72E7"/>
    <w:rsid w:val="000A7600"/>
    <w:rsid w:val="000A7BFD"/>
    <w:rsid w:val="000A7CE9"/>
    <w:rsid w:val="000B0890"/>
    <w:rsid w:val="000B09A2"/>
    <w:rsid w:val="000B0E3A"/>
    <w:rsid w:val="000B15F3"/>
    <w:rsid w:val="000B171B"/>
    <w:rsid w:val="000B18CF"/>
    <w:rsid w:val="000B1F6E"/>
    <w:rsid w:val="000B2090"/>
    <w:rsid w:val="000B2098"/>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429"/>
    <w:rsid w:val="000B68B6"/>
    <w:rsid w:val="000B6E10"/>
    <w:rsid w:val="000B6EF5"/>
    <w:rsid w:val="000B78CE"/>
    <w:rsid w:val="000B7D86"/>
    <w:rsid w:val="000C0579"/>
    <w:rsid w:val="000C08BB"/>
    <w:rsid w:val="000C0A9C"/>
    <w:rsid w:val="000C0C3D"/>
    <w:rsid w:val="000C0CBE"/>
    <w:rsid w:val="000C145F"/>
    <w:rsid w:val="000C1CAF"/>
    <w:rsid w:val="000C2177"/>
    <w:rsid w:val="000C235B"/>
    <w:rsid w:val="000C237F"/>
    <w:rsid w:val="000C23FB"/>
    <w:rsid w:val="000C246D"/>
    <w:rsid w:val="000C2492"/>
    <w:rsid w:val="000C3174"/>
    <w:rsid w:val="000C34BC"/>
    <w:rsid w:val="000C3BDA"/>
    <w:rsid w:val="000C3C17"/>
    <w:rsid w:val="000C3CD1"/>
    <w:rsid w:val="000C3E6A"/>
    <w:rsid w:val="000C423D"/>
    <w:rsid w:val="000C427D"/>
    <w:rsid w:val="000C436D"/>
    <w:rsid w:val="000C46DF"/>
    <w:rsid w:val="000C46EC"/>
    <w:rsid w:val="000C4726"/>
    <w:rsid w:val="000C48AD"/>
    <w:rsid w:val="000C49DF"/>
    <w:rsid w:val="000C4F3F"/>
    <w:rsid w:val="000C527E"/>
    <w:rsid w:val="000C53E8"/>
    <w:rsid w:val="000C55CC"/>
    <w:rsid w:val="000C568C"/>
    <w:rsid w:val="000C6507"/>
    <w:rsid w:val="000C6641"/>
    <w:rsid w:val="000C676B"/>
    <w:rsid w:val="000C67B5"/>
    <w:rsid w:val="000C6AB8"/>
    <w:rsid w:val="000C7758"/>
    <w:rsid w:val="000C7933"/>
    <w:rsid w:val="000C7BB7"/>
    <w:rsid w:val="000D0952"/>
    <w:rsid w:val="000D09E5"/>
    <w:rsid w:val="000D0A25"/>
    <w:rsid w:val="000D10B4"/>
    <w:rsid w:val="000D1113"/>
    <w:rsid w:val="000D16AA"/>
    <w:rsid w:val="000D2551"/>
    <w:rsid w:val="000D37FC"/>
    <w:rsid w:val="000D3EDD"/>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060"/>
    <w:rsid w:val="000E127F"/>
    <w:rsid w:val="000E14DA"/>
    <w:rsid w:val="000E1856"/>
    <w:rsid w:val="000E2581"/>
    <w:rsid w:val="000E2F39"/>
    <w:rsid w:val="000E33E4"/>
    <w:rsid w:val="000E3614"/>
    <w:rsid w:val="000E3715"/>
    <w:rsid w:val="000E3A51"/>
    <w:rsid w:val="000E40CF"/>
    <w:rsid w:val="000E428E"/>
    <w:rsid w:val="000E42B6"/>
    <w:rsid w:val="000E4C31"/>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0BB4"/>
    <w:rsid w:val="000F10E5"/>
    <w:rsid w:val="000F174F"/>
    <w:rsid w:val="000F19D9"/>
    <w:rsid w:val="000F203A"/>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90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820"/>
    <w:rsid w:val="00103B75"/>
    <w:rsid w:val="00103C5D"/>
    <w:rsid w:val="001040A5"/>
    <w:rsid w:val="00104227"/>
    <w:rsid w:val="0010422F"/>
    <w:rsid w:val="00104727"/>
    <w:rsid w:val="0010522A"/>
    <w:rsid w:val="00105238"/>
    <w:rsid w:val="0010538A"/>
    <w:rsid w:val="0010590A"/>
    <w:rsid w:val="00105C38"/>
    <w:rsid w:val="00105CF8"/>
    <w:rsid w:val="00105D25"/>
    <w:rsid w:val="00106247"/>
    <w:rsid w:val="0010636D"/>
    <w:rsid w:val="001075BF"/>
    <w:rsid w:val="00107E0B"/>
    <w:rsid w:val="00107EB2"/>
    <w:rsid w:val="001104E4"/>
    <w:rsid w:val="00110D51"/>
    <w:rsid w:val="001110C4"/>
    <w:rsid w:val="00111510"/>
    <w:rsid w:val="00112B40"/>
    <w:rsid w:val="00112D06"/>
    <w:rsid w:val="0011406B"/>
    <w:rsid w:val="001142DB"/>
    <w:rsid w:val="00114BC8"/>
    <w:rsid w:val="00114D30"/>
    <w:rsid w:val="00114E39"/>
    <w:rsid w:val="00115045"/>
    <w:rsid w:val="00115876"/>
    <w:rsid w:val="00115A78"/>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B3"/>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4DE9"/>
    <w:rsid w:val="00125136"/>
    <w:rsid w:val="00125191"/>
    <w:rsid w:val="001260D8"/>
    <w:rsid w:val="00126555"/>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038"/>
    <w:rsid w:val="001352A2"/>
    <w:rsid w:val="001353FC"/>
    <w:rsid w:val="001356A0"/>
    <w:rsid w:val="00136062"/>
    <w:rsid w:val="0013623F"/>
    <w:rsid w:val="001367C1"/>
    <w:rsid w:val="00137262"/>
    <w:rsid w:val="001375F0"/>
    <w:rsid w:val="0013771D"/>
    <w:rsid w:val="00137855"/>
    <w:rsid w:val="00137C7A"/>
    <w:rsid w:val="00137DB6"/>
    <w:rsid w:val="00137F50"/>
    <w:rsid w:val="0014015F"/>
    <w:rsid w:val="001404B8"/>
    <w:rsid w:val="00140BBE"/>
    <w:rsid w:val="00140D12"/>
    <w:rsid w:val="00140F35"/>
    <w:rsid w:val="00141E77"/>
    <w:rsid w:val="0014282C"/>
    <w:rsid w:val="00142C04"/>
    <w:rsid w:val="00142C6A"/>
    <w:rsid w:val="00142DB0"/>
    <w:rsid w:val="0014307C"/>
    <w:rsid w:val="00143086"/>
    <w:rsid w:val="00143403"/>
    <w:rsid w:val="001435E2"/>
    <w:rsid w:val="00143618"/>
    <w:rsid w:val="00143EA7"/>
    <w:rsid w:val="00143EA8"/>
    <w:rsid w:val="0014504D"/>
    <w:rsid w:val="00145451"/>
    <w:rsid w:val="001454BD"/>
    <w:rsid w:val="00145554"/>
    <w:rsid w:val="00145A78"/>
    <w:rsid w:val="00145BB9"/>
    <w:rsid w:val="00145F43"/>
    <w:rsid w:val="00146393"/>
    <w:rsid w:val="00146A67"/>
    <w:rsid w:val="00146A88"/>
    <w:rsid w:val="00146BE8"/>
    <w:rsid w:val="00146E29"/>
    <w:rsid w:val="00147736"/>
    <w:rsid w:val="00147859"/>
    <w:rsid w:val="00147E1C"/>
    <w:rsid w:val="001504B9"/>
    <w:rsid w:val="0015087A"/>
    <w:rsid w:val="00150EB8"/>
    <w:rsid w:val="001511C3"/>
    <w:rsid w:val="00151371"/>
    <w:rsid w:val="00151730"/>
    <w:rsid w:val="00152334"/>
    <w:rsid w:val="0015267B"/>
    <w:rsid w:val="00152B86"/>
    <w:rsid w:val="00152F19"/>
    <w:rsid w:val="001533EC"/>
    <w:rsid w:val="00153B8D"/>
    <w:rsid w:val="00153CEB"/>
    <w:rsid w:val="00153F67"/>
    <w:rsid w:val="0015416F"/>
    <w:rsid w:val="00154199"/>
    <w:rsid w:val="00154359"/>
    <w:rsid w:val="001551D4"/>
    <w:rsid w:val="00155214"/>
    <w:rsid w:val="0015597D"/>
    <w:rsid w:val="00155A66"/>
    <w:rsid w:val="00155B85"/>
    <w:rsid w:val="00155B90"/>
    <w:rsid w:val="00155C10"/>
    <w:rsid w:val="00155EE6"/>
    <w:rsid w:val="00155F0B"/>
    <w:rsid w:val="00155F86"/>
    <w:rsid w:val="001566A0"/>
    <w:rsid w:val="00157440"/>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3C69"/>
    <w:rsid w:val="001649FA"/>
    <w:rsid w:val="00164A6F"/>
    <w:rsid w:val="00165963"/>
    <w:rsid w:val="00165BE7"/>
    <w:rsid w:val="00165CC4"/>
    <w:rsid w:val="00165D1C"/>
    <w:rsid w:val="001661A1"/>
    <w:rsid w:val="00166350"/>
    <w:rsid w:val="001664E1"/>
    <w:rsid w:val="00166663"/>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6BB"/>
    <w:rsid w:val="001758A5"/>
    <w:rsid w:val="00175A56"/>
    <w:rsid w:val="00175AE9"/>
    <w:rsid w:val="00175B13"/>
    <w:rsid w:val="00175B4F"/>
    <w:rsid w:val="0017600E"/>
    <w:rsid w:val="00176455"/>
    <w:rsid w:val="00176A9B"/>
    <w:rsid w:val="00176C6F"/>
    <w:rsid w:val="001771DB"/>
    <w:rsid w:val="0017736A"/>
    <w:rsid w:val="001774E3"/>
    <w:rsid w:val="00177D56"/>
    <w:rsid w:val="00177F2B"/>
    <w:rsid w:val="00177F91"/>
    <w:rsid w:val="0018086A"/>
    <w:rsid w:val="00180B1E"/>
    <w:rsid w:val="00180B53"/>
    <w:rsid w:val="00180B68"/>
    <w:rsid w:val="001812B1"/>
    <w:rsid w:val="001815D7"/>
    <w:rsid w:val="001816D8"/>
    <w:rsid w:val="001819AF"/>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639"/>
    <w:rsid w:val="00184990"/>
    <w:rsid w:val="00184A62"/>
    <w:rsid w:val="00184C9B"/>
    <w:rsid w:val="00185167"/>
    <w:rsid w:val="001854A9"/>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6F"/>
    <w:rsid w:val="00191E95"/>
    <w:rsid w:val="00191EAA"/>
    <w:rsid w:val="00192157"/>
    <w:rsid w:val="001924F4"/>
    <w:rsid w:val="001925AF"/>
    <w:rsid w:val="00192AFF"/>
    <w:rsid w:val="00192C0A"/>
    <w:rsid w:val="00192C0F"/>
    <w:rsid w:val="00193224"/>
    <w:rsid w:val="0019327E"/>
    <w:rsid w:val="001932BB"/>
    <w:rsid w:val="00193332"/>
    <w:rsid w:val="00193831"/>
    <w:rsid w:val="001944B1"/>
    <w:rsid w:val="00194961"/>
    <w:rsid w:val="00194EF0"/>
    <w:rsid w:val="00195748"/>
    <w:rsid w:val="00195EBD"/>
    <w:rsid w:val="00195F2B"/>
    <w:rsid w:val="00196505"/>
    <w:rsid w:val="0019657A"/>
    <w:rsid w:val="00196765"/>
    <w:rsid w:val="001968F8"/>
    <w:rsid w:val="0019696E"/>
    <w:rsid w:val="00196F0A"/>
    <w:rsid w:val="00197438"/>
    <w:rsid w:val="00197580"/>
    <w:rsid w:val="00197A15"/>
    <w:rsid w:val="001A045A"/>
    <w:rsid w:val="001A1132"/>
    <w:rsid w:val="001A1B2F"/>
    <w:rsid w:val="001A1EF5"/>
    <w:rsid w:val="001A2940"/>
    <w:rsid w:val="001A2B09"/>
    <w:rsid w:val="001A2B1E"/>
    <w:rsid w:val="001A2BF6"/>
    <w:rsid w:val="001A3352"/>
    <w:rsid w:val="001A341D"/>
    <w:rsid w:val="001A36F3"/>
    <w:rsid w:val="001A36FC"/>
    <w:rsid w:val="001A39FB"/>
    <w:rsid w:val="001A41EE"/>
    <w:rsid w:val="001A4274"/>
    <w:rsid w:val="001A46F2"/>
    <w:rsid w:val="001A4B43"/>
    <w:rsid w:val="001A4BB1"/>
    <w:rsid w:val="001A5015"/>
    <w:rsid w:val="001A5437"/>
    <w:rsid w:val="001A59E6"/>
    <w:rsid w:val="001A6200"/>
    <w:rsid w:val="001A66CB"/>
    <w:rsid w:val="001A6B0F"/>
    <w:rsid w:val="001A6C94"/>
    <w:rsid w:val="001A6FC9"/>
    <w:rsid w:val="001A7059"/>
    <w:rsid w:val="001A7073"/>
    <w:rsid w:val="001A70E5"/>
    <w:rsid w:val="001A78C3"/>
    <w:rsid w:val="001A7AAA"/>
    <w:rsid w:val="001A7D4A"/>
    <w:rsid w:val="001A7F4D"/>
    <w:rsid w:val="001A7F76"/>
    <w:rsid w:val="001B01A5"/>
    <w:rsid w:val="001B04EB"/>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57AE"/>
    <w:rsid w:val="001B6504"/>
    <w:rsid w:val="001B7173"/>
    <w:rsid w:val="001B7178"/>
    <w:rsid w:val="001B7572"/>
    <w:rsid w:val="001C010A"/>
    <w:rsid w:val="001C04F2"/>
    <w:rsid w:val="001C07BC"/>
    <w:rsid w:val="001C0BF9"/>
    <w:rsid w:val="001C0D9F"/>
    <w:rsid w:val="001C1055"/>
    <w:rsid w:val="001C144E"/>
    <w:rsid w:val="001C1B73"/>
    <w:rsid w:val="001C204C"/>
    <w:rsid w:val="001C21B0"/>
    <w:rsid w:val="001C245E"/>
    <w:rsid w:val="001C29F8"/>
    <w:rsid w:val="001C2D82"/>
    <w:rsid w:val="001C3CDE"/>
    <w:rsid w:val="001C3FD6"/>
    <w:rsid w:val="001C41A2"/>
    <w:rsid w:val="001C457F"/>
    <w:rsid w:val="001C4B3C"/>
    <w:rsid w:val="001C5172"/>
    <w:rsid w:val="001C51E5"/>
    <w:rsid w:val="001C556A"/>
    <w:rsid w:val="001C559C"/>
    <w:rsid w:val="001C5792"/>
    <w:rsid w:val="001C588B"/>
    <w:rsid w:val="001C5A47"/>
    <w:rsid w:val="001C5AF1"/>
    <w:rsid w:val="001C5BF9"/>
    <w:rsid w:val="001C6E57"/>
    <w:rsid w:val="001C6EAD"/>
    <w:rsid w:val="001C71F4"/>
    <w:rsid w:val="001C7321"/>
    <w:rsid w:val="001C7AF0"/>
    <w:rsid w:val="001C7B8C"/>
    <w:rsid w:val="001C7D5D"/>
    <w:rsid w:val="001D04B0"/>
    <w:rsid w:val="001D12D8"/>
    <w:rsid w:val="001D1AB6"/>
    <w:rsid w:val="001D1AFE"/>
    <w:rsid w:val="001D1B82"/>
    <w:rsid w:val="001D1FE5"/>
    <w:rsid w:val="001D2297"/>
    <w:rsid w:val="001D2695"/>
    <w:rsid w:val="001D26B2"/>
    <w:rsid w:val="001D2AA2"/>
    <w:rsid w:val="001D3067"/>
    <w:rsid w:val="001D3216"/>
    <w:rsid w:val="001D33A5"/>
    <w:rsid w:val="001D3412"/>
    <w:rsid w:val="001D3AF1"/>
    <w:rsid w:val="001D4543"/>
    <w:rsid w:val="001D4616"/>
    <w:rsid w:val="001D483C"/>
    <w:rsid w:val="001D5144"/>
    <w:rsid w:val="001D5387"/>
    <w:rsid w:val="001D54A8"/>
    <w:rsid w:val="001D56C7"/>
    <w:rsid w:val="001D57B2"/>
    <w:rsid w:val="001D57D0"/>
    <w:rsid w:val="001D5D06"/>
    <w:rsid w:val="001D638E"/>
    <w:rsid w:val="001D63C7"/>
    <w:rsid w:val="001D654E"/>
    <w:rsid w:val="001D6595"/>
    <w:rsid w:val="001D6AC5"/>
    <w:rsid w:val="001D7373"/>
    <w:rsid w:val="001D76C7"/>
    <w:rsid w:val="001D7921"/>
    <w:rsid w:val="001D7AAF"/>
    <w:rsid w:val="001D7F7B"/>
    <w:rsid w:val="001E128B"/>
    <w:rsid w:val="001E17C0"/>
    <w:rsid w:val="001E204C"/>
    <w:rsid w:val="001E2392"/>
    <w:rsid w:val="001E25C9"/>
    <w:rsid w:val="001E2B5E"/>
    <w:rsid w:val="001E2EBA"/>
    <w:rsid w:val="001E2ED5"/>
    <w:rsid w:val="001E2F20"/>
    <w:rsid w:val="001E36B1"/>
    <w:rsid w:val="001E3833"/>
    <w:rsid w:val="001E3E5E"/>
    <w:rsid w:val="001E4024"/>
    <w:rsid w:val="001E4406"/>
    <w:rsid w:val="001E4438"/>
    <w:rsid w:val="001E4808"/>
    <w:rsid w:val="001E4838"/>
    <w:rsid w:val="001E492A"/>
    <w:rsid w:val="001E4C52"/>
    <w:rsid w:val="001E51EF"/>
    <w:rsid w:val="001E533B"/>
    <w:rsid w:val="001E53B7"/>
    <w:rsid w:val="001E5852"/>
    <w:rsid w:val="001E5E4B"/>
    <w:rsid w:val="001E5E72"/>
    <w:rsid w:val="001E5F0F"/>
    <w:rsid w:val="001E605E"/>
    <w:rsid w:val="001E722B"/>
    <w:rsid w:val="001E7D42"/>
    <w:rsid w:val="001E7DFF"/>
    <w:rsid w:val="001E7E0B"/>
    <w:rsid w:val="001E7E87"/>
    <w:rsid w:val="001F004F"/>
    <w:rsid w:val="001F011A"/>
    <w:rsid w:val="001F04BD"/>
    <w:rsid w:val="001F1051"/>
    <w:rsid w:val="001F17A8"/>
    <w:rsid w:val="001F1892"/>
    <w:rsid w:val="001F2194"/>
    <w:rsid w:val="001F2833"/>
    <w:rsid w:val="001F33AA"/>
    <w:rsid w:val="001F3963"/>
    <w:rsid w:val="001F3FAE"/>
    <w:rsid w:val="001F40A0"/>
    <w:rsid w:val="001F4232"/>
    <w:rsid w:val="001F45FC"/>
    <w:rsid w:val="001F4833"/>
    <w:rsid w:val="001F4A0D"/>
    <w:rsid w:val="001F4B28"/>
    <w:rsid w:val="001F4D13"/>
    <w:rsid w:val="001F4FB1"/>
    <w:rsid w:val="001F55E5"/>
    <w:rsid w:val="001F59AF"/>
    <w:rsid w:val="001F59ED"/>
    <w:rsid w:val="001F5FE9"/>
    <w:rsid w:val="001F68FF"/>
    <w:rsid w:val="001F6979"/>
    <w:rsid w:val="001F77D8"/>
    <w:rsid w:val="001F7E20"/>
    <w:rsid w:val="002001BB"/>
    <w:rsid w:val="002001CB"/>
    <w:rsid w:val="002008CD"/>
    <w:rsid w:val="00200CFE"/>
    <w:rsid w:val="00200D6C"/>
    <w:rsid w:val="00201182"/>
    <w:rsid w:val="00201301"/>
    <w:rsid w:val="0020192F"/>
    <w:rsid w:val="00201BAB"/>
    <w:rsid w:val="00202265"/>
    <w:rsid w:val="0020289C"/>
    <w:rsid w:val="002028F2"/>
    <w:rsid w:val="00202EA6"/>
    <w:rsid w:val="002030D2"/>
    <w:rsid w:val="00203415"/>
    <w:rsid w:val="002034CC"/>
    <w:rsid w:val="002038DE"/>
    <w:rsid w:val="00203913"/>
    <w:rsid w:val="00203950"/>
    <w:rsid w:val="00203A74"/>
    <w:rsid w:val="00203CE1"/>
    <w:rsid w:val="0020405A"/>
    <w:rsid w:val="00204372"/>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557"/>
    <w:rsid w:val="00210763"/>
    <w:rsid w:val="00210A45"/>
    <w:rsid w:val="00210B52"/>
    <w:rsid w:val="00210FF3"/>
    <w:rsid w:val="00211102"/>
    <w:rsid w:val="00211224"/>
    <w:rsid w:val="00211333"/>
    <w:rsid w:val="00211455"/>
    <w:rsid w:val="00211A21"/>
    <w:rsid w:val="00211B51"/>
    <w:rsid w:val="00211ED8"/>
    <w:rsid w:val="00212379"/>
    <w:rsid w:val="002129EF"/>
    <w:rsid w:val="00212DE4"/>
    <w:rsid w:val="00212E71"/>
    <w:rsid w:val="002132F1"/>
    <w:rsid w:val="002134F8"/>
    <w:rsid w:val="002139D1"/>
    <w:rsid w:val="00213C9E"/>
    <w:rsid w:val="00214206"/>
    <w:rsid w:val="002142FA"/>
    <w:rsid w:val="00214A8E"/>
    <w:rsid w:val="00216575"/>
    <w:rsid w:val="00216984"/>
    <w:rsid w:val="002176A5"/>
    <w:rsid w:val="002177DC"/>
    <w:rsid w:val="00217FDD"/>
    <w:rsid w:val="002202F4"/>
    <w:rsid w:val="0022067A"/>
    <w:rsid w:val="00220C08"/>
    <w:rsid w:val="002212B7"/>
    <w:rsid w:val="002213FC"/>
    <w:rsid w:val="00221802"/>
    <w:rsid w:val="00221F50"/>
    <w:rsid w:val="00221F6A"/>
    <w:rsid w:val="00222076"/>
    <w:rsid w:val="002226B5"/>
    <w:rsid w:val="00222C67"/>
    <w:rsid w:val="00222EF0"/>
    <w:rsid w:val="00222F8F"/>
    <w:rsid w:val="002234FA"/>
    <w:rsid w:val="00223EB0"/>
    <w:rsid w:val="002241AE"/>
    <w:rsid w:val="00224311"/>
    <w:rsid w:val="002246B9"/>
    <w:rsid w:val="002248ED"/>
    <w:rsid w:val="00224AD6"/>
    <w:rsid w:val="00224BB5"/>
    <w:rsid w:val="00224BD0"/>
    <w:rsid w:val="00224CBF"/>
    <w:rsid w:val="00224E9D"/>
    <w:rsid w:val="002251DF"/>
    <w:rsid w:val="00225B48"/>
    <w:rsid w:val="00226369"/>
    <w:rsid w:val="002263CD"/>
    <w:rsid w:val="00226439"/>
    <w:rsid w:val="00226794"/>
    <w:rsid w:val="002304D1"/>
    <w:rsid w:val="00230856"/>
    <w:rsid w:val="00230949"/>
    <w:rsid w:val="00230B27"/>
    <w:rsid w:val="00230C2C"/>
    <w:rsid w:val="00230F8A"/>
    <w:rsid w:val="00231048"/>
    <w:rsid w:val="002315AE"/>
    <w:rsid w:val="00231BBB"/>
    <w:rsid w:val="00232146"/>
    <w:rsid w:val="002323DF"/>
    <w:rsid w:val="002327D7"/>
    <w:rsid w:val="002338D5"/>
    <w:rsid w:val="00233C58"/>
    <w:rsid w:val="00234570"/>
    <w:rsid w:val="00234C32"/>
    <w:rsid w:val="00235025"/>
    <w:rsid w:val="00235388"/>
    <w:rsid w:val="002355A3"/>
    <w:rsid w:val="00235FA8"/>
    <w:rsid w:val="00236244"/>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91B"/>
    <w:rsid w:val="00246FA7"/>
    <w:rsid w:val="00247037"/>
    <w:rsid w:val="00247101"/>
    <w:rsid w:val="0024735D"/>
    <w:rsid w:val="00247826"/>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CD1"/>
    <w:rsid w:val="00253D20"/>
    <w:rsid w:val="0025435E"/>
    <w:rsid w:val="0025484B"/>
    <w:rsid w:val="00254A91"/>
    <w:rsid w:val="00254F55"/>
    <w:rsid w:val="00255337"/>
    <w:rsid w:val="00255550"/>
    <w:rsid w:val="00255651"/>
    <w:rsid w:val="002559B2"/>
    <w:rsid w:val="0025619C"/>
    <w:rsid w:val="002568BD"/>
    <w:rsid w:val="002569EB"/>
    <w:rsid w:val="002570AC"/>
    <w:rsid w:val="00257952"/>
    <w:rsid w:val="00257F56"/>
    <w:rsid w:val="002603C4"/>
    <w:rsid w:val="002608E6"/>
    <w:rsid w:val="00260CE5"/>
    <w:rsid w:val="00260D93"/>
    <w:rsid w:val="002615E4"/>
    <w:rsid w:val="00261C8A"/>
    <w:rsid w:val="00261D95"/>
    <w:rsid w:val="0026211C"/>
    <w:rsid w:val="002624F0"/>
    <w:rsid w:val="00262760"/>
    <w:rsid w:val="00262BA2"/>
    <w:rsid w:val="002630B2"/>
    <w:rsid w:val="00263309"/>
    <w:rsid w:val="002633B8"/>
    <w:rsid w:val="002634AD"/>
    <w:rsid w:val="00263823"/>
    <w:rsid w:val="0026391A"/>
    <w:rsid w:val="00263B2A"/>
    <w:rsid w:val="00263CB6"/>
    <w:rsid w:val="00263E28"/>
    <w:rsid w:val="0026401D"/>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57"/>
    <w:rsid w:val="00270BF2"/>
    <w:rsid w:val="00270CAD"/>
    <w:rsid w:val="00270CC9"/>
    <w:rsid w:val="00270D00"/>
    <w:rsid w:val="00271819"/>
    <w:rsid w:val="00271E7C"/>
    <w:rsid w:val="002726DA"/>
    <w:rsid w:val="002728DF"/>
    <w:rsid w:val="0027295F"/>
    <w:rsid w:val="00272E7C"/>
    <w:rsid w:val="00273165"/>
    <w:rsid w:val="0027325B"/>
    <w:rsid w:val="00273312"/>
    <w:rsid w:val="00273C06"/>
    <w:rsid w:val="00273D4B"/>
    <w:rsid w:val="00273EA7"/>
    <w:rsid w:val="00273F20"/>
    <w:rsid w:val="00274383"/>
    <w:rsid w:val="002746CD"/>
    <w:rsid w:val="002747B1"/>
    <w:rsid w:val="00275362"/>
    <w:rsid w:val="00275E83"/>
    <w:rsid w:val="002768B9"/>
    <w:rsid w:val="002769C3"/>
    <w:rsid w:val="0027725D"/>
    <w:rsid w:val="00277529"/>
    <w:rsid w:val="002778E5"/>
    <w:rsid w:val="00277D2E"/>
    <w:rsid w:val="00280051"/>
    <w:rsid w:val="00280704"/>
    <w:rsid w:val="00280F28"/>
    <w:rsid w:val="0028110C"/>
    <w:rsid w:val="002813A6"/>
    <w:rsid w:val="00281A3E"/>
    <w:rsid w:val="00281CFE"/>
    <w:rsid w:val="002820B0"/>
    <w:rsid w:val="0028293B"/>
    <w:rsid w:val="00282FB9"/>
    <w:rsid w:val="002837B0"/>
    <w:rsid w:val="002839CA"/>
    <w:rsid w:val="00283D72"/>
    <w:rsid w:val="00283DF4"/>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C06"/>
    <w:rsid w:val="00287D42"/>
    <w:rsid w:val="002901DE"/>
    <w:rsid w:val="0029027D"/>
    <w:rsid w:val="00290305"/>
    <w:rsid w:val="0029054F"/>
    <w:rsid w:val="00290831"/>
    <w:rsid w:val="00290880"/>
    <w:rsid w:val="00290CF9"/>
    <w:rsid w:val="00290F1C"/>
    <w:rsid w:val="002911AF"/>
    <w:rsid w:val="00291398"/>
    <w:rsid w:val="002913AD"/>
    <w:rsid w:val="00291604"/>
    <w:rsid w:val="0029198E"/>
    <w:rsid w:val="00291A5B"/>
    <w:rsid w:val="00291E36"/>
    <w:rsid w:val="002921ED"/>
    <w:rsid w:val="0029248E"/>
    <w:rsid w:val="00292BE5"/>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4C5"/>
    <w:rsid w:val="00297661"/>
    <w:rsid w:val="002A02DE"/>
    <w:rsid w:val="002A0374"/>
    <w:rsid w:val="002A047A"/>
    <w:rsid w:val="002A09BD"/>
    <w:rsid w:val="002A0D1F"/>
    <w:rsid w:val="002A104A"/>
    <w:rsid w:val="002A13A4"/>
    <w:rsid w:val="002A1510"/>
    <w:rsid w:val="002A1C21"/>
    <w:rsid w:val="002A20F7"/>
    <w:rsid w:val="002A25BC"/>
    <w:rsid w:val="002A264B"/>
    <w:rsid w:val="002A29BD"/>
    <w:rsid w:val="002A3118"/>
    <w:rsid w:val="002A311B"/>
    <w:rsid w:val="002A3957"/>
    <w:rsid w:val="002A3B5B"/>
    <w:rsid w:val="002A3EF2"/>
    <w:rsid w:val="002A3F7A"/>
    <w:rsid w:val="002A3F9B"/>
    <w:rsid w:val="002A4177"/>
    <w:rsid w:val="002A43A6"/>
    <w:rsid w:val="002A4D16"/>
    <w:rsid w:val="002A4E36"/>
    <w:rsid w:val="002A51C9"/>
    <w:rsid w:val="002A57E0"/>
    <w:rsid w:val="002A5892"/>
    <w:rsid w:val="002A5B11"/>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6F1"/>
    <w:rsid w:val="002B39C0"/>
    <w:rsid w:val="002B3D83"/>
    <w:rsid w:val="002B4E99"/>
    <w:rsid w:val="002B4F3D"/>
    <w:rsid w:val="002B5AE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2DF"/>
    <w:rsid w:val="002C1937"/>
    <w:rsid w:val="002C20EE"/>
    <w:rsid w:val="002C23CB"/>
    <w:rsid w:val="002C23EB"/>
    <w:rsid w:val="002C23F0"/>
    <w:rsid w:val="002C25B0"/>
    <w:rsid w:val="002C2861"/>
    <w:rsid w:val="002C29B3"/>
    <w:rsid w:val="002C2A39"/>
    <w:rsid w:val="002C2B0C"/>
    <w:rsid w:val="002C2C36"/>
    <w:rsid w:val="002C3370"/>
    <w:rsid w:val="002C34B7"/>
    <w:rsid w:val="002C3602"/>
    <w:rsid w:val="002C3683"/>
    <w:rsid w:val="002C381C"/>
    <w:rsid w:val="002C39F9"/>
    <w:rsid w:val="002C4989"/>
    <w:rsid w:val="002C56E0"/>
    <w:rsid w:val="002C5A60"/>
    <w:rsid w:val="002C6262"/>
    <w:rsid w:val="002C6B92"/>
    <w:rsid w:val="002D0BFF"/>
    <w:rsid w:val="002D0CB6"/>
    <w:rsid w:val="002D1152"/>
    <w:rsid w:val="002D1D9D"/>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CAA"/>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946"/>
    <w:rsid w:val="002E50E3"/>
    <w:rsid w:val="002E5292"/>
    <w:rsid w:val="002E5495"/>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D13"/>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3B8"/>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60C"/>
    <w:rsid w:val="003059AA"/>
    <w:rsid w:val="00306372"/>
    <w:rsid w:val="003064CB"/>
    <w:rsid w:val="0030673E"/>
    <w:rsid w:val="00306805"/>
    <w:rsid w:val="00307001"/>
    <w:rsid w:val="00307589"/>
    <w:rsid w:val="0030784A"/>
    <w:rsid w:val="00307A44"/>
    <w:rsid w:val="00307AAF"/>
    <w:rsid w:val="00307C00"/>
    <w:rsid w:val="00307E43"/>
    <w:rsid w:val="00310936"/>
    <w:rsid w:val="003109F3"/>
    <w:rsid w:val="00310A8A"/>
    <w:rsid w:val="00310D92"/>
    <w:rsid w:val="00310F96"/>
    <w:rsid w:val="00311558"/>
    <w:rsid w:val="00311651"/>
    <w:rsid w:val="00311DC9"/>
    <w:rsid w:val="00312A1E"/>
    <w:rsid w:val="00312ABE"/>
    <w:rsid w:val="00312CD5"/>
    <w:rsid w:val="00313102"/>
    <w:rsid w:val="00313487"/>
    <w:rsid w:val="00313734"/>
    <w:rsid w:val="00313F41"/>
    <w:rsid w:val="0031402B"/>
    <w:rsid w:val="0031406F"/>
    <w:rsid w:val="00314463"/>
    <w:rsid w:val="00314578"/>
    <w:rsid w:val="00314C95"/>
    <w:rsid w:val="00315D7C"/>
    <w:rsid w:val="00316D58"/>
    <w:rsid w:val="00316EDA"/>
    <w:rsid w:val="003170A3"/>
    <w:rsid w:val="00317194"/>
    <w:rsid w:val="00317365"/>
    <w:rsid w:val="003179F2"/>
    <w:rsid w:val="00317AAA"/>
    <w:rsid w:val="00317E15"/>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791"/>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213"/>
    <w:rsid w:val="00330B5A"/>
    <w:rsid w:val="00330CEC"/>
    <w:rsid w:val="00330D6B"/>
    <w:rsid w:val="00330F7F"/>
    <w:rsid w:val="0033178A"/>
    <w:rsid w:val="003317DC"/>
    <w:rsid w:val="00331A36"/>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3D4"/>
    <w:rsid w:val="003364AC"/>
    <w:rsid w:val="00336DA4"/>
    <w:rsid w:val="003378B4"/>
    <w:rsid w:val="00337B27"/>
    <w:rsid w:val="00337D55"/>
    <w:rsid w:val="003401EB"/>
    <w:rsid w:val="003405B6"/>
    <w:rsid w:val="00340A4F"/>
    <w:rsid w:val="0034163F"/>
    <w:rsid w:val="00341C4C"/>
    <w:rsid w:val="0034226D"/>
    <w:rsid w:val="003428A2"/>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05A"/>
    <w:rsid w:val="0035177D"/>
    <w:rsid w:val="003519C5"/>
    <w:rsid w:val="003519DD"/>
    <w:rsid w:val="003519E6"/>
    <w:rsid w:val="00351A5F"/>
    <w:rsid w:val="00351D12"/>
    <w:rsid w:val="00352231"/>
    <w:rsid w:val="0035238B"/>
    <w:rsid w:val="003523B7"/>
    <w:rsid w:val="003529F1"/>
    <w:rsid w:val="00353029"/>
    <w:rsid w:val="0035318E"/>
    <w:rsid w:val="00353244"/>
    <w:rsid w:val="0035325B"/>
    <w:rsid w:val="003532C6"/>
    <w:rsid w:val="003534F3"/>
    <w:rsid w:val="00353641"/>
    <w:rsid w:val="0035389D"/>
    <w:rsid w:val="003539DC"/>
    <w:rsid w:val="00353D56"/>
    <w:rsid w:val="003542DB"/>
    <w:rsid w:val="00354537"/>
    <w:rsid w:val="0035453B"/>
    <w:rsid w:val="003545AC"/>
    <w:rsid w:val="00354F6C"/>
    <w:rsid w:val="0035504D"/>
    <w:rsid w:val="0035572F"/>
    <w:rsid w:val="00355BBA"/>
    <w:rsid w:val="00356018"/>
    <w:rsid w:val="00356214"/>
    <w:rsid w:val="00356795"/>
    <w:rsid w:val="0035697F"/>
    <w:rsid w:val="003569B6"/>
    <w:rsid w:val="00357471"/>
    <w:rsid w:val="0036019D"/>
    <w:rsid w:val="00360441"/>
    <w:rsid w:val="00360486"/>
    <w:rsid w:val="00360AD8"/>
    <w:rsid w:val="00360E11"/>
    <w:rsid w:val="0036123C"/>
    <w:rsid w:val="0036159E"/>
    <w:rsid w:val="00361872"/>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0EE6"/>
    <w:rsid w:val="003714D3"/>
    <w:rsid w:val="00372AA8"/>
    <w:rsid w:val="00372DF4"/>
    <w:rsid w:val="0037375E"/>
    <w:rsid w:val="00373BA5"/>
    <w:rsid w:val="00373CA3"/>
    <w:rsid w:val="00373D3B"/>
    <w:rsid w:val="00374054"/>
    <w:rsid w:val="0037414A"/>
    <w:rsid w:val="00374244"/>
    <w:rsid w:val="00374506"/>
    <w:rsid w:val="00374518"/>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066"/>
    <w:rsid w:val="0038246F"/>
    <w:rsid w:val="00382866"/>
    <w:rsid w:val="00382869"/>
    <w:rsid w:val="00382C3C"/>
    <w:rsid w:val="00382FD0"/>
    <w:rsid w:val="0038308C"/>
    <w:rsid w:val="003838B9"/>
    <w:rsid w:val="00383E87"/>
    <w:rsid w:val="003842A0"/>
    <w:rsid w:val="0038472A"/>
    <w:rsid w:val="00384FA2"/>
    <w:rsid w:val="00384FC0"/>
    <w:rsid w:val="0038548F"/>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00"/>
    <w:rsid w:val="003948D2"/>
    <w:rsid w:val="00394DBD"/>
    <w:rsid w:val="00394ECF"/>
    <w:rsid w:val="003952D4"/>
    <w:rsid w:val="00395AA4"/>
    <w:rsid w:val="00395E4E"/>
    <w:rsid w:val="00395FF5"/>
    <w:rsid w:val="003961AE"/>
    <w:rsid w:val="00396245"/>
    <w:rsid w:val="0039629C"/>
    <w:rsid w:val="003962E1"/>
    <w:rsid w:val="00396508"/>
    <w:rsid w:val="003965D6"/>
    <w:rsid w:val="00396A9B"/>
    <w:rsid w:val="00396EEA"/>
    <w:rsid w:val="003979E4"/>
    <w:rsid w:val="00397B85"/>
    <w:rsid w:val="00397C09"/>
    <w:rsid w:val="003A0152"/>
    <w:rsid w:val="003A0C29"/>
    <w:rsid w:val="003A12DD"/>
    <w:rsid w:val="003A1B87"/>
    <w:rsid w:val="003A249D"/>
    <w:rsid w:val="003A297D"/>
    <w:rsid w:val="003A2B30"/>
    <w:rsid w:val="003A31AF"/>
    <w:rsid w:val="003A3B05"/>
    <w:rsid w:val="003A3E3F"/>
    <w:rsid w:val="003A4148"/>
    <w:rsid w:val="003A486E"/>
    <w:rsid w:val="003A4FBE"/>
    <w:rsid w:val="003A5E64"/>
    <w:rsid w:val="003A69BE"/>
    <w:rsid w:val="003A70CD"/>
    <w:rsid w:val="003A773D"/>
    <w:rsid w:val="003B0047"/>
    <w:rsid w:val="003B0244"/>
    <w:rsid w:val="003B0852"/>
    <w:rsid w:val="003B0B6A"/>
    <w:rsid w:val="003B1007"/>
    <w:rsid w:val="003B1160"/>
    <w:rsid w:val="003B15F5"/>
    <w:rsid w:val="003B172E"/>
    <w:rsid w:val="003B1D6D"/>
    <w:rsid w:val="003B1EC3"/>
    <w:rsid w:val="003B26D6"/>
    <w:rsid w:val="003B2AD7"/>
    <w:rsid w:val="003B2D59"/>
    <w:rsid w:val="003B2E12"/>
    <w:rsid w:val="003B33F3"/>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B7D40"/>
    <w:rsid w:val="003C0150"/>
    <w:rsid w:val="003C0559"/>
    <w:rsid w:val="003C07C1"/>
    <w:rsid w:val="003C0CB6"/>
    <w:rsid w:val="003C12D6"/>
    <w:rsid w:val="003C17EA"/>
    <w:rsid w:val="003C1982"/>
    <w:rsid w:val="003C1CEC"/>
    <w:rsid w:val="003C216A"/>
    <w:rsid w:val="003C24EF"/>
    <w:rsid w:val="003C27FE"/>
    <w:rsid w:val="003C2ABA"/>
    <w:rsid w:val="003C2DA2"/>
    <w:rsid w:val="003C314B"/>
    <w:rsid w:val="003C3262"/>
    <w:rsid w:val="003C3654"/>
    <w:rsid w:val="003C3822"/>
    <w:rsid w:val="003C3968"/>
    <w:rsid w:val="003C3CB9"/>
    <w:rsid w:val="003C400D"/>
    <w:rsid w:val="003C437C"/>
    <w:rsid w:val="003C45F7"/>
    <w:rsid w:val="003C4B7A"/>
    <w:rsid w:val="003C4DDE"/>
    <w:rsid w:val="003C4EAF"/>
    <w:rsid w:val="003C54B3"/>
    <w:rsid w:val="003C5630"/>
    <w:rsid w:val="003C57F7"/>
    <w:rsid w:val="003C625F"/>
    <w:rsid w:val="003C64C1"/>
    <w:rsid w:val="003C6876"/>
    <w:rsid w:val="003C6A1B"/>
    <w:rsid w:val="003C6CB1"/>
    <w:rsid w:val="003C6F27"/>
    <w:rsid w:val="003C7D1D"/>
    <w:rsid w:val="003C7FFA"/>
    <w:rsid w:val="003D0573"/>
    <w:rsid w:val="003D0627"/>
    <w:rsid w:val="003D0749"/>
    <w:rsid w:val="003D0BF3"/>
    <w:rsid w:val="003D1417"/>
    <w:rsid w:val="003D1898"/>
    <w:rsid w:val="003D1F29"/>
    <w:rsid w:val="003D2537"/>
    <w:rsid w:val="003D2EAD"/>
    <w:rsid w:val="003D3476"/>
    <w:rsid w:val="003D3751"/>
    <w:rsid w:val="003D3826"/>
    <w:rsid w:val="003D46FF"/>
    <w:rsid w:val="003D4875"/>
    <w:rsid w:val="003D4884"/>
    <w:rsid w:val="003D4A3B"/>
    <w:rsid w:val="003D4C77"/>
    <w:rsid w:val="003D4E86"/>
    <w:rsid w:val="003D5618"/>
    <w:rsid w:val="003D5ABB"/>
    <w:rsid w:val="003D5CB6"/>
    <w:rsid w:val="003D6404"/>
    <w:rsid w:val="003D6442"/>
    <w:rsid w:val="003D6521"/>
    <w:rsid w:val="003D6C59"/>
    <w:rsid w:val="003D6CEE"/>
    <w:rsid w:val="003D7034"/>
    <w:rsid w:val="003D72D6"/>
    <w:rsid w:val="003D7B76"/>
    <w:rsid w:val="003D7F57"/>
    <w:rsid w:val="003E04B5"/>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97F"/>
    <w:rsid w:val="003E3D52"/>
    <w:rsid w:val="003E3EC5"/>
    <w:rsid w:val="003E4082"/>
    <w:rsid w:val="003E456A"/>
    <w:rsid w:val="003E469A"/>
    <w:rsid w:val="003E48C7"/>
    <w:rsid w:val="003E4A2C"/>
    <w:rsid w:val="003E4F1D"/>
    <w:rsid w:val="003E525E"/>
    <w:rsid w:val="003E530A"/>
    <w:rsid w:val="003E568D"/>
    <w:rsid w:val="003E56A3"/>
    <w:rsid w:val="003E5C15"/>
    <w:rsid w:val="003E5C8B"/>
    <w:rsid w:val="003E6082"/>
    <w:rsid w:val="003E6283"/>
    <w:rsid w:val="003E67F2"/>
    <w:rsid w:val="003E6EFF"/>
    <w:rsid w:val="003E72A1"/>
    <w:rsid w:val="003E7E6F"/>
    <w:rsid w:val="003F087E"/>
    <w:rsid w:val="003F12F0"/>
    <w:rsid w:val="003F153E"/>
    <w:rsid w:val="003F1815"/>
    <w:rsid w:val="003F18E1"/>
    <w:rsid w:val="003F229A"/>
    <w:rsid w:val="003F2463"/>
    <w:rsid w:val="003F278A"/>
    <w:rsid w:val="003F296D"/>
    <w:rsid w:val="003F2B08"/>
    <w:rsid w:val="003F2CB3"/>
    <w:rsid w:val="003F2F24"/>
    <w:rsid w:val="003F2FA3"/>
    <w:rsid w:val="003F30A3"/>
    <w:rsid w:val="003F33B8"/>
    <w:rsid w:val="003F3401"/>
    <w:rsid w:val="003F3CD7"/>
    <w:rsid w:val="003F4464"/>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9A8"/>
    <w:rsid w:val="003F7B60"/>
    <w:rsid w:val="00400D3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8B0"/>
    <w:rsid w:val="00404B13"/>
    <w:rsid w:val="00404CAA"/>
    <w:rsid w:val="00404DAD"/>
    <w:rsid w:val="00404E22"/>
    <w:rsid w:val="00404F93"/>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0C8F"/>
    <w:rsid w:val="0041100D"/>
    <w:rsid w:val="00411034"/>
    <w:rsid w:val="00411279"/>
    <w:rsid w:val="0041161B"/>
    <w:rsid w:val="00412073"/>
    <w:rsid w:val="00412617"/>
    <w:rsid w:val="0041268C"/>
    <w:rsid w:val="00412CB4"/>
    <w:rsid w:val="004135C6"/>
    <w:rsid w:val="00413913"/>
    <w:rsid w:val="00414092"/>
    <w:rsid w:val="00414286"/>
    <w:rsid w:val="004144EC"/>
    <w:rsid w:val="00414C17"/>
    <w:rsid w:val="00414F1D"/>
    <w:rsid w:val="0041505D"/>
    <w:rsid w:val="00415181"/>
    <w:rsid w:val="00415DA8"/>
    <w:rsid w:val="00415F4B"/>
    <w:rsid w:val="00415FB5"/>
    <w:rsid w:val="0041626A"/>
    <w:rsid w:val="004164D8"/>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05C6"/>
    <w:rsid w:val="00431339"/>
    <w:rsid w:val="004315AF"/>
    <w:rsid w:val="004316B5"/>
    <w:rsid w:val="0043226D"/>
    <w:rsid w:val="00432417"/>
    <w:rsid w:val="004325D3"/>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0A"/>
    <w:rsid w:val="00440A2C"/>
    <w:rsid w:val="00441686"/>
    <w:rsid w:val="0044174C"/>
    <w:rsid w:val="0044192F"/>
    <w:rsid w:val="00441CD4"/>
    <w:rsid w:val="00441F8F"/>
    <w:rsid w:val="004423C0"/>
    <w:rsid w:val="004426F2"/>
    <w:rsid w:val="00442B13"/>
    <w:rsid w:val="00443C43"/>
    <w:rsid w:val="00443C5B"/>
    <w:rsid w:val="0044410C"/>
    <w:rsid w:val="0044447E"/>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179A"/>
    <w:rsid w:val="004528E7"/>
    <w:rsid w:val="004529CD"/>
    <w:rsid w:val="00452AB0"/>
    <w:rsid w:val="00452C1E"/>
    <w:rsid w:val="00452DED"/>
    <w:rsid w:val="0045340D"/>
    <w:rsid w:val="0045380E"/>
    <w:rsid w:val="004539CF"/>
    <w:rsid w:val="00453CDA"/>
    <w:rsid w:val="00453D77"/>
    <w:rsid w:val="004541BA"/>
    <w:rsid w:val="00454600"/>
    <w:rsid w:val="00454B51"/>
    <w:rsid w:val="00454FCE"/>
    <w:rsid w:val="00455084"/>
    <w:rsid w:val="00455185"/>
    <w:rsid w:val="0045519D"/>
    <w:rsid w:val="0045547D"/>
    <w:rsid w:val="00455A6C"/>
    <w:rsid w:val="0045626A"/>
    <w:rsid w:val="004566A6"/>
    <w:rsid w:val="00456E8C"/>
    <w:rsid w:val="00456FCF"/>
    <w:rsid w:val="0045781A"/>
    <w:rsid w:val="004578DD"/>
    <w:rsid w:val="00457944"/>
    <w:rsid w:val="00457AFE"/>
    <w:rsid w:val="00457BAF"/>
    <w:rsid w:val="00457DEA"/>
    <w:rsid w:val="00460720"/>
    <w:rsid w:val="00460E0B"/>
    <w:rsid w:val="0046111D"/>
    <w:rsid w:val="00461E0E"/>
    <w:rsid w:val="00462094"/>
    <w:rsid w:val="0046234B"/>
    <w:rsid w:val="00462933"/>
    <w:rsid w:val="0046339C"/>
    <w:rsid w:val="0046362C"/>
    <w:rsid w:val="00463D91"/>
    <w:rsid w:val="00464392"/>
    <w:rsid w:val="00464F58"/>
    <w:rsid w:val="004652B0"/>
    <w:rsid w:val="004656A4"/>
    <w:rsid w:val="0046572E"/>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64E"/>
    <w:rsid w:val="00473B03"/>
    <w:rsid w:val="00473B6E"/>
    <w:rsid w:val="00473E02"/>
    <w:rsid w:val="0047483B"/>
    <w:rsid w:val="00474D1B"/>
    <w:rsid w:val="00474D80"/>
    <w:rsid w:val="004750A8"/>
    <w:rsid w:val="004754E0"/>
    <w:rsid w:val="0047562C"/>
    <w:rsid w:val="004757B8"/>
    <w:rsid w:val="00475B6A"/>
    <w:rsid w:val="00475D44"/>
    <w:rsid w:val="00475D5E"/>
    <w:rsid w:val="00476044"/>
    <w:rsid w:val="00476580"/>
    <w:rsid w:val="00476A4F"/>
    <w:rsid w:val="00476ED8"/>
    <w:rsid w:val="004772E9"/>
    <w:rsid w:val="00477558"/>
    <w:rsid w:val="00477634"/>
    <w:rsid w:val="0047779E"/>
    <w:rsid w:val="00477CD0"/>
    <w:rsid w:val="00477D19"/>
    <w:rsid w:val="00480385"/>
    <w:rsid w:val="004805D6"/>
    <w:rsid w:val="00480C2A"/>
    <w:rsid w:val="0048148C"/>
    <w:rsid w:val="004816E0"/>
    <w:rsid w:val="00481EDC"/>
    <w:rsid w:val="00482025"/>
    <w:rsid w:val="004825AC"/>
    <w:rsid w:val="004829A5"/>
    <w:rsid w:val="00482F06"/>
    <w:rsid w:val="00483319"/>
    <w:rsid w:val="0048343E"/>
    <w:rsid w:val="004837EC"/>
    <w:rsid w:val="00483B9B"/>
    <w:rsid w:val="00483C15"/>
    <w:rsid w:val="0048419D"/>
    <w:rsid w:val="004841E6"/>
    <w:rsid w:val="0048445E"/>
    <w:rsid w:val="004845FD"/>
    <w:rsid w:val="00484D83"/>
    <w:rsid w:val="00485101"/>
    <w:rsid w:val="0048531E"/>
    <w:rsid w:val="00485493"/>
    <w:rsid w:val="004856E9"/>
    <w:rsid w:val="00485BB6"/>
    <w:rsid w:val="00486405"/>
    <w:rsid w:val="00486806"/>
    <w:rsid w:val="00486C3C"/>
    <w:rsid w:val="00486E67"/>
    <w:rsid w:val="0048767D"/>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CAE"/>
    <w:rsid w:val="00495E28"/>
    <w:rsid w:val="00496194"/>
    <w:rsid w:val="00496A74"/>
    <w:rsid w:val="00496D56"/>
    <w:rsid w:val="0049735A"/>
    <w:rsid w:val="00497F38"/>
    <w:rsid w:val="00497FC1"/>
    <w:rsid w:val="004A01F0"/>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014"/>
    <w:rsid w:val="004A2149"/>
    <w:rsid w:val="004A2518"/>
    <w:rsid w:val="004A2C27"/>
    <w:rsid w:val="004A2C69"/>
    <w:rsid w:val="004A2CDF"/>
    <w:rsid w:val="004A2D2F"/>
    <w:rsid w:val="004A2D56"/>
    <w:rsid w:val="004A3112"/>
    <w:rsid w:val="004A31A8"/>
    <w:rsid w:val="004A353C"/>
    <w:rsid w:val="004A3AB3"/>
    <w:rsid w:val="004A3AF5"/>
    <w:rsid w:val="004A4584"/>
    <w:rsid w:val="004A4865"/>
    <w:rsid w:val="004A4AB5"/>
    <w:rsid w:val="004A4D9F"/>
    <w:rsid w:val="004A5C44"/>
    <w:rsid w:val="004A5DB2"/>
    <w:rsid w:val="004A62A8"/>
    <w:rsid w:val="004A655D"/>
    <w:rsid w:val="004A6F2A"/>
    <w:rsid w:val="004A7052"/>
    <w:rsid w:val="004A7BE6"/>
    <w:rsid w:val="004A7E2E"/>
    <w:rsid w:val="004B02D9"/>
    <w:rsid w:val="004B05B2"/>
    <w:rsid w:val="004B0A7C"/>
    <w:rsid w:val="004B13FE"/>
    <w:rsid w:val="004B161B"/>
    <w:rsid w:val="004B1765"/>
    <w:rsid w:val="004B1DFD"/>
    <w:rsid w:val="004B24A5"/>
    <w:rsid w:val="004B2EC2"/>
    <w:rsid w:val="004B2F32"/>
    <w:rsid w:val="004B2FB7"/>
    <w:rsid w:val="004B306F"/>
    <w:rsid w:val="004B37E0"/>
    <w:rsid w:val="004B3945"/>
    <w:rsid w:val="004B3AD0"/>
    <w:rsid w:val="004B42DC"/>
    <w:rsid w:val="004B4517"/>
    <w:rsid w:val="004B472A"/>
    <w:rsid w:val="004B47D1"/>
    <w:rsid w:val="004B48A7"/>
    <w:rsid w:val="004B499B"/>
    <w:rsid w:val="004B4A05"/>
    <w:rsid w:val="004B4D03"/>
    <w:rsid w:val="004B5306"/>
    <w:rsid w:val="004B59DF"/>
    <w:rsid w:val="004B5E3E"/>
    <w:rsid w:val="004B5F4D"/>
    <w:rsid w:val="004B637F"/>
    <w:rsid w:val="004B6A00"/>
    <w:rsid w:val="004B72D3"/>
    <w:rsid w:val="004B74A4"/>
    <w:rsid w:val="004B7740"/>
    <w:rsid w:val="004B7D54"/>
    <w:rsid w:val="004B7E83"/>
    <w:rsid w:val="004B7F71"/>
    <w:rsid w:val="004C0069"/>
    <w:rsid w:val="004C0986"/>
    <w:rsid w:val="004C0A65"/>
    <w:rsid w:val="004C0C0B"/>
    <w:rsid w:val="004C0CE3"/>
    <w:rsid w:val="004C1112"/>
    <w:rsid w:val="004C1454"/>
    <w:rsid w:val="004C1869"/>
    <w:rsid w:val="004C1B69"/>
    <w:rsid w:val="004C1BBE"/>
    <w:rsid w:val="004C1FBB"/>
    <w:rsid w:val="004C26BE"/>
    <w:rsid w:val="004C2890"/>
    <w:rsid w:val="004C2950"/>
    <w:rsid w:val="004C3062"/>
    <w:rsid w:val="004C30E4"/>
    <w:rsid w:val="004C31FD"/>
    <w:rsid w:val="004C322C"/>
    <w:rsid w:val="004C379E"/>
    <w:rsid w:val="004C3A0C"/>
    <w:rsid w:val="004C3DC1"/>
    <w:rsid w:val="004C3FE2"/>
    <w:rsid w:val="004C43CB"/>
    <w:rsid w:val="004C4453"/>
    <w:rsid w:val="004C44D0"/>
    <w:rsid w:val="004C48FB"/>
    <w:rsid w:val="004C4BB9"/>
    <w:rsid w:val="004C4BE6"/>
    <w:rsid w:val="004C4CC0"/>
    <w:rsid w:val="004C4F86"/>
    <w:rsid w:val="004C5E18"/>
    <w:rsid w:val="004C5ED0"/>
    <w:rsid w:val="004C607B"/>
    <w:rsid w:val="004C6823"/>
    <w:rsid w:val="004C6D95"/>
    <w:rsid w:val="004C7610"/>
    <w:rsid w:val="004C76AD"/>
    <w:rsid w:val="004C779A"/>
    <w:rsid w:val="004C7941"/>
    <w:rsid w:val="004D0956"/>
    <w:rsid w:val="004D0A80"/>
    <w:rsid w:val="004D0F3F"/>
    <w:rsid w:val="004D11EC"/>
    <w:rsid w:val="004D127A"/>
    <w:rsid w:val="004D16B0"/>
    <w:rsid w:val="004D1913"/>
    <w:rsid w:val="004D1A56"/>
    <w:rsid w:val="004D20AB"/>
    <w:rsid w:val="004D21D6"/>
    <w:rsid w:val="004D236E"/>
    <w:rsid w:val="004D23DD"/>
    <w:rsid w:val="004D26F9"/>
    <w:rsid w:val="004D29A1"/>
    <w:rsid w:val="004D2F6B"/>
    <w:rsid w:val="004D303D"/>
    <w:rsid w:val="004D3276"/>
    <w:rsid w:val="004D375A"/>
    <w:rsid w:val="004D3C43"/>
    <w:rsid w:val="004D3C7E"/>
    <w:rsid w:val="004D3F99"/>
    <w:rsid w:val="004D41A4"/>
    <w:rsid w:val="004D4754"/>
    <w:rsid w:val="004D47A8"/>
    <w:rsid w:val="004D4843"/>
    <w:rsid w:val="004D48F6"/>
    <w:rsid w:val="004D5156"/>
    <w:rsid w:val="004D5397"/>
    <w:rsid w:val="004D5449"/>
    <w:rsid w:val="004D568A"/>
    <w:rsid w:val="004D5E39"/>
    <w:rsid w:val="004D66A8"/>
    <w:rsid w:val="004D6AAA"/>
    <w:rsid w:val="004D6D77"/>
    <w:rsid w:val="004D7449"/>
    <w:rsid w:val="004D78F5"/>
    <w:rsid w:val="004D7D6D"/>
    <w:rsid w:val="004E0339"/>
    <w:rsid w:val="004E0441"/>
    <w:rsid w:val="004E0544"/>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4E82"/>
    <w:rsid w:val="004E5144"/>
    <w:rsid w:val="004E5303"/>
    <w:rsid w:val="004E54D7"/>
    <w:rsid w:val="004E5835"/>
    <w:rsid w:val="004E6463"/>
    <w:rsid w:val="004E647A"/>
    <w:rsid w:val="004E6A85"/>
    <w:rsid w:val="004E6D35"/>
    <w:rsid w:val="004E70F3"/>
    <w:rsid w:val="004E720E"/>
    <w:rsid w:val="004F0035"/>
    <w:rsid w:val="004F06E8"/>
    <w:rsid w:val="004F0968"/>
    <w:rsid w:val="004F09A1"/>
    <w:rsid w:val="004F0E85"/>
    <w:rsid w:val="004F0E92"/>
    <w:rsid w:val="004F122D"/>
    <w:rsid w:val="004F1400"/>
    <w:rsid w:val="004F14AC"/>
    <w:rsid w:val="004F1824"/>
    <w:rsid w:val="004F18BC"/>
    <w:rsid w:val="004F1A41"/>
    <w:rsid w:val="004F1DD2"/>
    <w:rsid w:val="004F2E2B"/>
    <w:rsid w:val="004F2F7E"/>
    <w:rsid w:val="004F3081"/>
    <w:rsid w:val="004F3BC7"/>
    <w:rsid w:val="004F41B5"/>
    <w:rsid w:val="004F44D7"/>
    <w:rsid w:val="004F4527"/>
    <w:rsid w:val="004F456A"/>
    <w:rsid w:val="004F4809"/>
    <w:rsid w:val="004F4AD7"/>
    <w:rsid w:val="004F57C3"/>
    <w:rsid w:val="004F593E"/>
    <w:rsid w:val="004F602B"/>
    <w:rsid w:val="004F6051"/>
    <w:rsid w:val="004F60BE"/>
    <w:rsid w:val="004F6196"/>
    <w:rsid w:val="004F65D1"/>
    <w:rsid w:val="004F6A38"/>
    <w:rsid w:val="004F6B1F"/>
    <w:rsid w:val="004F6DDE"/>
    <w:rsid w:val="004F6E80"/>
    <w:rsid w:val="004F6FF8"/>
    <w:rsid w:val="004F70C6"/>
    <w:rsid w:val="004F70E0"/>
    <w:rsid w:val="004F7CF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5C73"/>
    <w:rsid w:val="00505DFF"/>
    <w:rsid w:val="0050661C"/>
    <w:rsid w:val="00506919"/>
    <w:rsid w:val="00506B56"/>
    <w:rsid w:val="00506BD8"/>
    <w:rsid w:val="00506C38"/>
    <w:rsid w:val="00507385"/>
    <w:rsid w:val="005075CC"/>
    <w:rsid w:val="00507A93"/>
    <w:rsid w:val="00507D11"/>
    <w:rsid w:val="005104FC"/>
    <w:rsid w:val="00510D1C"/>
    <w:rsid w:val="00510EA7"/>
    <w:rsid w:val="00511904"/>
    <w:rsid w:val="00511992"/>
    <w:rsid w:val="005120A3"/>
    <w:rsid w:val="0051283F"/>
    <w:rsid w:val="005136E1"/>
    <w:rsid w:val="00513806"/>
    <w:rsid w:val="00513B1F"/>
    <w:rsid w:val="00513D7C"/>
    <w:rsid w:val="00514DD8"/>
    <w:rsid w:val="0051549F"/>
    <w:rsid w:val="00515730"/>
    <w:rsid w:val="00515BAC"/>
    <w:rsid w:val="00515E1F"/>
    <w:rsid w:val="00516113"/>
    <w:rsid w:val="00516381"/>
    <w:rsid w:val="00516515"/>
    <w:rsid w:val="005170AD"/>
    <w:rsid w:val="005172CA"/>
    <w:rsid w:val="00517304"/>
    <w:rsid w:val="005173A4"/>
    <w:rsid w:val="00517638"/>
    <w:rsid w:val="00517C9A"/>
    <w:rsid w:val="00517E5C"/>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38BF"/>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9D7"/>
    <w:rsid w:val="00527E5B"/>
    <w:rsid w:val="00527FA6"/>
    <w:rsid w:val="00527FBB"/>
    <w:rsid w:val="00530189"/>
    <w:rsid w:val="00530F2A"/>
    <w:rsid w:val="00531254"/>
    <w:rsid w:val="0053137F"/>
    <w:rsid w:val="00531406"/>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00"/>
    <w:rsid w:val="00534418"/>
    <w:rsid w:val="00534BFD"/>
    <w:rsid w:val="00534EC4"/>
    <w:rsid w:val="00535401"/>
    <w:rsid w:val="0053541C"/>
    <w:rsid w:val="005355B3"/>
    <w:rsid w:val="005356F6"/>
    <w:rsid w:val="00535847"/>
    <w:rsid w:val="0053599D"/>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0CF"/>
    <w:rsid w:val="005434B8"/>
    <w:rsid w:val="00544097"/>
    <w:rsid w:val="00544208"/>
    <w:rsid w:val="005442D7"/>
    <w:rsid w:val="005447E7"/>
    <w:rsid w:val="005448DB"/>
    <w:rsid w:val="00544910"/>
    <w:rsid w:val="00544C3F"/>
    <w:rsid w:val="00544E74"/>
    <w:rsid w:val="00545C7B"/>
    <w:rsid w:val="00545FC1"/>
    <w:rsid w:val="005460CE"/>
    <w:rsid w:val="00546393"/>
    <w:rsid w:val="0054645A"/>
    <w:rsid w:val="0054667A"/>
    <w:rsid w:val="005466C3"/>
    <w:rsid w:val="00546B0C"/>
    <w:rsid w:val="00546D70"/>
    <w:rsid w:val="00546EF6"/>
    <w:rsid w:val="005479E5"/>
    <w:rsid w:val="00547F2D"/>
    <w:rsid w:val="005501FB"/>
    <w:rsid w:val="00550649"/>
    <w:rsid w:val="005507ED"/>
    <w:rsid w:val="005508BB"/>
    <w:rsid w:val="00550A4C"/>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3A"/>
    <w:rsid w:val="00553CA4"/>
    <w:rsid w:val="0055461D"/>
    <w:rsid w:val="0055476E"/>
    <w:rsid w:val="0055487A"/>
    <w:rsid w:val="005551DC"/>
    <w:rsid w:val="00555207"/>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6FF"/>
    <w:rsid w:val="00561A32"/>
    <w:rsid w:val="00561A57"/>
    <w:rsid w:val="00561C1D"/>
    <w:rsid w:val="00561EE4"/>
    <w:rsid w:val="0056266F"/>
    <w:rsid w:val="005629AC"/>
    <w:rsid w:val="00563428"/>
    <w:rsid w:val="005634CA"/>
    <w:rsid w:val="005639C9"/>
    <w:rsid w:val="00563C0D"/>
    <w:rsid w:val="00564420"/>
    <w:rsid w:val="005645A7"/>
    <w:rsid w:val="00564712"/>
    <w:rsid w:val="00564732"/>
    <w:rsid w:val="00564813"/>
    <w:rsid w:val="005648F3"/>
    <w:rsid w:val="00565A01"/>
    <w:rsid w:val="00565A5E"/>
    <w:rsid w:val="00565C1D"/>
    <w:rsid w:val="0056608A"/>
    <w:rsid w:val="0056640A"/>
    <w:rsid w:val="0056641F"/>
    <w:rsid w:val="00566624"/>
    <w:rsid w:val="00566707"/>
    <w:rsid w:val="0056675D"/>
    <w:rsid w:val="00566876"/>
    <w:rsid w:val="00566944"/>
    <w:rsid w:val="00567240"/>
    <w:rsid w:val="00567608"/>
    <w:rsid w:val="0056783B"/>
    <w:rsid w:val="005678C2"/>
    <w:rsid w:val="00567933"/>
    <w:rsid w:val="005679CC"/>
    <w:rsid w:val="005704BF"/>
    <w:rsid w:val="00570A53"/>
    <w:rsid w:val="00570B7F"/>
    <w:rsid w:val="00570EFC"/>
    <w:rsid w:val="00571258"/>
    <w:rsid w:val="00571539"/>
    <w:rsid w:val="00571559"/>
    <w:rsid w:val="005716AB"/>
    <w:rsid w:val="005716ED"/>
    <w:rsid w:val="00571914"/>
    <w:rsid w:val="00571981"/>
    <w:rsid w:val="00571AA9"/>
    <w:rsid w:val="00571B70"/>
    <w:rsid w:val="00572229"/>
    <w:rsid w:val="005722C9"/>
    <w:rsid w:val="00572750"/>
    <w:rsid w:val="00572C65"/>
    <w:rsid w:val="00573119"/>
    <w:rsid w:val="0057330F"/>
    <w:rsid w:val="00573E53"/>
    <w:rsid w:val="00574420"/>
    <w:rsid w:val="00574951"/>
    <w:rsid w:val="00574A3E"/>
    <w:rsid w:val="00574A78"/>
    <w:rsid w:val="0057542D"/>
    <w:rsid w:val="00575447"/>
    <w:rsid w:val="005755C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786"/>
    <w:rsid w:val="0058295D"/>
    <w:rsid w:val="00583038"/>
    <w:rsid w:val="0058363C"/>
    <w:rsid w:val="005837B6"/>
    <w:rsid w:val="00583B02"/>
    <w:rsid w:val="00583DA9"/>
    <w:rsid w:val="0058401B"/>
    <w:rsid w:val="00584128"/>
    <w:rsid w:val="005841A0"/>
    <w:rsid w:val="005841AD"/>
    <w:rsid w:val="0058436C"/>
    <w:rsid w:val="0058453A"/>
    <w:rsid w:val="00584C76"/>
    <w:rsid w:val="005852F6"/>
    <w:rsid w:val="0058532B"/>
    <w:rsid w:val="00585522"/>
    <w:rsid w:val="005856AA"/>
    <w:rsid w:val="005858C4"/>
    <w:rsid w:val="005860B8"/>
    <w:rsid w:val="0058657A"/>
    <w:rsid w:val="00586909"/>
    <w:rsid w:val="005869E7"/>
    <w:rsid w:val="00586D66"/>
    <w:rsid w:val="00586E91"/>
    <w:rsid w:val="00586FD0"/>
    <w:rsid w:val="00587406"/>
    <w:rsid w:val="00587531"/>
    <w:rsid w:val="005879BB"/>
    <w:rsid w:val="00587D10"/>
    <w:rsid w:val="00587DF1"/>
    <w:rsid w:val="00587ECD"/>
    <w:rsid w:val="0059002D"/>
    <w:rsid w:val="00590361"/>
    <w:rsid w:val="005904AF"/>
    <w:rsid w:val="00590738"/>
    <w:rsid w:val="005908E1"/>
    <w:rsid w:val="00590AAA"/>
    <w:rsid w:val="00590B5F"/>
    <w:rsid w:val="00590EE7"/>
    <w:rsid w:val="00591493"/>
    <w:rsid w:val="00591EE7"/>
    <w:rsid w:val="00591F7C"/>
    <w:rsid w:val="0059207E"/>
    <w:rsid w:val="0059216C"/>
    <w:rsid w:val="005923CD"/>
    <w:rsid w:val="005926FE"/>
    <w:rsid w:val="0059287C"/>
    <w:rsid w:val="00592AB7"/>
    <w:rsid w:val="00592CBC"/>
    <w:rsid w:val="00592D86"/>
    <w:rsid w:val="005932F2"/>
    <w:rsid w:val="005937D0"/>
    <w:rsid w:val="00593A22"/>
    <w:rsid w:val="00593B23"/>
    <w:rsid w:val="00593CE6"/>
    <w:rsid w:val="00593F6F"/>
    <w:rsid w:val="0059507F"/>
    <w:rsid w:val="0059524F"/>
    <w:rsid w:val="00595597"/>
    <w:rsid w:val="005955E8"/>
    <w:rsid w:val="0059584D"/>
    <w:rsid w:val="005958EF"/>
    <w:rsid w:val="00595915"/>
    <w:rsid w:val="00595CA7"/>
    <w:rsid w:val="00595CCB"/>
    <w:rsid w:val="00596778"/>
    <w:rsid w:val="00596973"/>
    <w:rsid w:val="005969E0"/>
    <w:rsid w:val="005969E1"/>
    <w:rsid w:val="00596BE7"/>
    <w:rsid w:val="00596CCB"/>
    <w:rsid w:val="00597466"/>
    <w:rsid w:val="0059747D"/>
    <w:rsid w:val="0059753A"/>
    <w:rsid w:val="005976F1"/>
    <w:rsid w:val="005A03DB"/>
    <w:rsid w:val="005A0764"/>
    <w:rsid w:val="005A07BF"/>
    <w:rsid w:val="005A0E4D"/>
    <w:rsid w:val="005A0FE3"/>
    <w:rsid w:val="005A1468"/>
    <w:rsid w:val="005A16D8"/>
    <w:rsid w:val="005A24EF"/>
    <w:rsid w:val="005A3414"/>
    <w:rsid w:val="005A38F9"/>
    <w:rsid w:val="005A3D4D"/>
    <w:rsid w:val="005A5332"/>
    <w:rsid w:val="005A58F3"/>
    <w:rsid w:val="005A6023"/>
    <w:rsid w:val="005A6628"/>
    <w:rsid w:val="005A6D8A"/>
    <w:rsid w:val="005A70CA"/>
    <w:rsid w:val="005A752F"/>
    <w:rsid w:val="005A7547"/>
    <w:rsid w:val="005A7C2E"/>
    <w:rsid w:val="005B0460"/>
    <w:rsid w:val="005B0A40"/>
    <w:rsid w:val="005B0A4B"/>
    <w:rsid w:val="005B0BC6"/>
    <w:rsid w:val="005B0CF7"/>
    <w:rsid w:val="005B0CFC"/>
    <w:rsid w:val="005B11D5"/>
    <w:rsid w:val="005B13EA"/>
    <w:rsid w:val="005B16E2"/>
    <w:rsid w:val="005B22FD"/>
    <w:rsid w:val="005B236F"/>
    <w:rsid w:val="005B240D"/>
    <w:rsid w:val="005B2BA7"/>
    <w:rsid w:val="005B2C18"/>
    <w:rsid w:val="005B2F07"/>
    <w:rsid w:val="005B360D"/>
    <w:rsid w:val="005B37BD"/>
    <w:rsid w:val="005B39E2"/>
    <w:rsid w:val="005B3D62"/>
    <w:rsid w:val="005B414B"/>
    <w:rsid w:val="005B429B"/>
    <w:rsid w:val="005B482E"/>
    <w:rsid w:val="005B4C37"/>
    <w:rsid w:val="005B4E4C"/>
    <w:rsid w:val="005B4EC7"/>
    <w:rsid w:val="005B4FE5"/>
    <w:rsid w:val="005B54D4"/>
    <w:rsid w:val="005B5958"/>
    <w:rsid w:val="005B5B2B"/>
    <w:rsid w:val="005B5E88"/>
    <w:rsid w:val="005B5EE3"/>
    <w:rsid w:val="005B66FE"/>
    <w:rsid w:val="005B6749"/>
    <w:rsid w:val="005B6FB9"/>
    <w:rsid w:val="005B71D3"/>
    <w:rsid w:val="005B74C7"/>
    <w:rsid w:val="005B7A62"/>
    <w:rsid w:val="005B7CAF"/>
    <w:rsid w:val="005B7D2D"/>
    <w:rsid w:val="005C0632"/>
    <w:rsid w:val="005C06E7"/>
    <w:rsid w:val="005C07F6"/>
    <w:rsid w:val="005C0878"/>
    <w:rsid w:val="005C0F3A"/>
    <w:rsid w:val="005C1296"/>
    <w:rsid w:val="005C12C7"/>
    <w:rsid w:val="005C1C59"/>
    <w:rsid w:val="005C1D74"/>
    <w:rsid w:val="005C2466"/>
    <w:rsid w:val="005C27ED"/>
    <w:rsid w:val="005C2E47"/>
    <w:rsid w:val="005C3362"/>
    <w:rsid w:val="005C363E"/>
    <w:rsid w:val="005C37D0"/>
    <w:rsid w:val="005C3E22"/>
    <w:rsid w:val="005C4344"/>
    <w:rsid w:val="005C44AF"/>
    <w:rsid w:val="005C46A8"/>
    <w:rsid w:val="005C4E72"/>
    <w:rsid w:val="005C6049"/>
    <w:rsid w:val="005C61BA"/>
    <w:rsid w:val="005C635E"/>
    <w:rsid w:val="005C63C2"/>
    <w:rsid w:val="005C63EF"/>
    <w:rsid w:val="005C6B50"/>
    <w:rsid w:val="005C6E5A"/>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50"/>
    <w:rsid w:val="005D2867"/>
    <w:rsid w:val="005D293A"/>
    <w:rsid w:val="005D2A26"/>
    <w:rsid w:val="005D2E08"/>
    <w:rsid w:val="005D2E38"/>
    <w:rsid w:val="005D33F4"/>
    <w:rsid w:val="005D3629"/>
    <w:rsid w:val="005D4049"/>
    <w:rsid w:val="005D4322"/>
    <w:rsid w:val="005D4B49"/>
    <w:rsid w:val="005D4B94"/>
    <w:rsid w:val="005D4C2D"/>
    <w:rsid w:val="005D4D2D"/>
    <w:rsid w:val="005D4E09"/>
    <w:rsid w:val="005D5120"/>
    <w:rsid w:val="005D56B5"/>
    <w:rsid w:val="005D58DF"/>
    <w:rsid w:val="005D5AD4"/>
    <w:rsid w:val="005D5F73"/>
    <w:rsid w:val="005D6210"/>
    <w:rsid w:val="005D6DA0"/>
    <w:rsid w:val="005D7046"/>
    <w:rsid w:val="005D74D6"/>
    <w:rsid w:val="005D787E"/>
    <w:rsid w:val="005E0435"/>
    <w:rsid w:val="005E0963"/>
    <w:rsid w:val="005E09DB"/>
    <w:rsid w:val="005E0CBC"/>
    <w:rsid w:val="005E0EE8"/>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1F30"/>
    <w:rsid w:val="005F274F"/>
    <w:rsid w:val="005F31DF"/>
    <w:rsid w:val="005F3476"/>
    <w:rsid w:val="005F3B97"/>
    <w:rsid w:val="005F3E54"/>
    <w:rsid w:val="005F44E2"/>
    <w:rsid w:val="005F453D"/>
    <w:rsid w:val="005F4817"/>
    <w:rsid w:val="005F4DE9"/>
    <w:rsid w:val="005F56EC"/>
    <w:rsid w:val="005F6215"/>
    <w:rsid w:val="005F6B16"/>
    <w:rsid w:val="005F6BD5"/>
    <w:rsid w:val="005F6BDD"/>
    <w:rsid w:val="005F6E03"/>
    <w:rsid w:val="005F6E26"/>
    <w:rsid w:val="005F7864"/>
    <w:rsid w:val="005F7957"/>
    <w:rsid w:val="005F7969"/>
    <w:rsid w:val="005F7A7C"/>
    <w:rsid w:val="00600004"/>
    <w:rsid w:val="00600A49"/>
    <w:rsid w:val="00600B84"/>
    <w:rsid w:val="00600BC4"/>
    <w:rsid w:val="00600C95"/>
    <w:rsid w:val="00600FFE"/>
    <w:rsid w:val="0060123B"/>
    <w:rsid w:val="006014D6"/>
    <w:rsid w:val="00601BD0"/>
    <w:rsid w:val="00601C2B"/>
    <w:rsid w:val="00601D6C"/>
    <w:rsid w:val="00602523"/>
    <w:rsid w:val="0060254B"/>
    <w:rsid w:val="00602604"/>
    <w:rsid w:val="00602904"/>
    <w:rsid w:val="00602E17"/>
    <w:rsid w:val="00602E41"/>
    <w:rsid w:val="00603468"/>
    <w:rsid w:val="00603502"/>
    <w:rsid w:val="0060350E"/>
    <w:rsid w:val="00603C55"/>
    <w:rsid w:val="00603E9B"/>
    <w:rsid w:val="006042EB"/>
    <w:rsid w:val="0060430F"/>
    <w:rsid w:val="0060444B"/>
    <w:rsid w:val="00604FF5"/>
    <w:rsid w:val="006052CE"/>
    <w:rsid w:val="00605B3C"/>
    <w:rsid w:val="00605C3D"/>
    <w:rsid w:val="006066D0"/>
    <w:rsid w:val="006067BB"/>
    <w:rsid w:val="0060685A"/>
    <w:rsid w:val="00606CAE"/>
    <w:rsid w:val="00607E3E"/>
    <w:rsid w:val="00610115"/>
    <w:rsid w:val="006102A8"/>
    <w:rsid w:val="00611696"/>
    <w:rsid w:val="00611814"/>
    <w:rsid w:val="00611A94"/>
    <w:rsid w:val="00611B1C"/>
    <w:rsid w:val="00611E1D"/>
    <w:rsid w:val="00612042"/>
    <w:rsid w:val="006120E2"/>
    <w:rsid w:val="00612A0F"/>
    <w:rsid w:val="00612BA1"/>
    <w:rsid w:val="006132E2"/>
    <w:rsid w:val="0061338F"/>
    <w:rsid w:val="0061390A"/>
    <w:rsid w:val="00613BA3"/>
    <w:rsid w:val="00613F47"/>
    <w:rsid w:val="00614072"/>
    <w:rsid w:val="0061442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693"/>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C2D"/>
    <w:rsid w:val="00626ED4"/>
    <w:rsid w:val="00626F77"/>
    <w:rsid w:val="00627684"/>
    <w:rsid w:val="006276B7"/>
    <w:rsid w:val="00627953"/>
    <w:rsid w:val="00630196"/>
    <w:rsid w:val="0063049C"/>
    <w:rsid w:val="0063082C"/>
    <w:rsid w:val="0063087E"/>
    <w:rsid w:val="00630D19"/>
    <w:rsid w:val="00630F12"/>
    <w:rsid w:val="006311BD"/>
    <w:rsid w:val="006316E1"/>
    <w:rsid w:val="006319A9"/>
    <w:rsid w:val="00631DEC"/>
    <w:rsid w:val="00631DEF"/>
    <w:rsid w:val="0063228D"/>
    <w:rsid w:val="00632796"/>
    <w:rsid w:val="00632834"/>
    <w:rsid w:val="00632AF3"/>
    <w:rsid w:val="00632C58"/>
    <w:rsid w:val="00632DC5"/>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55A"/>
    <w:rsid w:val="00637A27"/>
    <w:rsid w:val="00637BF8"/>
    <w:rsid w:val="00637CAE"/>
    <w:rsid w:val="00637D94"/>
    <w:rsid w:val="00637FEE"/>
    <w:rsid w:val="00640EF2"/>
    <w:rsid w:val="00640F13"/>
    <w:rsid w:val="00641EDF"/>
    <w:rsid w:val="006425D9"/>
    <w:rsid w:val="00642607"/>
    <w:rsid w:val="006426A1"/>
    <w:rsid w:val="00642883"/>
    <w:rsid w:val="00642884"/>
    <w:rsid w:val="00642AE4"/>
    <w:rsid w:val="00642CEB"/>
    <w:rsid w:val="006433F0"/>
    <w:rsid w:val="00644006"/>
    <w:rsid w:val="00644830"/>
    <w:rsid w:val="00644A63"/>
    <w:rsid w:val="00644D36"/>
    <w:rsid w:val="00645205"/>
    <w:rsid w:val="00645377"/>
    <w:rsid w:val="00645C38"/>
    <w:rsid w:val="00645D48"/>
    <w:rsid w:val="00645DE9"/>
    <w:rsid w:val="00645F5D"/>
    <w:rsid w:val="00646272"/>
    <w:rsid w:val="006464B8"/>
    <w:rsid w:val="00646A53"/>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0EC"/>
    <w:rsid w:val="006526A7"/>
    <w:rsid w:val="006528C9"/>
    <w:rsid w:val="00653086"/>
    <w:rsid w:val="006530F6"/>
    <w:rsid w:val="00653284"/>
    <w:rsid w:val="00653ADF"/>
    <w:rsid w:val="00654188"/>
    <w:rsid w:val="006542D2"/>
    <w:rsid w:val="0065432F"/>
    <w:rsid w:val="00654BA9"/>
    <w:rsid w:val="00654C2F"/>
    <w:rsid w:val="00654C89"/>
    <w:rsid w:val="00654CCE"/>
    <w:rsid w:val="00654D58"/>
    <w:rsid w:val="006550BC"/>
    <w:rsid w:val="00655E92"/>
    <w:rsid w:val="006562EF"/>
    <w:rsid w:val="00656C6F"/>
    <w:rsid w:val="00656F77"/>
    <w:rsid w:val="00657466"/>
    <w:rsid w:val="006579ED"/>
    <w:rsid w:val="00657A56"/>
    <w:rsid w:val="00657A64"/>
    <w:rsid w:val="00660512"/>
    <w:rsid w:val="006605CC"/>
    <w:rsid w:val="00660955"/>
    <w:rsid w:val="00661899"/>
    <w:rsid w:val="00661B0A"/>
    <w:rsid w:val="00662024"/>
    <w:rsid w:val="00662038"/>
    <w:rsid w:val="006620B6"/>
    <w:rsid w:val="00662720"/>
    <w:rsid w:val="006628A8"/>
    <w:rsid w:val="00662C75"/>
    <w:rsid w:val="006636D3"/>
    <w:rsid w:val="006636E8"/>
    <w:rsid w:val="006636FC"/>
    <w:rsid w:val="00663FA7"/>
    <w:rsid w:val="0066425F"/>
    <w:rsid w:val="00664926"/>
    <w:rsid w:val="00664A9F"/>
    <w:rsid w:val="00664D1F"/>
    <w:rsid w:val="006652A6"/>
    <w:rsid w:val="00665435"/>
    <w:rsid w:val="00665555"/>
    <w:rsid w:val="006656D9"/>
    <w:rsid w:val="006658F9"/>
    <w:rsid w:val="00665A8E"/>
    <w:rsid w:val="00666157"/>
    <w:rsid w:val="00666331"/>
    <w:rsid w:val="00666724"/>
    <w:rsid w:val="00666978"/>
    <w:rsid w:val="00666CAC"/>
    <w:rsid w:val="00666D2F"/>
    <w:rsid w:val="00666D5E"/>
    <w:rsid w:val="00666E69"/>
    <w:rsid w:val="00666E91"/>
    <w:rsid w:val="006671C6"/>
    <w:rsid w:val="00667316"/>
    <w:rsid w:val="00667792"/>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B29"/>
    <w:rsid w:val="00671F8B"/>
    <w:rsid w:val="006721D3"/>
    <w:rsid w:val="0067238C"/>
    <w:rsid w:val="006727DF"/>
    <w:rsid w:val="00672E0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A64"/>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3DA6"/>
    <w:rsid w:val="00684275"/>
    <w:rsid w:val="006848C7"/>
    <w:rsid w:val="00685FEE"/>
    <w:rsid w:val="006861C3"/>
    <w:rsid w:val="0068683A"/>
    <w:rsid w:val="0068699C"/>
    <w:rsid w:val="00686D3B"/>
    <w:rsid w:val="00687063"/>
    <w:rsid w:val="006871CE"/>
    <w:rsid w:val="006875B9"/>
    <w:rsid w:val="00690265"/>
    <w:rsid w:val="00690AD9"/>
    <w:rsid w:val="00690E6D"/>
    <w:rsid w:val="006913BF"/>
    <w:rsid w:val="00691454"/>
    <w:rsid w:val="0069179C"/>
    <w:rsid w:val="0069216B"/>
    <w:rsid w:val="00692284"/>
    <w:rsid w:val="006922BB"/>
    <w:rsid w:val="0069272D"/>
    <w:rsid w:val="00692B57"/>
    <w:rsid w:val="00692B8C"/>
    <w:rsid w:val="00693082"/>
    <w:rsid w:val="0069357E"/>
    <w:rsid w:val="006935ED"/>
    <w:rsid w:val="0069363B"/>
    <w:rsid w:val="00693676"/>
    <w:rsid w:val="00693CC2"/>
    <w:rsid w:val="00693D1C"/>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5BD"/>
    <w:rsid w:val="006A05DB"/>
    <w:rsid w:val="006A0D33"/>
    <w:rsid w:val="006A0E66"/>
    <w:rsid w:val="006A1143"/>
    <w:rsid w:val="006A1387"/>
    <w:rsid w:val="006A14F8"/>
    <w:rsid w:val="006A1D38"/>
    <w:rsid w:val="006A1FA2"/>
    <w:rsid w:val="006A2171"/>
    <w:rsid w:val="006A3C67"/>
    <w:rsid w:val="006A4635"/>
    <w:rsid w:val="006A47C0"/>
    <w:rsid w:val="006A4EFF"/>
    <w:rsid w:val="006A553A"/>
    <w:rsid w:val="006A55C5"/>
    <w:rsid w:val="006A5799"/>
    <w:rsid w:val="006A592C"/>
    <w:rsid w:val="006A5D40"/>
    <w:rsid w:val="006A6262"/>
    <w:rsid w:val="006A6278"/>
    <w:rsid w:val="006A6362"/>
    <w:rsid w:val="006A67AB"/>
    <w:rsid w:val="006A7BD7"/>
    <w:rsid w:val="006A7D3E"/>
    <w:rsid w:val="006B01C8"/>
    <w:rsid w:val="006B06AE"/>
    <w:rsid w:val="006B0F20"/>
    <w:rsid w:val="006B141C"/>
    <w:rsid w:val="006B1880"/>
    <w:rsid w:val="006B1B45"/>
    <w:rsid w:val="006B1C93"/>
    <w:rsid w:val="006B20A8"/>
    <w:rsid w:val="006B2A64"/>
    <w:rsid w:val="006B2BA7"/>
    <w:rsid w:val="006B2DA9"/>
    <w:rsid w:val="006B3241"/>
    <w:rsid w:val="006B379A"/>
    <w:rsid w:val="006B3B67"/>
    <w:rsid w:val="006B46ED"/>
    <w:rsid w:val="006B4DBB"/>
    <w:rsid w:val="006B4FC3"/>
    <w:rsid w:val="006B58C9"/>
    <w:rsid w:val="006B5F99"/>
    <w:rsid w:val="006B60FA"/>
    <w:rsid w:val="006B61B1"/>
    <w:rsid w:val="006B6B63"/>
    <w:rsid w:val="006B6D6E"/>
    <w:rsid w:val="006B70EF"/>
    <w:rsid w:val="006B7DDB"/>
    <w:rsid w:val="006B7E2B"/>
    <w:rsid w:val="006C0253"/>
    <w:rsid w:val="006C02A7"/>
    <w:rsid w:val="006C0AEB"/>
    <w:rsid w:val="006C0EFC"/>
    <w:rsid w:val="006C1494"/>
    <w:rsid w:val="006C1FA1"/>
    <w:rsid w:val="006C2158"/>
    <w:rsid w:val="006C2187"/>
    <w:rsid w:val="006C22A0"/>
    <w:rsid w:val="006C247B"/>
    <w:rsid w:val="006C2485"/>
    <w:rsid w:val="006C266A"/>
    <w:rsid w:val="006C2A73"/>
    <w:rsid w:val="006C2C1D"/>
    <w:rsid w:val="006C2CD6"/>
    <w:rsid w:val="006C3191"/>
    <w:rsid w:val="006C358A"/>
    <w:rsid w:val="006C363A"/>
    <w:rsid w:val="006C46B1"/>
    <w:rsid w:val="006C4DDE"/>
    <w:rsid w:val="006C5313"/>
    <w:rsid w:val="006C68A2"/>
    <w:rsid w:val="006C6BFF"/>
    <w:rsid w:val="006C7415"/>
    <w:rsid w:val="006C79C6"/>
    <w:rsid w:val="006C7F9D"/>
    <w:rsid w:val="006D080F"/>
    <w:rsid w:val="006D0B71"/>
    <w:rsid w:val="006D0CB4"/>
    <w:rsid w:val="006D0D0B"/>
    <w:rsid w:val="006D0D79"/>
    <w:rsid w:val="006D1D2E"/>
    <w:rsid w:val="006D2A31"/>
    <w:rsid w:val="006D2D21"/>
    <w:rsid w:val="006D3F24"/>
    <w:rsid w:val="006D4BF0"/>
    <w:rsid w:val="006D4F9A"/>
    <w:rsid w:val="006D52AC"/>
    <w:rsid w:val="006D5326"/>
    <w:rsid w:val="006D54DD"/>
    <w:rsid w:val="006D5538"/>
    <w:rsid w:val="006D699E"/>
    <w:rsid w:val="006D70DB"/>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57F"/>
    <w:rsid w:val="006E2B02"/>
    <w:rsid w:val="006E2C31"/>
    <w:rsid w:val="006E32AE"/>
    <w:rsid w:val="006E3563"/>
    <w:rsid w:val="006E3962"/>
    <w:rsid w:val="006E4065"/>
    <w:rsid w:val="006E407C"/>
    <w:rsid w:val="006E44D6"/>
    <w:rsid w:val="006E4567"/>
    <w:rsid w:val="006E53F2"/>
    <w:rsid w:val="006E5EC1"/>
    <w:rsid w:val="006E6C74"/>
    <w:rsid w:val="006E6D39"/>
    <w:rsid w:val="006E6F07"/>
    <w:rsid w:val="006E7038"/>
    <w:rsid w:val="006E716B"/>
    <w:rsid w:val="006E7705"/>
    <w:rsid w:val="006E77A6"/>
    <w:rsid w:val="006E7CEA"/>
    <w:rsid w:val="006E7E12"/>
    <w:rsid w:val="006F00EB"/>
    <w:rsid w:val="006F0795"/>
    <w:rsid w:val="006F0DDF"/>
    <w:rsid w:val="006F13B4"/>
    <w:rsid w:val="006F1416"/>
    <w:rsid w:val="006F1B87"/>
    <w:rsid w:val="006F2260"/>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58AF"/>
    <w:rsid w:val="006F6AFC"/>
    <w:rsid w:val="006F7168"/>
    <w:rsid w:val="006F73AB"/>
    <w:rsid w:val="006F78E3"/>
    <w:rsid w:val="006F794E"/>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47F"/>
    <w:rsid w:val="0070361E"/>
    <w:rsid w:val="00703704"/>
    <w:rsid w:val="00703A74"/>
    <w:rsid w:val="00703DD1"/>
    <w:rsid w:val="00704016"/>
    <w:rsid w:val="00704537"/>
    <w:rsid w:val="00704712"/>
    <w:rsid w:val="00704716"/>
    <w:rsid w:val="007048AD"/>
    <w:rsid w:val="00704DB2"/>
    <w:rsid w:val="007051CC"/>
    <w:rsid w:val="00705AD1"/>
    <w:rsid w:val="00705BD7"/>
    <w:rsid w:val="00705C44"/>
    <w:rsid w:val="0070633F"/>
    <w:rsid w:val="00706548"/>
    <w:rsid w:val="007066D6"/>
    <w:rsid w:val="0070680F"/>
    <w:rsid w:val="007068FB"/>
    <w:rsid w:val="00706B27"/>
    <w:rsid w:val="00706FF6"/>
    <w:rsid w:val="007072BD"/>
    <w:rsid w:val="00707468"/>
    <w:rsid w:val="00707CED"/>
    <w:rsid w:val="00707CF5"/>
    <w:rsid w:val="00707D23"/>
    <w:rsid w:val="00710AC1"/>
    <w:rsid w:val="00710BFA"/>
    <w:rsid w:val="00711B72"/>
    <w:rsid w:val="00711F41"/>
    <w:rsid w:val="00712218"/>
    <w:rsid w:val="0071234C"/>
    <w:rsid w:val="0071288D"/>
    <w:rsid w:val="00712997"/>
    <w:rsid w:val="00712A39"/>
    <w:rsid w:val="00712B84"/>
    <w:rsid w:val="00712B9D"/>
    <w:rsid w:val="00712BB3"/>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01E"/>
    <w:rsid w:val="00721400"/>
    <w:rsid w:val="007214DB"/>
    <w:rsid w:val="00721827"/>
    <w:rsid w:val="00721898"/>
    <w:rsid w:val="00721A7B"/>
    <w:rsid w:val="00721DB1"/>
    <w:rsid w:val="00721E8E"/>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788"/>
    <w:rsid w:val="00732B8B"/>
    <w:rsid w:val="00732CA2"/>
    <w:rsid w:val="00732CFA"/>
    <w:rsid w:val="00732D87"/>
    <w:rsid w:val="007330B3"/>
    <w:rsid w:val="007337E3"/>
    <w:rsid w:val="007340C0"/>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0F"/>
    <w:rsid w:val="00746F18"/>
    <w:rsid w:val="00747344"/>
    <w:rsid w:val="00747AE5"/>
    <w:rsid w:val="00747E65"/>
    <w:rsid w:val="00747EB1"/>
    <w:rsid w:val="00747F24"/>
    <w:rsid w:val="007501A2"/>
    <w:rsid w:val="0075024B"/>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67D"/>
    <w:rsid w:val="00752809"/>
    <w:rsid w:val="00752F1E"/>
    <w:rsid w:val="0075332B"/>
    <w:rsid w:val="007538BE"/>
    <w:rsid w:val="007544E4"/>
    <w:rsid w:val="007544EA"/>
    <w:rsid w:val="0075474D"/>
    <w:rsid w:val="00754A76"/>
    <w:rsid w:val="00754AB4"/>
    <w:rsid w:val="00754E4A"/>
    <w:rsid w:val="00755590"/>
    <w:rsid w:val="00755DD7"/>
    <w:rsid w:val="00755DFA"/>
    <w:rsid w:val="0075665B"/>
    <w:rsid w:val="007566CA"/>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422"/>
    <w:rsid w:val="007615F8"/>
    <w:rsid w:val="0076224C"/>
    <w:rsid w:val="007622D7"/>
    <w:rsid w:val="00762ED1"/>
    <w:rsid w:val="00762F09"/>
    <w:rsid w:val="00762F20"/>
    <w:rsid w:val="007630F9"/>
    <w:rsid w:val="0076342D"/>
    <w:rsid w:val="0076381F"/>
    <w:rsid w:val="00763C93"/>
    <w:rsid w:val="00763ECF"/>
    <w:rsid w:val="00764162"/>
    <w:rsid w:val="0076434E"/>
    <w:rsid w:val="0076475F"/>
    <w:rsid w:val="00764BD0"/>
    <w:rsid w:val="007652C0"/>
    <w:rsid w:val="00765831"/>
    <w:rsid w:val="00765CDC"/>
    <w:rsid w:val="00766089"/>
    <w:rsid w:val="007663E6"/>
    <w:rsid w:val="007663EA"/>
    <w:rsid w:val="00766534"/>
    <w:rsid w:val="00766735"/>
    <w:rsid w:val="00766949"/>
    <w:rsid w:val="00767074"/>
    <w:rsid w:val="00767526"/>
    <w:rsid w:val="0076769D"/>
    <w:rsid w:val="00767974"/>
    <w:rsid w:val="00767A7D"/>
    <w:rsid w:val="00770253"/>
    <w:rsid w:val="0077091D"/>
    <w:rsid w:val="00770A1A"/>
    <w:rsid w:val="00770A2D"/>
    <w:rsid w:val="00770D65"/>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029"/>
    <w:rsid w:val="0077454F"/>
    <w:rsid w:val="00774B37"/>
    <w:rsid w:val="00774DFB"/>
    <w:rsid w:val="00774E3B"/>
    <w:rsid w:val="00775815"/>
    <w:rsid w:val="00775B7B"/>
    <w:rsid w:val="0077619F"/>
    <w:rsid w:val="00776200"/>
    <w:rsid w:val="0077624B"/>
    <w:rsid w:val="0077670D"/>
    <w:rsid w:val="00776964"/>
    <w:rsid w:val="007778FA"/>
    <w:rsid w:val="00777A6D"/>
    <w:rsid w:val="00777AC5"/>
    <w:rsid w:val="00777B24"/>
    <w:rsid w:val="00777EB6"/>
    <w:rsid w:val="00777F4D"/>
    <w:rsid w:val="00780020"/>
    <w:rsid w:val="00780491"/>
    <w:rsid w:val="00780509"/>
    <w:rsid w:val="00780A1E"/>
    <w:rsid w:val="007814AA"/>
    <w:rsid w:val="00781B56"/>
    <w:rsid w:val="0078217D"/>
    <w:rsid w:val="00782206"/>
    <w:rsid w:val="007822E4"/>
    <w:rsid w:val="007824B6"/>
    <w:rsid w:val="0078257A"/>
    <w:rsid w:val="00782645"/>
    <w:rsid w:val="00782C15"/>
    <w:rsid w:val="00782DF2"/>
    <w:rsid w:val="00782E70"/>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5A0"/>
    <w:rsid w:val="00790C85"/>
    <w:rsid w:val="007911AD"/>
    <w:rsid w:val="00791EF7"/>
    <w:rsid w:val="00792529"/>
    <w:rsid w:val="007925A2"/>
    <w:rsid w:val="00792770"/>
    <w:rsid w:val="0079299F"/>
    <w:rsid w:val="00792E01"/>
    <w:rsid w:val="00793002"/>
    <w:rsid w:val="00793304"/>
    <w:rsid w:val="00793357"/>
    <w:rsid w:val="00793703"/>
    <w:rsid w:val="00793718"/>
    <w:rsid w:val="0079377D"/>
    <w:rsid w:val="00793B37"/>
    <w:rsid w:val="00793BDD"/>
    <w:rsid w:val="00793D15"/>
    <w:rsid w:val="00793FCF"/>
    <w:rsid w:val="0079416B"/>
    <w:rsid w:val="0079420E"/>
    <w:rsid w:val="00794659"/>
    <w:rsid w:val="00795064"/>
    <w:rsid w:val="0079515A"/>
    <w:rsid w:val="007951C4"/>
    <w:rsid w:val="007951EF"/>
    <w:rsid w:val="00795383"/>
    <w:rsid w:val="007953F9"/>
    <w:rsid w:val="0079548A"/>
    <w:rsid w:val="007962B0"/>
    <w:rsid w:val="0079654D"/>
    <w:rsid w:val="0079666D"/>
    <w:rsid w:val="00797674"/>
    <w:rsid w:val="007A09B1"/>
    <w:rsid w:val="007A0CC2"/>
    <w:rsid w:val="007A1252"/>
    <w:rsid w:val="007A210E"/>
    <w:rsid w:val="007A244D"/>
    <w:rsid w:val="007A2553"/>
    <w:rsid w:val="007A27DE"/>
    <w:rsid w:val="007A289F"/>
    <w:rsid w:val="007A2A76"/>
    <w:rsid w:val="007A2D56"/>
    <w:rsid w:val="007A333E"/>
    <w:rsid w:val="007A3634"/>
    <w:rsid w:val="007A3985"/>
    <w:rsid w:val="007A3FEB"/>
    <w:rsid w:val="007A53B5"/>
    <w:rsid w:val="007A5500"/>
    <w:rsid w:val="007A5640"/>
    <w:rsid w:val="007A571B"/>
    <w:rsid w:val="007A5743"/>
    <w:rsid w:val="007A5832"/>
    <w:rsid w:val="007A5BF2"/>
    <w:rsid w:val="007A6749"/>
    <w:rsid w:val="007A68F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EF"/>
    <w:rsid w:val="007B3221"/>
    <w:rsid w:val="007B34E6"/>
    <w:rsid w:val="007B3A66"/>
    <w:rsid w:val="007B3B41"/>
    <w:rsid w:val="007B3C88"/>
    <w:rsid w:val="007B40BB"/>
    <w:rsid w:val="007B413C"/>
    <w:rsid w:val="007B41E2"/>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11"/>
    <w:rsid w:val="007C0030"/>
    <w:rsid w:val="007C0084"/>
    <w:rsid w:val="007C08AD"/>
    <w:rsid w:val="007C0D31"/>
    <w:rsid w:val="007C0DDC"/>
    <w:rsid w:val="007C0DDF"/>
    <w:rsid w:val="007C10C7"/>
    <w:rsid w:val="007C1994"/>
    <w:rsid w:val="007C1B1B"/>
    <w:rsid w:val="007C1D6F"/>
    <w:rsid w:val="007C1DBF"/>
    <w:rsid w:val="007C1FEC"/>
    <w:rsid w:val="007C20E6"/>
    <w:rsid w:val="007C21A4"/>
    <w:rsid w:val="007C21D9"/>
    <w:rsid w:val="007C22F1"/>
    <w:rsid w:val="007C2458"/>
    <w:rsid w:val="007C2B01"/>
    <w:rsid w:val="007C2CE4"/>
    <w:rsid w:val="007C316D"/>
    <w:rsid w:val="007C343E"/>
    <w:rsid w:val="007C3A2E"/>
    <w:rsid w:val="007C3C5A"/>
    <w:rsid w:val="007C3C5E"/>
    <w:rsid w:val="007C40EE"/>
    <w:rsid w:val="007C46BD"/>
    <w:rsid w:val="007C4790"/>
    <w:rsid w:val="007C47DF"/>
    <w:rsid w:val="007C4BEE"/>
    <w:rsid w:val="007C4EAB"/>
    <w:rsid w:val="007C4EE7"/>
    <w:rsid w:val="007C4F68"/>
    <w:rsid w:val="007C5600"/>
    <w:rsid w:val="007C57BB"/>
    <w:rsid w:val="007C5807"/>
    <w:rsid w:val="007C5940"/>
    <w:rsid w:val="007C5FFC"/>
    <w:rsid w:val="007C61C3"/>
    <w:rsid w:val="007C62EA"/>
    <w:rsid w:val="007C63F9"/>
    <w:rsid w:val="007C6CC1"/>
    <w:rsid w:val="007C6D50"/>
    <w:rsid w:val="007C732D"/>
    <w:rsid w:val="007C76F5"/>
    <w:rsid w:val="007C7EF0"/>
    <w:rsid w:val="007D05DF"/>
    <w:rsid w:val="007D0B2F"/>
    <w:rsid w:val="007D0BCA"/>
    <w:rsid w:val="007D0BEA"/>
    <w:rsid w:val="007D0DC4"/>
    <w:rsid w:val="007D158B"/>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FD"/>
    <w:rsid w:val="007E0639"/>
    <w:rsid w:val="007E0729"/>
    <w:rsid w:val="007E0ACF"/>
    <w:rsid w:val="007E0E00"/>
    <w:rsid w:val="007E1A36"/>
    <w:rsid w:val="007E2131"/>
    <w:rsid w:val="007E3042"/>
    <w:rsid w:val="007E3C8C"/>
    <w:rsid w:val="007E3D31"/>
    <w:rsid w:val="007E417B"/>
    <w:rsid w:val="007E4258"/>
    <w:rsid w:val="007E4752"/>
    <w:rsid w:val="007E491C"/>
    <w:rsid w:val="007E4A23"/>
    <w:rsid w:val="007E4BCB"/>
    <w:rsid w:val="007E4D03"/>
    <w:rsid w:val="007E4E34"/>
    <w:rsid w:val="007E510B"/>
    <w:rsid w:val="007E569A"/>
    <w:rsid w:val="007E5AF5"/>
    <w:rsid w:val="007E5B72"/>
    <w:rsid w:val="007E6318"/>
    <w:rsid w:val="007E6868"/>
    <w:rsid w:val="007E6BEA"/>
    <w:rsid w:val="007E76E8"/>
    <w:rsid w:val="007E7786"/>
    <w:rsid w:val="007E7D67"/>
    <w:rsid w:val="007E7FDF"/>
    <w:rsid w:val="007F0452"/>
    <w:rsid w:val="007F0466"/>
    <w:rsid w:val="007F0E7C"/>
    <w:rsid w:val="007F0F22"/>
    <w:rsid w:val="007F0F67"/>
    <w:rsid w:val="007F1015"/>
    <w:rsid w:val="007F10FA"/>
    <w:rsid w:val="007F1714"/>
    <w:rsid w:val="007F1A8C"/>
    <w:rsid w:val="007F1B08"/>
    <w:rsid w:val="007F28C8"/>
    <w:rsid w:val="007F29C5"/>
    <w:rsid w:val="007F2B33"/>
    <w:rsid w:val="007F2F34"/>
    <w:rsid w:val="007F3237"/>
    <w:rsid w:val="007F35BB"/>
    <w:rsid w:val="007F367F"/>
    <w:rsid w:val="007F3BD1"/>
    <w:rsid w:val="007F3CB2"/>
    <w:rsid w:val="007F4053"/>
    <w:rsid w:val="007F41B3"/>
    <w:rsid w:val="007F43B5"/>
    <w:rsid w:val="007F4413"/>
    <w:rsid w:val="007F44B9"/>
    <w:rsid w:val="007F44C4"/>
    <w:rsid w:val="007F4AE5"/>
    <w:rsid w:val="007F4D8E"/>
    <w:rsid w:val="007F5311"/>
    <w:rsid w:val="007F590F"/>
    <w:rsid w:val="007F5CFC"/>
    <w:rsid w:val="007F60D8"/>
    <w:rsid w:val="007F6669"/>
    <w:rsid w:val="007F66C1"/>
    <w:rsid w:val="007F6A57"/>
    <w:rsid w:val="007F6A8E"/>
    <w:rsid w:val="007F6C24"/>
    <w:rsid w:val="007F7535"/>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3D73"/>
    <w:rsid w:val="0080402E"/>
    <w:rsid w:val="00804B08"/>
    <w:rsid w:val="00804FD8"/>
    <w:rsid w:val="008054DA"/>
    <w:rsid w:val="00806F9D"/>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4D"/>
    <w:rsid w:val="00815872"/>
    <w:rsid w:val="0081590F"/>
    <w:rsid w:val="00815947"/>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B00"/>
    <w:rsid w:val="00825C19"/>
    <w:rsid w:val="00825D48"/>
    <w:rsid w:val="008262D3"/>
    <w:rsid w:val="008265A7"/>
    <w:rsid w:val="0082687C"/>
    <w:rsid w:val="00826A5E"/>
    <w:rsid w:val="00826BDB"/>
    <w:rsid w:val="0082721D"/>
    <w:rsid w:val="008273AB"/>
    <w:rsid w:val="00827596"/>
    <w:rsid w:val="00827846"/>
    <w:rsid w:val="00827998"/>
    <w:rsid w:val="008279C9"/>
    <w:rsid w:val="00827BB7"/>
    <w:rsid w:val="00827BBD"/>
    <w:rsid w:val="00827F2E"/>
    <w:rsid w:val="00830012"/>
    <w:rsid w:val="00830366"/>
    <w:rsid w:val="008305EA"/>
    <w:rsid w:val="00830871"/>
    <w:rsid w:val="00830C3D"/>
    <w:rsid w:val="00830D3E"/>
    <w:rsid w:val="00830DD6"/>
    <w:rsid w:val="00830EAC"/>
    <w:rsid w:val="00831165"/>
    <w:rsid w:val="00831976"/>
    <w:rsid w:val="00831994"/>
    <w:rsid w:val="00831BA6"/>
    <w:rsid w:val="00831E07"/>
    <w:rsid w:val="0083244D"/>
    <w:rsid w:val="00832ACD"/>
    <w:rsid w:val="00832BD8"/>
    <w:rsid w:val="00832D77"/>
    <w:rsid w:val="00832DF5"/>
    <w:rsid w:val="00833016"/>
    <w:rsid w:val="00833793"/>
    <w:rsid w:val="00833B75"/>
    <w:rsid w:val="00833C32"/>
    <w:rsid w:val="008341CE"/>
    <w:rsid w:val="0083462E"/>
    <w:rsid w:val="00834A64"/>
    <w:rsid w:val="00834B68"/>
    <w:rsid w:val="00834F00"/>
    <w:rsid w:val="0083502D"/>
    <w:rsid w:val="008356B4"/>
    <w:rsid w:val="00835734"/>
    <w:rsid w:val="008359CD"/>
    <w:rsid w:val="00835F30"/>
    <w:rsid w:val="00835FC9"/>
    <w:rsid w:val="008361B3"/>
    <w:rsid w:val="00836454"/>
    <w:rsid w:val="00836E53"/>
    <w:rsid w:val="008372C0"/>
    <w:rsid w:val="00837309"/>
    <w:rsid w:val="008376C3"/>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B4B"/>
    <w:rsid w:val="00851C05"/>
    <w:rsid w:val="00851D1F"/>
    <w:rsid w:val="00851F58"/>
    <w:rsid w:val="0085229F"/>
    <w:rsid w:val="008522E9"/>
    <w:rsid w:val="0085231D"/>
    <w:rsid w:val="00852804"/>
    <w:rsid w:val="00852855"/>
    <w:rsid w:val="00852D50"/>
    <w:rsid w:val="00853043"/>
    <w:rsid w:val="0085316A"/>
    <w:rsid w:val="00853AB0"/>
    <w:rsid w:val="00853C37"/>
    <w:rsid w:val="008547CB"/>
    <w:rsid w:val="008549C4"/>
    <w:rsid w:val="008557C7"/>
    <w:rsid w:val="00855934"/>
    <w:rsid w:val="00855BEF"/>
    <w:rsid w:val="00856097"/>
    <w:rsid w:val="0085618A"/>
    <w:rsid w:val="0085670C"/>
    <w:rsid w:val="008568CE"/>
    <w:rsid w:val="00856CC9"/>
    <w:rsid w:val="00856E00"/>
    <w:rsid w:val="00856FEB"/>
    <w:rsid w:val="0085740F"/>
    <w:rsid w:val="0085764B"/>
    <w:rsid w:val="00857AA1"/>
    <w:rsid w:val="00857AC7"/>
    <w:rsid w:val="00860141"/>
    <w:rsid w:val="0086047C"/>
    <w:rsid w:val="008606E2"/>
    <w:rsid w:val="008607A2"/>
    <w:rsid w:val="00860DEC"/>
    <w:rsid w:val="008613FA"/>
    <w:rsid w:val="00861454"/>
    <w:rsid w:val="0086190C"/>
    <w:rsid w:val="00861E9D"/>
    <w:rsid w:val="00861EA6"/>
    <w:rsid w:val="00862D55"/>
    <w:rsid w:val="008637F5"/>
    <w:rsid w:val="00863A2D"/>
    <w:rsid w:val="00863A9D"/>
    <w:rsid w:val="00863FDC"/>
    <w:rsid w:val="008644CD"/>
    <w:rsid w:val="00865170"/>
    <w:rsid w:val="00865395"/>
    <w:rsid w:val="008654C3"/>
    <w:rsid w:val="00867485"/>
    <w:rsid w:val="0086752F"/>
    <w:rsid w:val="008679AF"/>
    <w:rsid w:val="00867DE3"/>
    <w:rsid w:val="008700AD"/>
    <w:rsid w:val="00870121"/>
    <w:rsid w:val="0087022E"/>
    <w:rsid w:val="00871589"/>
    <w:rsid w:val="00871871"/>
    <w:rsid w:val="00871DA3"/>
    <w:rsid w:val="0087200B"/>
    <w:rsid w:val="00872351"/>
    <w:rsid w:val="008723E6"/>
    <w:rsid w:val="00872637"/>
    <w:rsid w:val="00873046"/>
    <w:rsid w:val="00873467"/>
    <w:rsid w:val="008736E4"/>
    <w:rsid w:val="0087379E"/>
    <w:rsid w:val="00873A57"/>
    <w:rsid w:val="008743F0"/>
    <w:rsid w:val="0087470A"/>
    <w:rsid w:val="00874860"/>
    <w:rsid w:val="00874E3F"/>
    <w:rsid w:val="00874E71"/>
    <w:rsid w:val="00875516"/>
    <w:rsid w:val="008755CA"/>
    <w:rsid w:val="00876314"/>
    <w:rsid w:val="008763C0"/>
    <w:rsid w:val="008767EE"/>
    <w:rsid w:val="0087711A"/>
    <w:rsid w:val="00877187"/>
    <w:rsid w:val="008775EF"/>
    <w:rsid w:val="008778DE"/>
    <w:rsid w:val="00877CDC"/>
    <w:rsid w:val="00880009"/>
    <w:rsid w:val="00880443"/>
    <w:rsid w:val="0088069F"/>
    <w:rsid w:val="00880A0E"/>
    <w:rsid w:val="0088138D"/>
    <w:rsid w:val="00881598"/>
    <w:rsid w:val="008815BB"/>
    <w:rsid w:val="008815F5"/>
    <w:rsid w:val="00881AE5"/>
    <w:rsid w:val="00881F3C"/>
    <w:rsid w:val="00882807"/>
    <w:rsid w:val="00882A25"/>
    <w:rsid w:val="00882C1E"/>
    <w:rsid w:val="00882DC0"/>
    <w:rsid w:val="008831C5"/>
    <w:rsid w:val="008835CE"/>
    <w:rsid w:val="008838FE"/>
    <w:rsid w:val="008844CF"/>
    <w:rsid w:val="00884539"/>
    <w:rsid w:val="008846C7"/>
    <w:rsid w:val="00884711"/>
    <w:rsid w:val="008849B3"/>
    <w:rsid w:val="0088514D"/>
    <w:rsid w:val="008852FA"/>
    <w:rsid w:val="00885571"/>
    <w:rsid w:val="00885653"/>
    <w:rsid w:val="00885E63"/>
    <w:rsid w:val="00886544"/>
    <w:rsid w:val="00886836"/>
    <w:rsid w:val="00886CAA"/>
    <w:rsid w:val="0088773F"/>
    <w:rsid w:val="00887F17"/>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32C"/>
    <w:rsid w:val="00893669"/>
    <w:rsid w:val="00893A75"/>
    <w:rsid w:val="00893ACF"/>
    <w:rsid w:val="00893E38"/>
    <w:rsid w:val="00893E6B"/>
    <w:rsid w:val="0089449D"/>
    <w:rsid w:val="00894CE4"/>
    <w:rsid w:val="00894FDE"/>
    <w:rsid w:val="008955B0"/>
    <w:rsid w:val="00895D61"/>
    <w:rsid w:val="00895DC8"/>
    <w:rsid w:val="00896117"/>
    <w:rsid w:val="00896196"/>
    <w:rsid w:val="00896454"/>
    <w:rsid w:val="00896641"/>
    <w:rsid w:val="00896A70"/>
    <w:rsid w:val="008979BE"/>
    <w:rsid w:val="00897FDF"/>
    <w:rsid w:val="008A02BA"/>
    <w:rsid w:val="008A0C4F"/>
    <w:rsid w:val="008A222C"/>
    <w:rsid w:val="008A26E1"/>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F67"/>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16C"/>
    <w:rsid w:val="008B3243"/>
    <w:rsid w:val="008B32E3"/>
    <w:rsid w:val="008B382A"/>
    <w:rsid w:val="008B3E25"/>
    <w:rsid w:val="008B422D"/>
    <w:rsid w:val="008B4397"/>
    <w:rsid w:val="008B4495"/>
    <w:rsid w:val="008B465D"/>
    <w:rsid w:val="008B4AF5"/>
    <w:rsid w:val="008B4EB7"/>
    <w:rsid w:val="008B4F0A"/>
    <w:rsid w:val="008B4F12"/>
    <w:rsid w:val="008B56F7"/>
    <w:rsid w:val="008B58A0"/>
    <w:rsid w:val="008B5E66"/>
    <w:rsid w:val="008B5F86"/>
    <w:rsid w:val="008B610A"/>
    <w:rsid w:val="008B6414"/>
    <w:rsid w:val="008B64DB"/>
    <w:rsid w:val="008B71B1"/>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7E"/>
    <w:rsid w:val="008C33F1"/>
    <w:rsid w:val="008C3713"/>
    <w:rsid w:val="008C3756"/>
    <w:rsid w:val="008C3C05"/>
    <w:rsid w:val="008C3CC7"/>
    <w:rsid w:val="008C3EED"/>
    <w:rsid w:val="008C4167"/>
    <w:rsid w:val="008C4765"/>
    <w:rsid w:val="008C48CE"/>
    <w:rsid w:val="008C4A1C"/>
    <w:rsid w:val="008C4CBD"/>
    <w:rsid w:val="008C5000"/>
    <w:rsid w:val="008C54BA"/>
    <w:rsid w:val="008C5920"/>
    <w:rsid w:val="008C5B8F"/>
    <w:rsid w:val="008C5D49"/>
    <w:rsid w:val="008C5F61"/>
    <w:rsid w:val="008C601F"/>
    <w:rsid w:val="008C6167"/>
    <w:rsid w:val="008C62A2"/>
    <w:rsid w:val="008C63FB"/>
    <w:rsid w:val="008C6AF2"/>
    <w:rsid w:val="008C6B38"/>
    <w:rsid w:val="008C7071"/>
    <w:rsid w:val="008C728A"/>
    <w:rsid w:val="008C74D3"/>
    <w:rsid w:val="008C763E"/>
    <w:rsid w:val="008C7AAF"/>
    <w:rsid w:val="008C7EA1"/>
    <w:rsid w:val="008C7F9F"/>
    <w:rsid w:val="008D001C"/>
    <w:rsid w:val="008D03CE"/>
    <w:rsid w:val="008D04EF"/>
    <w:rsid w:val="008D090C"/>
    <w:rsid w:val="008D0968"/>
    <w:rsid w:val="008D0D71"/>
    <w:rsid w:val="008D17F2"/>
    <w:rsid w:val="008D1887"/>
    <w:rsid w:val="008D1FF2"/>
    <w:rsid w:val="008D2489"/>
    <w:rsid w:val="008D2A4B"/>
    <w:rsid w:val="008D3500"/>
    <w:rsid w:val="008D36F3"/>
    <w:rsid w:val="008D3A9A"/>
    <w:rsid w:val="008D4085"/>
    <w:rsid w:val="008D480D"/>
    <w:rsid w:val="008D4A38"/>
    <w:rsid w:val="008D5214"/>
    <w:rsid w:val="008D54A2"/>
    <w:rsid w:val="008D55B4"/>
    <w:rsid w:val="008D5771"/>
    <w:rsid w:val="008D57A8"/>
    <w:rsid w:val="008D57F9"/>
    <w:rsid w:val="008D5DDF"/>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24D"/>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4E96"/>
    <w:rsid w:val="008E5081"/>
    <w:rsid w:val="008E556F"/>
    <w:rsid w:val="008E566B"/>
    <w:rsid w:val="008E584E"/>
    <w:rsid w:val="008E5867"/>
    <w:rsid w:val="008E5B65"/>
    <w:rsid w:val="008E5FB0"/>
    <w:rsid w:val="008E60C2"/>
    <w:rsid w:val="008E6224"/>
    <w:rsid w:val="008E67C0"/>
    <w:rsid w:val="008E69DD"/>
    <w:rsid w:val="008E6BD5"/>
    <w:rsid w:val="008E6CDB"/>
    <w:rsid w:val="008E6D5F"/>
    <w:rsid w:val="008E7196"/>
    <w:rsid w:val="008E7312"/>
    <w:rsid w:val="008E74E2"/>
    <w:rsid w:val="008E7BB1"/>
    <w:rsid w:val="008E7F23"/>
    <w:rsid w:val="008F0032"/>
    <w:rsid w:val="008F01B4"/>
    <w:rsid w:val="008F02A2"/>
    <w:rsid w:val="008F07E4"/>
    <w:rsid w:val="008F0897"/>
    <w:rsid w:val="008F0CE2"/>
    <w:rsid w:val="008F1CB8"/>
    <w:rsid w:val="008F294B"/>
    <w:rsid w:val="008F2A51"/>
    <w:rsid w:val="008F2BDC"/>
    <w:rsid w:val="008F499D"/>
    <w:rsid w:val="008F49DD"/>
    <w:rsid w:val="008F4F94"/>
    <w:rsid w:val="008F5017"/>
    <w:rsid w:val="008F51FC"/>
    <w:rsid w:val="008F54A1"/>
    <w:rsid w:val="008F572C"/>
    <w:rsid w:val="008F5B53"/>
    <w:rsid w:val="008F5C35"/>
    <w:rsid w:val="008F5D05"/>
    <w:rsid w:val="008F6319"/>
    <w:rsid w:val="008F6338"/>
    <w:rsid w:val="008F64C6"/>
    <w:rsid w:val="008F6872"/>
    <w:rsid w:val="008F6895"/>
    <w:rsid w:val="008F6C21"/>
    <w:rsid w:val="008F6D62"/>
    <w:rsid w:val="008F725D"/>
    <w:rsid w:val="008F7408"/>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45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063"/>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667"/>
    <w:rsid w:val="00917EDA"/>
    <w:rsid w:val="00920143"/>
    <w:rsid w:val="00920447"/>
    <w:rsid w:val="00920572"/>
    <w:rsid w:val="00920636"/>
    <w:rsid w:val="00920CE7"/>
    <w:rsid w:val="00920F9E"/>
    <w:rsid w:val="00921455"/>
    <w:rsid w:val="009218F3"/>
    <w:rsid w:val="00921DB8"/>
    <w:rsid w:val="00921E60"/>
    <w:rsid w:val="00922368"/>
    <w:rsid w:val="0092236D"/>
    <w:rsid w:val="009229AF"/>
    <w:rsid w:val="00922ACB"/>
    <w:rsid w:val="00922EF3"/>
    <w:rsid w:val="009235E5"/>
    <w:rsid w:val="00923A5B"/>
    <w:rsid w:val="00923F41"/>
    <w:rsid w:val="0092403A"/>
    <w:rsid w:val="0092436D"/>
    <w:rsid w:val="00924858"/>
    <w:rsid w:val="00924DED"/>
    <w:rsid w:val="00924E33"/>
    <w:rsid w:val="00925072"/>
    <w:rsid w:val="009251E3"/>
    <w:rsid w:val="0092526D"/>
    <w:rsid w:val="00925A63"/>
    <w:rsid w:val="00925C5A"/>
    <w:rsid w:val="00926126"/>
    <w:rsid w:val="0092679A"/>
    <w:rsid w:val="009267A5"/>
    <w:rsid w:val="00926F39"/>
    <w:rsid w:val="009272A1"/>
    <w:rsid w:val="0092758F"/>
    <w:rsid w:val="00927A82"/>
    <w:rsid w:val="00927AA9"/>
    <w:rsid w:val="009305D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2E0E"/>
    <w:rsid w:val="009332CC"/>
    <w:rsid w:val="0093348A"/>
    <w:rsid w:val="00933FAA"/>
    <w:rsid w:val="00933FC8"/>
    <w:rsid w:val="0093415B"/>
    <w:rsid w:val="009346E5"/>
    <w:rsid w:val="0093482F"/>
    <w:rsid w:val="00934916"/>
    <w:rsid w:val="009349EE"/>
    <w:rsid w:val="00934CD5"/>
    <w:rsid w:val="00934D0C"/>
    <w:rsid w:val="0093590A"/>
    <w:rsid w:val="00935957"/>
    <w:rsid w:val="0093623D"/>
    <w:rsid w:val="009367A6"/>
    <w:rsid w:val="00936CC9"/>
    <w:rsid w:val="00936F3D"/>
    <w:rsid w:val="009370FC"/>
    <w:rsid w:val="00937111"/>
    <w:rsid w:val="00937659"/>
    <w:rsid w:val="00940203"/>
    <w:rsid w:val="00940983"/>
    <w:rsid w:val="00941CF9"/>
    <w:rsid w:val="00942D3F"/>
    <w:rsid w:val="0094306C"/>
    <w:rsid w:val="00943153"/>
    <w:rsid w:val="009435DD"/>
    <w:rsid w:val="00943716"/>
    <w:rsid w:val="00943897"/>
    <w:rsid w:val="00943BE6"/>
    <w:rsid w:val="00944178"/>
    <w:rsid w:val="0094423D"/>
    <w:rsid w:val="0094425D"/>
    <w:rsid w:val="009442A9"/>
    <w:rsid w:val="009443CF"/>
    <w:rsid w:val="0094494C"/>
    <w:rsid w:val="00944A3A"/>
    <w:rsid w:val="0094584E"/>
    <w:rsid w:val="009459EB"/>
    <w:rsid w:val="0094632F"/>
    <w:rsid w:val="0094663E"/>
    <w:rsid w:val="00946C8F"/>
    <w:rsid w:val="00946EF0"/>
    <w:rsid w:val="00947697"/>
    <w:rsid w:val="009477D4"/>
    <w:rsid w:val="009477DE"/>
    <w:rsid w:val="009503D2"/>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A82"/>
    <w:rsid w:val="00955CD4"/>
    <w:rsid w:val="009560E9"/>
    <w:rsid w:val="0095642B"/>
    <w:rsid w:val="009569B0"/>
    <w:rsid w:val="00956F14"/>
    <w:rsid w:val="0095701F"/>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196"/>
    <w:rsid w:val="00967268"/>
    <w:rsid w:val="009678E3"/>
    <w:rsid w:val="00967CA3"/>
    <w:rsid w:val="00967E22"/>
    <w:rsid w:val="009702CE"/>
    <w:rsid w:val="0097063D"/>
    <w:rsid w:val="00970A35"/>
    <w:rsid w:val="00970DB5"/>
    <w:rsid w:val="00970DE2"/>
    <w:rsid w:val="00971150"/>
    <w:rsid w:val="009714F9"/>
    <w:rsid w:val="00972080"/>
    <w:rsid w:val="009720C8"/>
    <w:rsid w:val="00972105"/>
    <w:rsid w:val="00972580"/>
    <w:rsid w:val="00972AD0"/>
    <w:rsid w:val="00972DFB"/>
    <w:rsid w:val="00972F85"/>
    <w:rsid w:val="009733CB"/>
    <w:rsid w:val="00973424"/>
    <w:rsid w:val="009734C6"/>
    <w:rsid w:val="009735B8"/>
    <w:rsid w:val="00973777"/>
    <w:rsid w:val="00973A96"/>
    <w:rsid w:val="009740AB"/>
    <w:rsid w:val="009741D5"/>
    <w:rsid w:val="00974F8D"/>
    <w:rsid w:val="0097551E"/>
    <w:rsid w:val="009755FA"/>
    <w:rsid w:val="00975894"/>
    <w:rsid w:val="0097592D"/>
    <w:rsid w:val="00975A86"/>
    <w:rsid w:val="0097649B"/>
    <w:rsid w:val="009766BC"/>
    <w:rsid w:val="00976C4D"/>
    <w:rsid w:val="00977411"/>
    <w:rsid w:val="00977699"/>
    <w:rsid w:val="009778AD"/>
    <w:rsid w:val="00980108"/>
    <w:rsid w:val="00980330"/>
    <w:rsid w:val="00980543"/>
    <w:rsid w:val="009806D0"/>
    <w:rsid w:val="00980C9A"/>
    <w:rsid w:val="00980CFF"/>
    <w:rsid w:val="009811DD"/>
    <w:rsid w:val="0098147F"/>
    <w:rsid w:val="00981D40"/>
    <w:rsid w:val="00982126"/>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0B67"/>
    <w:rsid w:val="00991335"/>
    <w:rsid w:val="009918E2"/>
    <w:rsid w:val="00991A1D"/>
    <w:rsid w:val="00992320"/>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5D5A"/>
    <w:rsid w:val="009962EB"/>
    <w:rsid w:val="009962F7"/>
    <w:rsid w:val="0099675E"/>
    <w:rsid w:val="00996FD5"/>
    <w:rsid w:val="0099711D"/>
    <w:rsid w:val="00997679"/>
    <w:rsid w:val="0099778E"/>
    <w:rsid w:val="00997B28"/>
    <w:rsid w:val="009A03BB"/>
    <w:rsid w:val="009A0AFD"/>
    <w:rsid w:val="009A0E2A"/>
    <w:rsid w:val="009A1517"/>
    <w:rsid w:val="009A2659"/>
    <w:rsid w:val="009A2CD1"/>
    <w:rsid w:val="009A2E91"/>
    <w:rsid w:val="009A322C"/>
    <w:rsid w:val="009A37CD"/>
    <w:rsid w:val="009A3F7B"/>
    <w:rsid w:val="009A4595"/>
    <w:rsid w:val="009A45F1"/>
    <w:rsid w:val="009A4794"/>
    <w:rsid w:val="009A4A4F"/>
    <w:rsid w:val="009A5840"/>
    <w:rsid w:val="009A60CA"/>
    <w:rsid w:val="009A626A"/>
    <w:rsid w:val="009A6743"/>
    <w:rsid w:val="009A78CA"/>
    <w:rsid w:val="009B00F3"/>
    <w:rsid w:val="009B04CD"/>
    <w:rsid w:val="009B09B4"/>
    <w:rsid w:val="009B0E99"/>
    <w:rsid w:val="009B1F27"/>
    <w:rsid w:val="009B2168"/>
    <w:rsid w:val="009B2382"/>
    <w:rsid w:val="009B23C5"/>
    <w:rsid w:val="009B26A1"/>
    <w:rsid w:val="009B2858"/>
    <w:rsid w:val="009B2A8A"/>
    <w:rsid w:val="009B320F"/>
    <w:rsid w:val="009B356F"/>
    <w:rsid w:val="009B3B71"/>
    <w:rsid w:val="009B3B79"/>
    <w:rsid w:val="009B3CD1"/>
    <w:rsid w:val="009B3F09"/>
    <w:rsid w:val="009B4111"/>
    <w:rsid w:val="009B4238"/>
    <w:rsid w:val="009B4C3D"/>
    <w:rsid w:val="009B4FD0"/>
    <w:rsid w:val="009B5374"/>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222"/>
    <w:rsid w:val="009C644D"/>
    <w:rsid w:val="009C672F"/>
    <w:rsid w:val="009C6811"/>
    <w:rsid w:val="009C69FC"/>
    <w:rsid w:val="009C6B82"/>
    <w:rsid w:val="009C6EAC"/>
    <w:rsid w:val="009C6ECF"/>
    <w:rsid w:val="009C6FF7"/>
    <w:rsid w:val="009C73EF"/>
    <w:rsid w:val="009C7762"/>
    <w:rsid w:val="009C78A9"/>
    <w:rsid w:val="009C7F5A"/>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4ED7"/>
    <w:rsid w:val="009D536F"/>
    <w:rsid w:val="009D572F"/>
    <w:rsid w:val="009D5904"/>
    <w:rsid w:val="009D59C2"/>
    <w:rsid w:val="009D59ED"/>
    <w:rsid w:val="009D5B0C"/>
    <w:rsid w:val="009D5BDD"/>
    <w:rsid w:val="009D5FB9"/>
    <w:rsid w:val="009D659A"/>
    <w:rsid w:val="009D66A2"/>
    <w:rsid w:val="009D6DA7"/>
    <w:rsid w:val="009D7274"/>
    <w:rsid w:val="009D73EB"/>
    <w:rsid w:val="009D7528"/>
    <w:rsid w:val="009D7653"/>
    <w:rsid w:val="009D7CE1"/>
    <w:rsid w:val="009D7FB1"/>
    <w:rsid w:val="009E0470"/>
    <w:rsid w:val="009E0A84"/>
    <w:rsid w:val="009E0C2C"/>
    <w:rsid w:val="009E0D3E"/>
    <w:rsid w:val="009E110E"/>
    <w:rsid w:val="009E1242"/>
    <w:rsid w:val="009E1291"/>
    <w:rsid w:val="009E147C"/>
    <w:rsid w:val="009E1772"/>
    <w:rsid w:val="009E27F0"/>
    <w:rsid w:val="009E3969"/>
    <w:rsid w:val="009E3A1D"/>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356"/>
    <w:rsid w:val="009F5538"/>
    <w:rsid w:val="009F587D"/>
    <w:rsid w:val="009F5956"/>
    <w:rsid w:val="009F5C5D"/>
    <w:rsid w:val="009F5E98"/>
    <w:rsid w:val="009F6268"/>
    <w:rsid w:val="009F7FD7"/>
    <w:rsid w:val="00A003CF"/>
    <w:rsid w:val="00A006A9"/>
    <w:rsid w:val="00A00CE6"/>
    <w:rsid w:val="00A00F18"/>
    <w:rsid w:val="00A01295"/>
    <w:rsid w:val="00A01BC1"/>
    <w:rsid w:val="00A01F93"/>
    <w:rsid w:val="00A02180"/>
    <w:rsid w:val="00A022C5"/>
    <w:rsid w:val="00A035BD"/>
    <w:rsid w:val="00A03A6B"/>
    <w:rsid w:val="00A042B5"/>
    <w:rsid w:val="00A048B5"/>
    <w:rsid w:val="00A051DA"/>
    <w:rsid w:val="00A052DC"/>
    <w:rsid w:val="00A05AF7"/>
    <w:rsid w:val="00A05B58"/>
    <w:rsid w:val="00A06CA3"/>
    <w:rsid w:val="00A06EC3"/>
    <w:rsid w:val="00A071ED"/>
    <w:rsid w:val="00A07C0F"/>
    <w:rsid w:val="00A07CF3"/>
    <w:rsid w:val="00A07D5B"/>
    <w:rsid w:val="00A07FA9"/>
    <w:rsid w:val="00A10523"/>
    <w:rsid w:val="00A1064C"/>
    <w:rsid w:val="00A107E6"/>
    <w:rsid w:val="00A10B8B"/>
    <w:rsid w:val="00A110DD"/>
    <w:rsid w:val="00A1191B"/>
    <w:rsid w:val="00A11A6F"/>
    <w:rsid w:val="00A11D15"/>
    <w:rsid w:val="00A11EB7"/>
    <w:rsid w:val="00A12041"/>
    <w:rsid w:val="00A126C6"/>
    <w:rsid w:val="00A126E5"/>
    <w:rsid w:val="00A1327D"/>
    <w:rsid w:val="00A134C0"/>
    <w:rsid w:val="00A13CEE"/>
    <w:rsid w:val="00A1444C"/>
    <w:rsid w:val="00A14DEA"/>
    <w:rsid w:val="00A14FD7"/>
    <w:rsid w:val="00A15499"/>
    <w:rsid w:val="00A15E37"/>
    <w:rsid w:val="00A160F6"/>
    <w:rsid w:val="00A16E9F"/>
    <w:rsid w:val="00A16F2D"/>
    <w:rsid w:val="00A16F96"/>
    <w:rsid w:val="00A16FAE"/>
    <w:rsid w:val="00A175EE"/>
    <w:rsid w:val="00A17B67"/>
    <w:rsid w:val="00A2019D"/>
    <w:rsid w:val="00A20956"/>
    <w:rsid w:val="00A20B27"/>
    <w:rsid w:val="00A216D5"/>
    <w:rsid w:val="00A21951"/>
    <w:rsid w:val="00A21A9E"/>
    <w:rsid w:val="00A2201E"/>
    <w:rsid w:val="00A220A7"/>
    <w:rsid w:val="00A221BB"/>
    <w:rsid w:val="00A22412"/>
    <w:rsid w:val="00A2256C"/>
    <w:rsid w:val="00A227BA"/>
    <w:rsid w:val="00A22805"/>
    <w:rsid w:val="00A22BCE"/>
    <w:rsid w:val="00A22C3F"/>
    <w:rsid w:val="00A22D56"/>
    <w:rsid w:val="00A22E44"/>
    <w:rsid w:val="00A23085"/>
    <w:rsid w:val="00A23A3D"/>
    <w:rsid w:val="00A240B3"/>
    <w:rsid w:val="00A241DC"/>
    <w:rsid w:val="00A2468F"/>
    <w:rsid w:val="00A2499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3BD8"/>
    <w:rsid w:val="00A34566"/>
    <w:rsid w:val="00A346AE"/>
    <w:rsid w:val="00A34919"/>
    <w:rsid w:val="00A3497D"/>
    <w:rsid w:val="00A34C16"/>
    <w:rsid w:val="00A34CE4"/>
    <w:rsid w:val="00A3528D"/>
    <w:rsid w:val="00A35339"/>
    <w:rsid w:val="00A35482"/>
    <w:rsid w:val="00A355E5"/>
    <w:rsid w:val="00A35635"/>
    <w:rsid w:val="00A368D3"/>
    <w:rsid w:val="00A36A1F"/>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3C5"/>
    <w:rsid w:val="00A446E8"/>
    <w:rsid w:val="00A4482C"/>
    <w:rsid w:val="00A44A26"/>
    <w:rsid w:val="00A45494"/>
    <w:rsid w:val="00A454B6"/>
    <w:rsid w:val="00A45B72"/>
    <w:rsid w:val="00A45CC5"/>
    <w:rsid w:val="00A46AF5"/>
    <w:rsid w:val="00A46BD0"/>
    <w:rsid w:val="00A47D16"/>
    <w:rsid w:val="00A47D70"/>
    <w:rsid w:val="00A47F4A"/>
    <w:rsid w:val="00A5023C"/>
    <w:rsid w:val="00A503B4"/>
    <w:rsid w:val="00A50497"/>
    <w:rsid w:val="00A50629"/>
    <w:rsid w:val="00A50650"/>
    <w:rsid w:val="00A508BC"/>
    <w:rsid w:val="00A50979"/>
    <w:rsid w:val="00A50EB8"/>
    <w:rsid w:val="00A50EE2"/>
    <w:rsid w:val="00A519EF"/>
    <w:rsid w:val="00A51D29"/>
    <w:rsid w:val="00A51FDE"/>
    <w:rsid w:val="00A51FE2"/>
    <w:rsid w:val="00A52729"/>
    <w:rsid w:val="00A52C32"/>
    <w:rsid w:val="00A52F40"/>
    <w:rsid w:val="00A5307F"/>
    <w:rsid w:val="00A53249"/>
    <w:rsid w:val="00A5367F"/>
    <w:rsid w:val="00A53C88"/>
    <w:rsid w:val="00A5430D"/>
    <w:rsid w:val="00A54621"/>
    <w:rsid w:val="00A54ECF"/>
    <w:rsid w:val="00A5511D"/>
    <w:rsid w:val="00A551C1"/>
    <w:rsid w:val="00A55BC9"/>
    <w:rsid w:val="00A55E48"/>
    <w:rsid w:val="00A5661F"/>
    <w:rsid w:val="00A56903"/>
    <w:rsid w:val="00A569A7"/>
    <w:rsid w:val="00A56E53"/>
    <w:rsid w:val="00A5717B"/>
    <w:rsid w:val="00A576A2"/>
    <w:rsid w:val="00A577D2"/>
    <w:rsid w:val="00A57AF4"/>
    <w:rsid w:val="00A57CC8"/>
    <w:rsid w:val="00A57D72"/>
    <w:rsid w:val="00A6005D"/>
    <w:rsid w:val="00A601AF"/>
    <w:rsid w:val="00A60EEF"/>
    <w:rsid w:val="00A6115E"/>
    <w:rsid w:val="00A61178"/>
    <w:rsid w:val="00A612FA"/>
    <w:rsid w:val="00A6147D"/>
    <w:rsid w:val="00A61DFE"/>
    <w:rsid w:val="00A61F05"/>
    <w:rsid w:val="00A61F8B"/>
    <w:rsid w:val="00A62220"/>
    <w:rsid w:val="00A624A2"/>
    <w:rsid w:val="00A624B0"/>
    <w:rsid w:val="00A62585"/>
    <w:rsid w:val="00A626AB"/>
    <w:rsid w:val="00A62835"/>
    <w:rsid w:val="00A628FF"/>
    <w:rsid w:val="00A629E6"/>
    <w:rsid w:val="00A6360D"/>
    <w:rsid w:val="00A64439"/>
    <w:rsid w:val="00A64A82"/>
    <w:rsid w:val="00A64AC1"/>
    <w:rsid w:val="00A64B87"/>
    <w:rsid w:val="00A64E74"/>
    <w:rsid w:val="00A6513D"/>
    <w:rsid w:val="00A65331"/>
    <w:rsid w:val="00A65DD5"/>
    <w:rsid w:val="00A66072"/>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0E6B"/>
    <w:rsid w:val="00A71245"/>
    <w:rsid w:val="00A7134E"/>
    <w:rsid w:val="00A71500"/>
    <w:rsid w:val="00A71634"/>
    <w:rsid w:val="00A7176B"/>
    <w:rsid w:val="00A71936"/>
    <w:rsid w:val="00A71963"/>
    <w:rsid w:val="00A71FF4"/>
    <w:rsid w:val="00A72270"/>
    <w:rsid w:val="00A727BE"/>
    <w:rsid w:val="00A72B34"/>
    <w:rsid w:val="00A73239"/>
    <w:rsid w:val="00A73358"/>
    <w:rsid w:val="00A735F1"/>
    <w:rsid w:val="00A737D2"/>
    <w:rsid w:val="00A73ACD"/>
    <w:rsid w:val="00A7407B"/>
    <w:rsid w:val="00A740FB"/>
    <w:rsid w:val="00A743E3"/>
    <w:rsid w:val="00A752B0"/>
    <w:rsid w:val="00A754D1"/>
    <w:rsid w:val="00A75A8D"/>
    <w:rsid w:val="00A75BA0"/>
    <w:rsid w:val="00A762DC"/>
    <w:rsid w:val="00A765E4"/>
    <w:rsid w:val="00A76CE0"/>
    <w:rsid w:val="00A76DAE"/>
    <w:rsid w:val="00A77B8A"/>
    <w:rsid w:val="00A77CD8"/>
    <w:rsid w:val="00A809A3"/>
    <w:rsid w:val="00A8119E"/>
    <w:rsid w:val="00A81486"/>
    <w:rsid w:val="00A815EB"/>
    <w:rsid w:val="00A81BA8"/>
    <w:rsid w:val="00A81E55"/>
    <w:rsid w:val="00A8292A"/>
    <w:rsid w:val="00A82A12"/>
    <w:rsid w:val="00A83125"/>
    <w:rsid w:val="00A83176"/>
    <w:rsid w:val="00A832CA"/>
    <w:rsid w:val="00A83DA7"/>
    <w:rsid w:val="00A84156"/>
    <w:rsid w:val="00A84164"/>
    <w:rsid w:val="00A84377"/>
    <w:rsid w:val="00A850EC"/>
    <w:rsid w:val="00A85434"/>
    <w:rsid w:val="00A854E7"/>
    <w:rsid w:val="00A8632F"/>
    <w:rsid w:val="00A86478"/>
    <w:rsid w:val="00A866A4"/>
    <w:rsid w:val="00A86813"/>
    <w:rsid w:val="00A869AB"/>
    <w:rsid w:val="00A86B76"/>
    <w:rsid w:val="00A86DC0"/>
    <w:rsid w:val="00A878F0"/>
    <w:rsid w:val="00A87B10"/>
    <w:rsid w:val="00A87B88"/>
    <w:rsid w:val="00A87D0C"/>
    <w:rsid w:val="00A90256"/>
    <w:rsid w:val="00A90618"/>
    <w:rsid w:val="00A907A9"/>
    <w:rsid w:val="00A90A62"/>
    <w:rsid w:val="00A90A65"/>
    <w:rsid w:val="00A90B2D"/>
    <w:rsid w:val="00A90C89"/>
    <w:rsid w:val="00A91194"/>
    <w:rsid w:val="00A91360"/>
    <w:rsid w:val="00A916E8"/>
    <w:rsid w:val="00A91837"/>
    <w:rsid w:val="00A92292"/>
    <w:rsid w:val="00A928B4"/>
    <w:rsid w:val="00A9293E"/>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440"/>
    <w:rsid w:val="00AA254B"/>
    <w:rsid w:val="00AA2F6D"/>
    <w:rsid w:val="00AA3344"/>
    <w:rsid w:val="00AA34AF"/>
    <w:rsid w:val="00AA3631"/>
    <w:rsid w:val="00AA3C41"/>
    <w:rsid w:val="00AA3F2F"/>
    <w:rsid w:val="00AA3F87"/>
    <w:rsid w:val="00AA4347"/>
    <w:rsid w:val="00AA598D"/>
    <w:rsid w:val="00AA5B10"/>
    <w:rsid w:val="00AA610D"/>
    <w:rsid w:val="00AA68DA"/>
    <w:rsid w:val="00AA6A43"/>
    <w:rsid w:val="00AA6B5F"/>
    <w:rsid w:val="00AA6C0A"/>
    <w:rsid w:val="00AA7047"/>
    <w:rsid w:val="00AB0BDD"/>
    <w:rsid w:val="00AB0FBF"/>
    <w:rsid w:val="00AB1123"/>
    <w:rsid w:val="00AB1289"/>
    <w:rsid w:val="00AB161C"/>
    <w:rsid w:val="00AB1648"/>
    <w:rsid w:val="00AB1819"/>
    <w:rsid w:val="00AB184D"/>
    <w:rsid w:val="00AB19EE"/>
    <w:rsid w:val="00AB1C08"/>
    <w:rsid w:val="00AB1EBC"/>
    <w:rsid w:val="00AB1F0F"/>
    <w:rsid w:val="00AB2207"/>
    <w:rsid w:val="00AB2C08"/>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318"/>
    <w:rsid w:val="00AB7618"/>
    <w:rsid w:val="00AB797F"/>
    <w:rsid w:val="00AB7C20"/>
    <w:rsid w:val="00AB7E84"/>
    <w:rsid w:val="00AB7EDB"/>
    <w:rsid w:val="00AB7F8B"/>
    <w:rsid w:val="00AC0B0C"/>
    <w:rsid w:val="00AC1591"/>
    <w:rsid w:val="00AC1795"/>
    <w:rsid w:val="00AC184A"/>
    <w:rsid w:val="00AC1C94"/>
    <w:rsid w:val="00AC1D17"/>
    <w:rsid w:val="00AC2638"/>
    <w:rsid w:val="00AC289E"/>
    <w:rsid w:val="00AC2B98"/>
    <w:rsid w:val="00AC2F02"/>
    <w:rsid w:val="00AC2FC7"/>
    <w:rsid w:val="00AC309B"/>
    <w:rsid w:val="00AC30EA"/>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7FA"/>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907"/>
    <w:rsid w:val="00AD6BE4"/>
    <w:rsid w:val="00AD6CE0"/>
    <w:rsid w:val="00AD7161"/>
    <w:rsid w:val="00AD7680"/>
    <w:rsid w:val="00AD7750"/>
    <w:rsid w:val="00AD77D4"/>
    <w:rsid w:val="00AD7F48"/>
    <w:rsid w:val="00AE0070"/>
    <w:rsid w:val="00AE054E"/>
    <w:rsid w:val="00AE065C"/>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37"/>
    <w:rsid w:val="00AE6ED3"/>
    <w:rsid w:val="00AE6FFB"/>
    <w:rsid w:val="00AE7293"/>
    <w:rsid w:val="00AE759A"/>
    <w:rsid w:val="00AE7600"/>
    <w:rsid w:val="00AE7AD3"/>
    <w:rsid w:val="00AF007B"/>
    <w:rsid w:val="00AF0560"/>
    <w:rsid w:val="00AF0C32"/>
    <w:rsid w:val="00AF0DE1"/>
    <w:rsid w:val="00AF0E1C"/>
    <w:rsid w:val="00AF165A"/>
    <w:rsid w:val="00AF1A39"/>
    <w:rsid w:val="00AF249A"/>
    <w:rsid w:val="00AF2CD2"/>
    <w:rsid w:val="00AF32E0"/>
    <w:rsid w:val="00AF36AB"/>
    <w:rsid w:val="00AF3C68"/>
    <w:rsid w:val="00AF4547"/>
    <w:rsid w:val="00AF4ABA"/>
    <w:rsid w:val="00AF5428"/>
    <w:rsid w:val="00AF55BE"/>
    <w:rsid w:val="00AF5791"/>
    <w:rsid w:val="00AF57DE"/>
    <w:rsid w:val="00AF6141"/>
    <w:rsid w:val="00AF640C"/>
    <w:rsid w:val="00AF79C1"/>
    <w:rsid w:val="00AF7AB8"/>
    <w:rsid w:val="00B0060C"/>
    <w:rsid w:val="00B00629"/>
    <w:rsid w:val="00B00869"/>
    <w:rsid w:val="00B00A78"/>
    <w:rsid w:val="00B01038"/>
    <w:rsid w:val="00B017F5"/>
    <w:rsid w:val="00B01CA4"/>
    <w:rsid w:val="00B01D14"/>
    <w:rsid w:val="00B01E8F"/>
    <w:rsid w:val="00B025B8"/>
    <w:rsid w:val="00B0283D"/>
    <w:rsid w:val="00B034ED"/>
    <w:rsid w:val="00B03641"/>
    <w:rsid w:val="00B03724"/>
    <w:rsid w:val="00B03BBA"/>
    <w:rsid w:val="00B03D41"/>
    <w:rsid w:val="00B0487C"/>
    <w:rsid w:val="00B04A53"/>
    <w:rsid w:val="00B04F1C"/>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7B9"/>
    <w:rsid w:val="00B128B9"/>
    <w:rsid w:val="00B129F4"/>
    <w:rsid w:val="00B12D8F"/>
    <w:rsid w:val="00B13EC8"/>
    <w:rsid w:val="00B14089"/>
    <w:rsid w:val="00B1408B"/>
    <w:rsid w:val="00B1432E"/>
    <w:rsid w:val="00B144FE"/>
    <w:rsid w:val="00B14670"/>
    <w:rsid w:val="00B14713"/>
    <w:rsid w:val="00B14C70"/>
    <w:rsid w:val="00B15220"/>
    <w:rsid w:val="00B152B0"/>
    <w:rsid w:val="00B154B3"/>
    <w:rsid w:val="00B15578"/>
    <w:rsid w:val="00B157CD"/>
    <w:rsid w:val="00B15A4F"/>
    <w:rsid w:val="00B15F13"/>
    <w:rsid w:val="00B1620A"/>
    <w:rsid w:val="00B1627C"/>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36"/>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999"/>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15D"/>
    <w:rsid w:val="00B304B4"/>
    <w:rsid w:val="00B3057D"/>
    <w:rsid w:val="00B305A2"/>
    <w:rsid w:val="00B30741"/>
    <w:rsid w:val="00B32D69"/>
    <w:rsid w:val="00B3304F"/>
    <w:rsid w:val="00B33A7D"/>
    <w:rsid w:val="00B33F2C"/>
    <w:rsid w:val="00B34FD4"/>
    <w:rsid w:val="00B3510A"/>
    <w:rsid w:val="00B35530"/>
    <w:rsid w:val="00B359A2"/>
    <w:rsid w:val="00B35E3C"/>
    <w:rsid w:val="00B36659"/>
    <w:rsid w:val="00B36866"/>
    <w:rsid w:val="00B368F6"/>
    <w:rsid w:val="00B36F11"/>
    <w:rsid w:val="00B370A9"/>
    <w:rsid w:val="00B375AD"/>
    <w:rsid w:val="00B37616"/>
    <w:rsid w:val="00B376CF"/>
    <w:rsid w:val="00B3790C"/>
    <w:rsid w:val="00B37ED4"/>
    <w:rsid w:val="00B40145"/>
    <w:rsid w:val="00B40250"/>
    <w:rsid w:val="00B40502"/>
    <w:rsid w:val="00B40573"/>
    <w:rsid w:val="00B40743"/>
    <w:rsid w:val="00B40FAB"/>
    <w:rsid w:val="00B41124"/>
    <w:rsid w:val="00B41224"/>
    <w:rsid w:val="00B414AF"/>
    <w:rsid w:val="00B414C2"/>
    <w:rsid w:val="00B41687"/>
    <w:rsid w:val="00B417B9"/>
    <w:rsid w:val="00B4193F"/>
    <w:rsid w:val="00B42128"/>
    <w:rsid w:val="00B4217F"/>
    <w:rsid w:val="00B4222D"/>
    <w:rsid w:val="00B42235"/>
    <w:rsid w:val="00B42D10"/>
    <w:rsid w:val="00B43135"/>
    <w:rsid w:val="00B431A8"/>
    <w:rsid w:val="00B43603"/>
    <w:rsid w:val="00B43AAF"/>
    <w:rsid w:val="00B4411E"/>
    <w:rsid w:val="00B44313"/>
    <w:rsid w:val="00B443F8"/>
    <w:rsid w:val="00B4579C"/>
    <w:rsid w:val="00B46384"/>
    <w:rsid w:val="00B46885"/>
    <w:rsid w:val="00B4691E"/>
    <w:rsid w:val="00B46EAB"/>
    <w:rsid w:val="00B47226"/>
    <w:rsid w:val="00B47716"/>
    <w:rsid w:val="00B479C7"/>
    <w:rsid w:val="00B47D29"/>
    <w:rsid w:val="00B47DF7"/>
    <w:rsid w:val="00B47ED7"/>
    <w:rsid w:val="00B509DF"/>
    <w:rsid w:val="00B509F0"/>
    <w:rsid w:val="00B50AD1"/>
    <w:rsid w:val="00B51CD9"/>
    <w:rsid w:val="00B51E1A"/>
    <w:rsid w:val="00B5223C"/>
    <w:rsid w:val="00B527CB"/>
    <w:rsid w:val="00B52ADE"/>
    <w:rsid w:val="00B5304A"/>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6FDA"/>
    <w:rsid w:val="00B5701B"/>
    <w:rsid w:val="00B575E5"/>
    <w:rsid w:val="00B57887"/>
    <w:rsid w:val="00B57E37"/>
    <w:rsid w:val="00B57F10"/>
    <w:rsid w:val="00B57F91"/>
    <w:rsid w:val="00B6012C"/>
    <w:rsid w:val="00B603C0"/>
    <w:rsid w:val="00B60854"/>
    <w:rsid w:val="00B60945"/>
    <w:rsid w:val="00B6117B"/>
    <w:rsid w:val="00B61483"/>
    <w:rsid w:val="00B61734"/>
    <w:rsid w:val="00B6176C"/>
    <w:rsid w:val="00B6191A"/>
    <w:rsid w:val="00B619F7"/>
    <w:rsid w:val="00B61D92"/>
    <w:rsid w:val="00B61F0F"/>
    <w:rsid w:val="00B625E3"/>
    <w:rsid w:val="00B629DC"/>
    <w:rsid w:val="00B63105"/>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88F"/>
    <w:rsid w:val="00B66E0A"/>
    <w:rsid w:val="00B67002"/>
    <w:rsid w:val="00B6706F"/>
    <w:rsid w:val="00B67386"/>
    <w:rsid w:val="00B67AAD"/>
    <w:rsid w:val="00B70137"/>
    <w:rsid w:val="00B70807"/>
    <w:rsid w:val="00B70A77"/>
    <w:rsid w:val="00B70AE6"/>
    <w:rsid w:val="00B70AE9"/>
    <w:rsid w:val="00B717F0"/>
    <w:rsid w:val="00B718E0"/>
    <w:rsid w:val="00B71D69"/>
    <w:rsid w:val="00B71EAD"/>
    <w:rsid w:val="00B7231B"/>
    <w:rsid w:val="00B723E0"/>
    <w:rsid w:val="00B7253E"/>
    <w:rsid w:val="00B729A7"/>
    <w:rsid w:val="00B72A15"/>
    <w:rsid w:val="00B72F95"/>
    <w:rsid w:val="00B73117"/>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92B"/>
    <w:rsid w:val="00B80AF5"/>
    <w:rsid w:val="00B823A4"/>
    <w:rsid w:val="00B82718"/>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0AF6"/>
    <w:rsid w:val="00B9147F"/>
    <w:rsid w:val="00B919E7"/>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96CF6"/>
    <w:rsid w:val="00B9775E"/>
    <w:rsid w:val="00B97BD6"/>
    <w:rsid w:val="00BA0050"/>
    <w:rsid w:val="00BA040A"/>
    <w:rsid w:val="00BA07CB"/>
    <w:rsid w:val="00BA0C53"/>
    <w:rsid w:val="00BA1214"/>
    <w:rsid w:val="00BA12E3"/>
    <w:rsid w:val="00BA1BD8"/>
    <w:rsid w:val="00BA21F5"/>
    <w:rsid w:val="00BA2321"/>
    <w:rsid w:val="00BA2681"/>
    <w:rsid w:val="00BA26F7"/>
    <w:rsid w:val="00BA2A07"/>
    <w:rsid w:val="00BA2CC3"/>
    <w:rsid w:val="00BA322A"/>
    <w:rsid w:val="00BA3285"/>
    <w:rsid w:val="00BA337D"/>
    <w:rsid w:val="00BA35E5"/>
    <w:rsid w:val="00BA3600"/>
    <w:rsid w:val="00BA3735"/>
    <w:rsid w:val="00BA39CE"/>
    <w:rsid w:val="00BA3E0D"/>
    <w:rsid w:val="00BA3EDB"/>
    <w:rsid w:val="00BA429C"/>
    <w:rsid w:val="00BA45E8"/>
    <w:rsid w:val="00BA470A"/>
    <w:rsid w:val="00BA4D04"/>
    <w:rsid w:val="00BA51F8"/>
    <w:rsid w:val="00BA548F"/>
    <w:rsid w:val="00BA5CC4"/>
    <w:rsid w:val="00BA6589"/>
    <w:rsid w:val="00BA67FD"/>
    <w:rsid w:val="00BA7259"/>
    <w:rsid w:val="00BA75F7"/>
    <w:rsid w:val="00BA76AF"/>
    <w:rsid w:val="00BB01A2"/>
    <w:rsid w:val="00BB05F6"/>
    <w:rsid w:val="00BB06E3"/>
    <w:rsid w:val="00BB0F01"/>
    <w:rsid w:val="00BB11CA"/>
    <w:rsid w:val="00BB1432"/>
    <w:rsid w:val="00BB156D"/>
    <w:rsid w:val="00BB16D9"/>
    <w:rsid w:val="00BB17F8"/>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0F84"/>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709"/>
    <w:rsid w:val="00BC5D3D"/>
    <w:rsid w:val="00BC5DE7"/>
    <w:rsid w:val="00BC61C1"/>
    <w:rsid w:val="00BC631F"/>
    <w:rsid w:val="00BC679B"/>
    <w:rsid w:val="00BC683B"/>
    <w:rsid w:val="00BC69DC"/>
    <w:rsid w:val="00BC69F6"/>
    <w:rsid w:val="00BC703E"/>
    <w:rsid w:val="00BC7BE2"/>
    <w:rsid w:val="00BC7DDA"/>
    <w:rsid w:val="00BD0174"/>
    <w:rsid w:val="00BD08B3"/>
    <w:rsid w:val="00BD08D0"/>
    <w:rsid w:val="00BD09CF"/>
    <w:rsid w:val="00BD0C08"/>
    <w:rsid w:val="00BD10A6"/>
    <w:rsid w:val="00BD11CA"/>
    <w:rsid w:val="00BD11FB"/>
    <w:rsid w:val="00BD1F5A"/>
    <w:rsid w:val="00BD2060"/>
    <w:rsid w:val="00BD2074"/>
    <w:rsid w:val="00BD31DA"/>
    <w:rsid w:val="00BD386D"/>
    <w:rsid w:val="00BD3B8C"/>
    <w:rsid w:val="00BD3E8C"/>
    <w:rsid w:val="00BD40E9"/>
    <w:rsid w:val="00BD433B"/>
    <w:rsid w:val="00BD4507"/>
    <w:rsid w:val="00BD451E"/>
    <w:rsid w:val="00BD47F5"/>
    <w:rsid w:val="00BD4CE5"/>
    <w:rsid w:val="00BD4DE4"/>
    <w:rsid w:val="00BD5123"/>
    <w:rsid w:val="00BD525E"/>
    <w:rsid w:val="00BD532C"/>
    <w:rsid w:val="00BD53FD"/>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59D"/>
    <w:rsid w:val="00BE3878"/>
    <w:rsid w:val="00BE43B9"/>
    <w:rsid w:val="00BE4550"/>
    <w:rsid w:val="00BE552D"/>
    <w:rsid w:val="00BE59FC"/>
    <w:rsid w:val="00BE5F03"/>
    <w:rsid w:val="00BE62A6"/>
    <w:rsid w:val="00BE6587"/>
    <w:rsid w:val="00BE69FE"/>
    <w:rsid w:val="00BE6C3F"/>
    <w:rsid w:val="00BE6FB4"/>
    <w:rsid w:val="00BE7182"/>
    <w:rsid w:val="00BE71DC"/>
    <w:rsid w:val="00BE7576"/>
    <w:rsid w:val="00BE76DC"/>
    <w:rsid w:val="00BE7AF9"/>
    <w:rsid w:val="00BE7C03"/>
    <w:rsid w:val="00BE7D7D"/>
    <w:rsid w:val="00BF03D1"/>
    <w:rsid w:val="00BF0BA0"/>
    <w:rsid w:val="00BF0F68"/>
    <w:rsid w:val="00BF1063"/>
    <w:rsid w:val="00BF1094"/>
    <w:rsid w:val="00BF14D6"/>
    <w:rsid w:val="00BF185C"/>
    <w:rsid w:val="00BF1BD5"/>
    <w:rsid w:val="00BF23DF"/>
    <w:rsid w:val="00BF2492"/>
    <w:rsid w:val="00BF2BF6"/>
    <w:rsid w:val="00BF2D0D"/>
    <w:rsid w:val="00BF2D60"/>
    <w:rsid w:val="00BF33C6"/>
    <w:rsid w:val="00BF3967"/>
    <w:rsid w:val="00BF3C08"/>
    <w:rsid w:val="00BF3D1B"/>
    <w:rsid w:val="00BF4370"/>
    <w:rsid w:val="00BF49AD"/>
    <w:rsid w:val="00BF4A08"/>
    <w:rsid w:val="00BF4CD1"/>
    <w:rsid w:val="00BF4DE5"/>
    <w:rsid w:val="00BF4E4E"/>
    <w:rsid w:val="00BF4EEB"/>
    <w:rsid w:val="00BF4F51"/>
    <w:rsid w:val="00BF5033"/>
    <w:rsid w:val="00BF5249"/>
    <w:rsid w:val="00BF5331"/>
    <w:rsid w:val="00BF5758"/>
    <w:rsid w:val="00BF57FC"/>
    <w:rsid w:val="00BF626C"/>
    <w:rsid w:val="00BF693E"/>
    <w:rsid w:val="00BF6B24"/>
    <w:rsid w:val="00BF6D55"/>
    <w:rsid w:val="00BF7282"/>
    <w:rsid w:val="00BF7321"/>
    <w:rsid w:val="00BF7367"/>
    <w:rsid w:val="00BF7606"/>
    <w:rsid w:val="00BF7841"/>
    <w:rsid w:val="00C00C40"/>
    <w:rsid w:val="00C01D29"/>
    <w:rsid w:val="00C01E80"/>
    <w:rsid w:val="00C0286E"/>
    <w:rsid w:val="00C02A5A"/>
    <w:rsid w:val="00C02D62"/>
    <w:rsid w:val="00C0369B"/>
    <w:rsid w:val="00C03F20"/>
    <w:rsid w:val="00C04C82"/>
    <w:rsid w:val="00C05356"/>
    <w:rsid w:val="00C05574"/>
    <w:rsid w:val="00C055D9"/>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57F9"/>
    <w:rsid w:val="00C16008"/>
    <w:rsid w:val="00C166A6"/>
    <w:rsid w:val="00C16C6B"/>
    <w:rsid w:val="00C16F8E"/>
    <w:rsid w:val="00C1720E"/>
    <w:rsid w:val="00C17B16"/>
    <w:rsid w:val="00C17E0B"/>
    <w:rsid w:val="00C205B0"/>
    <w:rsid w:val="00C205B8"/>
    <w:rsid w:val="00C20D64"/>
    <w:rsid w:val="00C20EA0"/>
    <w:rsid w:val="00C21936"/>
    <w:rsid w:val="00C21AE2"/>
    <w:rsid w:val="00C21C17"/>
    <w:rsid w:val="00C21FED"/>
    <w:rsid w:val="00C22467"/>
    <w:rsid w:val="00C22C87"/>
    <w:rsid w:val="00C22EED"/>
    <w:rsid w:val="00C2311C"/>
    <w:rsid w:val="00C235DA"/>
    <w:rsid w:val="00C23C68"/>
    <w:rsid w:val="00C241BF"/>
    <w:rsid w:val="00C24B3B"/>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221C"/>
    <w:rsid w:val="00C32572"/>
    <w:rsid w:val="00C325AC"/>
    <w:rsid w:val="00C3265F"/>
    <w:rsid w:val="00C32C6F"/>
    <w:rsid w:val="00C32DCE"/>
    <w:rsid w:val="00C32F1C"/>
    <w:rsid w:val="00C330F7"/>
    <w:rsid w:val="00C333DB"/>
    <w:rsid w:val="00C33554"/>
    <w:rsid w:val="00C3358F"/>
    <w:rsid w:val="00C337C8"/>
    <w:rsid w:val="00C339D4"/>
    <w:rsid w:val="00C33A87"/>
    <w:rsid w:val="00C33EDA"/>
    <w:rsid w:val="00C348A6"/>
    <w:rsid w:val="00C34C43"/>
    <w:rsid w:val="00C35416"/>
    <w:rsid w:val="00C354EE"/>
    <w:rsid w:val="00C356C6"/>
    <w:rsid w:val="00C35E18"/>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D22"/>
    <w:rsid w:val="00C42F37"/>
    <w:rsid w:val="00C42F52"/>
    <w:rsid w:val="00C43323"/>
    <w:rsid w:val="00C43749"/>
    <w:rsid w:val="00C43D51"/>
    <w:rsid w:val="00C44011"/>
    <w:rsid w:val="00C440C7"/>
    <w:rsid w:val="00C44130"/>
    <w:rsid w:val="00C4418F"/>
    <w:rsid w:val="00C44222"/>
    <w:rsid w:val="00C45439"/>
    <w:rsid w:val="00C45BB0"/>
    <w:rsid w:val="00C45C78"/>
    <w:rsid w:val="00C4671C"/>
    <w:rsid w:val="00C46DB4"/>
    <w:rsid w:val="00C46F1A"/>
    <w:rsid w:val="00C46FB4"/>
    <w:rsid w:val="00C46FFE"/>
    <w:rsid w:val="00C47037"/>
    <w:rsid w:val="00C470EA"/>
    <w:rsid w:val="00C476F3"/>
    <w:rsid w:val="00C479DA"/>
    <w:rsid w:val="00C47B59"/>
    <w:rsid w:val="00C502C7"/>
    <w:rsid w:val="00C502FF"/>
    <w:rsid w:val="00C50363"/>
    <w:rsid w:val="00C50438"/>
    <w:rsid w:val="00C505BE"/>
    <w:rsid w:val="00C50749"/>
    <w:rsid w:val="00C50E48"/>
    <w:rsid w:val="00C51264"/>
    <w:rsid w:val="00C513E1"/>
    <w:rsid w:val="00C5152B"/>
    <w:rsid w:val="00C51946"/>
    <w:rsid w:val="00C51959"/>
    <w:rsid w:val="00C51A51"/>
    <w:rsid w:val="00C51AFD"/>
    <w:rsid w:val="00C51BD4"/>
    <w:rsid w:val="00C52333"/>
    <w:rsid w:val="00C524E1"/>
    <w:rsid w:val="00C52837"/>
    <w:rsid w:val="00C5290D"/>
    <w:rsid w:val="00C52EDA"/>
    <w:rsid w:val="00C531DE"/>
    <w:rsid w:val="00C53300"/>
    <w:rsid w:val="00C53882"/>
    <w:rsid w:val="00C53DBA"/>
    <w:rsid w:val="00C53DE1"/>
    <w:rsid w:val="00C540D0"/>
    <w:rsid w:val="00C548DE"/>
    <w:rsid w:val="00C552FC"/>
    <w:rsid w:val="00C554DC"/>
    <w:rsid w:val="00C55578"/>
    <w:rsid w:val="00C5562E"/>
    <w:rsid w:val="00C55D57"/>
    <w:rsid w:val="00C56037"/>
    <w:rsid w:val="00C5662A"/>
    <w:rsid w:val="00C56A35"/>
    <w:rsid w:val="00C56DC2"/>
    <w:rsid w:val="00C570BB"/>
    <w:rsid w:val="00C5771E"/>
    <w:rsid w:val="00C57DBF"/>
    <w:rsid w:val="00C57F89"/>
    <w:rsid w:val="00C60282"/>
    <w:rsid w:val="00C604E3"/>
    <w:rsid w:val="00C60530"/>
    <w:rsid w:val="00C60578"/>
    <w:rsid w:val="00C60B52"/>
    <w:rsid w:val="00C6111F"/>
    <w:rsid w:val="00C61213"/>
    <w:rsid w:val="00C612F2"/>
    <w:rsid w:val="00C61418"/>
    <w:rsid w:val="00C61919"/>
    <w:rsid w:val="00C61992"/>
    <w:rsid w:val="00C61C4C"/>
    <w:rsid w:val="00C61C6B"/>
    <w:rsid w:val="00C623F1"/>
    <w:rsid w:val="00C624E0"/>
    <w:rsid w:val="00C62D41"/>
    <w:rsid w:val="00C62F03"/>
    <w:rsid w:val="00C62F34"/>
    <w:rsid w:val="00C6308F"/>
    <w:rsid w:val="00C633F2"/>
    <w:rsid w:val="00C6342E"/>
    <w:rsid w:val="00C63B04"/>
    <w:rsid w:val="00C63C1B"/>
    <w:rsid w:val="00C63C6E"/>
    <w:rsid w:val="00C64011"/>
    <w:rsid w:val="00C6425F"/>
    <w:rsid w:val="00C64A7D"/>
    <w:rsid w:val="00C64E05"/>
    <w:rsid w:val="00C6510F"/>
    <w:rsid w:val="00C65C03"/>
    <w:rsid w:val="00C66569"/>
    <w:rsid w:val="00C6657E"/>
    <w:rsid w:val="00C66815"/>
    <w:rsid w:val="00C66953"/>
    <w:rsid w:val="00C6732D"/>
    <w:rsid w:val="00C673FC"/>
    <w:rsid w:val="00C67B1A"/>
    <w:rsid w:val="00C67C56"/>
    <w:rsid w:val="00C700B1"/>
    <w:rsid w:val="00C70161"/>
    <w:rsid w:val="00C70B34"/>
    <w:rsid w:val="00C70CF3"/>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973"/>
    <w:rsid w:val="00C73A93"/>
    <w:rsid w:val="00C73E96"/>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E2D"/>
    <w:rsid w:val="00C80F5D"/>
    <w:rsid w:val="00C810F4"/>
    <w:rsid w:val="00C81166"/>
    <w:rsid w:val="00C81B2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874"/>
    <w:rsid w:val="00C86BBB"/>
    <w:rsid w:val="00C86BBF"/>
    <w:rsid w:val="00C86D46"/>
    <w:rsid w:val="00C87030"/>
    <w:rsid w:val="00C873B3"/>
    <w:rsid w:val="00C87DA8"/>
    <w:rsid w:val="00C903A5"/>
    <w:rsid w:val="00C9079D"/>
    <w:rsid w:val="00C90990"/>
    <w:rsid w:val="00C90B09"/>
    <w:rsid w:val="00C90E86"/>
    <w:rsid w:val="00C91914"/>
    <w:rsid w:val="00C919B4"/>
    <w:rsid w:val="00C91C98"/>
    <w:rsid w:val="00C91E2E"/>
    <w:rsid w:val="00C92215"/>
    <w:rsid w:val="00C9297D"/>
    <w:rsid w:val="00C92B4E"/>
    <w:rsid w:val="00C92DE7"/>
    <w:rsid w:val="00C932C9"/>
    <w:rsid w:val="00C933C5"/>
    <w:rsid w:val="00C937BB"/>
    <w:rsid w:val="00C9383E"/>
    <w:rsid w:val="00C93CE8"/>
    <w:rsid w:val="00C94AA8"/>
    <w:rsid w:val="00C9520E"/>
    <w:rsid w:val="00C952B5"/>
    <w:rsid w:val="00C9531F"/>
    <w:rsid w:val="00C955C6"/>
    <w:rsid w:val="00C95640"/>
    <w:rsid w:val="00C95FD8"/>
    <w:rsid w:val="00C973B4"/>
    <w:rsid w:val="00C974C3"/>
    <w:rsid w:val="00C97DF0"/>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623"/>
    <w:rsid w:val="00CA488A"/>
    <w:rsid w:val="00CA500B"/>
    <w:rsid w:val="00CA5456"/>
    <w:rsid w:val="00CA56CC"/>
    <w:rsid w:val="00CA5840"/>
    <w:rsid w:val="00CA5E19"/>
    <w:rsid w:val="00CA6188"/>
    <w:rsid w:val="00CA6318"/>
    <w:rsid w:val="00CA637F"/>
    <w:rsid w:val="00CA6643"/>
    <w:rsid w:val="00CA6ABB"/>
    <w:rsid w:val="00CA6C73"/>
    <w:rsid w:val="00CA6C8D"/>
    <w:rsid w:val="00CA733F"/>
    <w:rsid w:val="00CA7A83"/>
    <w:rsid w:val="00CB06F4"/>
    <w:rsid w:val="00CB0B87"/>
    <w:rsid w:val="00CB0E87"/>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0D3"/>
    <w:rsid w:val="00CC2241"/>
    <w:rsid w:val="00CC25CF"/>
    <w:rsid w:val="00CC29B9"/>
    <w:rsid w:val="00CC324D"/>
    <w:rsid w:val="00CC3840"/>
    <w:rsid w:val="00CC38B1"/>
    <w:rsid w:val="00CC38BB"/>
    <w:rsid w:val="00CC3E79"/>
    <w:rsid w:val="00CC3F8D"/>
    <w:rsid w:val="00CC43EC"/>
    <w:rsid w:val="00CC48CE"/>
    <w:rsid w:val="00CC4EE8"/>
    <w:rsid w:val="00CC54BA"/>
    <w:rsid w:val="00CC5CDA"/>
    <w:rsid w:val="00CC5E15"/>
    <w:rsid w:val="00CC6612"/>
    <w:rsid w:val="00CC6977"/>
    <w:rsid w:val="00CC784D"/>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2E79"/>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424"/>
    <w:rsid w:val="00CE16E0"/>
    <w:rsid w:val="00CE1C32"/>
    <w:rsid w:val="00CE1EF4"/>
    <w:rsid w:val="00CE2112"/>
    <w:rsid w:val="00CE21D5"/>
    <w:rsid w:val="00CE22CC"/>
    <w:rsid w:val="00CE2461"/>
    <w:rsid w:val="00CE268D"/>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E78A1"/>
    <w:rsid w:val="00CF0286"/>
    <w:rsid w:val="00CF031A"/>
    <w:rsid w:val="00CF034C"/>
    <w:rsid w:val="00CF0529"/>
    <w:rsid w:val="00CF0C86"/>
    <w:rsid w:val="00CF0E73"/>
    <w:rsid w:val="00CF1048"/>
    <w:rsid w:val="00CF15BD"/>
    <w:rsid w:val="00CF1B83"/>
    <w:rsid w:val="00CF1CD2"/>
    <w:rsid w:val="00CF25DC"/>
    <w:rsid w:val="00CF2799"/>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1E"/>
    <w:rsid w:val="00CF7942"/>
    <w:rsid w:val="00CF79E3"/>
    <w:rsid w:val="00D001E0"/>
    <w:rsid w:val="00D00452"/>
    <w:rsid w:val="00D011EC"/>
    <w:rsid w:val="00D016F7"/>
    <w:rsid w:val="00D018A5"/>
    <w:rsid w:val="00D0225C"/>
    <w:rsid w:val="00D024BE"/>
    <w:rsid w:val="00D02726"/>
    <w:rsid w:val="00D02B37"/>
    <w:rsid w:val="00D03295"/>
    <w:rsid w:val="00D03597"/>
    <w:rsid w:val="00D03959"/>
    <w:rsid w:val="00D03B6C"/>
    <w:rsid w:val="00D0403D"/>
    <w:rsid w:val="00D042E6"/>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E3F"/>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5F2B"/>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5FFD"/>
    <w:rsid w:val="00D261F9"/>
    <w:rsid w:val="00D2648D"/>
    <w:rsid w:val="00D267E1"/>
    <w:rsid w:val="00D26996"/>
    <w:rsid w:val="00D269C1"/>
    <w:rsid w:val="00D271E6"/>
    <w:rsid w:val="00D27460"/>
    <w:rsid w:val="00D275A5"/>
    <w:rsid w:val="00D30134"/>
    <w:rsid w:val="00D30651"/>
    <w:rsid w:val="00D309B1"/>
    <w:rsid w:val="00D30A06"/>
    <w:rsid w:val="00D310E4"/>
    <w:rsid w:val="00D312C0"/>
    <w:rsid w:val="00D315EF"/>
    <w:rsid w:val="00D31F51"/>
    <w:rsid w:val="00D3353A"/>
    <w:rsid w:val="00D33F46"/>
    <w:rsid w:val="00D3407D"/>
    <w:rsid w:val="00D34101"/>
    <w:rsid w:val="00D342D9"/>
    <w:rsid w:val="00D351FE"/>
    <w:rsid w:val="00D352F2"/>
    <w:rsid w:val="00D357ED"/>
    <w:rsid w:val="00D35A43"/>
    <w:rsid w:val="00D35EEB"/>
    <w:rsid w:val="00D360F1"/>
    <w:rsid w:val="00D361B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56A"/>
    <w:rsid w:val="00D44B0C"/>
    <w:rsid w:val="00D44D68"/>
    <w:rsid w:val="00D44F3E"/>
    <w:rsid w:val="00D452F2"/>
    <w:rsid w:val="00D4548F"/>
    <w:rsid w:val="00D454B1"/>
    <w:rsid w:val="00D45543"/>
    <w:rsid w:val="00D455DE"/>
    <w:rsid w:val="00D4569F"/>
    <w:rsid w:val="00D457B9"/>
    <w:rsid w:val="00D45CE8"/>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4ECE"/>
    <w:rsid w:val="00D55BA8"/>
    <w:rsid w:val="00D55E1B"/>
    <w:rsid w:val="00D55E71"/>
    <w:rsid w:val="00D5601C"/>
    <w:rsid w:val="00D561B7"/>
    <w:rsid w:val="00D56432"/>
    <w:rsid w:val="00D56900"/>
    <w:rsid w:val="00D569B8"/>
    <w:rsid w:val="00D569F3"/>
    <w:rsid w:val="00D56E07"/>
    <w:rsid w:val="00D57570"/>
    <w:rsid w:val="00D57584"/>
    <w:rsid w:val="00D57ADE"/>
    <w:rsid w:val="00D57AEC"/>
    <w:rsid w:val="00D57B28"/>
    <w:rsid w:val="00D60408"/>
    <w:rsid w:val="00D60BB4"/>
    <w:rsid w:val="00D60E0B"/>
    <w:rsid w:val="00D61B0B"/>
    <w:rsid w:val="00D61B1D"/>
    <w:rsid w:val="00D61C7D"/>
    <w:rsid w:val="00D6241B"/>
    <w:rsid w:val="00D636DF"/>
    <w:rsid w:val="00D63720"/>
    <w:rsid w:val="00D63AFD"/>
    <w:rsid w:val="00D63BE3"/>
    <w:rsid w:val="00D64027"/>
    <w:rsid w:val="00D640E9"/>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1C1"/>
    <w:rsid w:val="00D7074C"/>
    <w:rsid w:val="00D71A22"/>
    <w:rsid w:val="00D71BB9"/>
    <w:rsid w:val="00D722A5"/>
    <w:rsid w:val="00D7235A"/>
    <w:rsid w:val="00D72405"/>
    <w:rsid w:val="00D72B55"/>
    <w:rsid w:val="00D72D3B"/>
    <w:rsid w:val="00D72DD1"/>
    <w:rsid w:val="00D72DE7"/>
    <w:rsid w:val="00D731D7"/>
    <w:rsid w:val="00D733E3"/>
    <w:rsid w:val="00D733E9"/>
    <w:rsid w:val="00D73867"/>
    <w:rsid w:val="00D73B3B"/>
    <w:rsid w:val="00D74620"/>
    <w:rsid w:val="00D747CD"/>
    <w:rsid w:val="00D748F2"/>
    <w:rsid w:val="00D749F5"/>
    <w:rsid w:val="00D74ED4"/>
    <w:rsid w:val="00D754FC"/>
    <w:rsid w:val="00D7585C"/>
    <w:rsid w:val="00D75CC6"/>
    <w:rsid w:val="00D75CFB"/>
    <w:rsid w:val="00D75D62"/>
    <w:rsid w:val="00D7632A"/>
    <w:rsid w:val="00D7687F"/>
    <w:rsid w:val="00D769C1"/>
    <w:rsid w:val="00D76D52"/>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214"/>
    <w:rsid w:val="00D8533E"/>
    <w:rsid w:val="00D85502"/>
    <w:rsid w:val="00D85D33"/>
    <w:rsid w:val="00D8674C"/>
    <w:rsid w:val="00D86C3E"/>
    <w:rsid w:val="00D8751D"/>
    <w:rsid w:val="00D87527"/>
    <w:rsid w:val="00D908E5"/>
    <w:rsid w:val="00D9093F"/>
    <w:rsid w:val="00D911CA"/>
    <w:rsid w:val="00D91418"/>
    <w:rsid w:val="00D91670"/>
    <w:rsid w:val="00D91969"/>
    <w:rsid w:val="00D92210"/>
    <w:rsid w:val="00D927C5"/>
    <w:rsid w:val="00D92D4D"/>
    <w:rsid w:val="00D9375F"/>
    <w:rsid w:val="00D93FF6"/>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25"/>
    <w:rsid w:val="00DA0F79"/>
    <w:rsid w:val="00DA17A9"/>
    <w:rsid w:val="00DA1ED7"/>
    <w:rsid w:val="00DA2229"/>
    <w:rsid w:val="00DA22B9"/>
    <w:rsid w:val="00DA36C5"/>
    <w:rsid w:val="00DA3E86"/>
    <w:rsid w:val="00DA493E"/>
    <w:rsid w:val="00DA4CDD"/>
    <w:rsid w:val="00DA5A62"/>
    <w:rsid w:val="00DA651B"/>
    <w:rsid w:val="00DA65BC"/>
    <w:rsid w:val="00DA6C13"/>
    <w:rsid w:val="00DA6CB3"/>
    <w:rsid w:val="00DA6EB9"/>
    <w:rsid w:val="00DA7233"/>
    <w:rsid w:val="00DA77A1"/>
    <w:rsid w:val="00DA79C0"/>
    <w:rsid w:val="00DA7B8B"/>
    <w:rsid w:val="00DB038D"/>
    <w:rsid w:val="00DB04B4"/>
    <w:rsid w:val="00DB054D"/>
    <w:rsid w:val="00DB0621"/>
    <w:rsid w:val="00DB1A46"/>
    <w:rsid w:val="00DB1ADD"/>
    <w:rsid w:val="00DB1F0D"/>
    <w:rsid w:val="00DB2A77"/>
    <w:rsid w:val="00DB301E"/>
    <w:rsid w:val="00DB301F"/>
    <w:rsid w:val="00DB3158"/>
    <w:rsid w:val="00DB3C67"/>
    <w:rsid w:val="00DB3D0C"/>
    <w:rsid w:val="00DB40DC"/>
    <w:rsid w:val="00DB41C4"/>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467"/>
    <w:rsid w:val="00DC0716"/>
    <w:rsid w:val="00DC07D5"/>
    <w:rsid w:val="00DC0C4D"/>
    <w:rsid w:val="00DC0E40"/>
    <w:rsid w:val="00DC11BF"/>
    <w:rsid w:val="00DC1882"/>
    <w:rsid w:val="00DC18CC"/>
    <w:rsid w:val="00DC1B4A"/>
    <w:rsid w:val="00DC1C27"/>
    <w:rsid w:val="00DC1CAC"/>
    <w:rsid w:val="00DC257C"/>
    <w:rsid w:val="00DC2C82"/>
    <w:rsid w:val="00DC3202"/>
    <w:rsid w:val="00DC3455"/>
    <w:rsid w:val="00DC34B3"/>
    <w:rsid w:val="00DC358D"/>
    <w:rsid w:val="00DC37F1"/>
    <w:rsid w:val="00DC392F"/>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2CB"/>
    <w:rsid w:val="00DC7F6A"/>
    <w:rsid w:val="00DD02B3"/>
    <w:rsid w:val="00DD0579"/>
    <w:rsid w:val="00DD0902"/>
    <w:rsid w:val="00DD0C12"/>
    <w:rsid w:val="00DD0DD0"/>
    <w:rsid w:val="00DD143B"/>
    <w:rsid w:val="00DD15BA"/>
    <w:rsid w:val="00DD18EA"/>
    <w:rsid w:val="00DD1D81"/>
    <w:rsid w:val="00DD1DF7"/>
    <w:rsid w:val="00DD22DC"/>
    <w:rsid w:val="00DD24AF"/>
    <w:rsid w:val="00DD2538"/>
    <w:rsid w:val="00DD26D9"/>
    <w:rsid w:val="00DD2A24"/>
    <w:rsid w:val="00DD2C00"/>
    <w:rsid w:val="00DD30AB"/>
    <w:rsid w:val="00DD311A"/>
    <w:rsid w:val="00DD36BA"/>
    <w:rsid w:val="00DD377D"/>
    <w:rsid w:val="00DD3A81"/>
    <w:rsid w:val="00DD3E99"/>
    <w:rsid w:val="00DD3FC3"/>
    <w:rsid w:val="00DD4157"/>
    <w:rsid w:val="00DD4315"/>
    <w:rsid w:val="00DD4320"/>
    <w:rsid w:val="00DD469A"/>
    <w:rsid w:val="00DD4A01"/>
    <w:rsid w:val="00DD4ADB"/>
    <w:rsid w:val="00DD4B3C"/>
    <w:rsid w:val="00DD54FC"/>
    <w:rsid w:val="00DD634F"/>
    <w:rsid w:val="00DD6457"/>
    <w:rsid w:val="00DD6AB1"/>
    <w:rsid w:val="00DD6DAD"/>
    <w:rsid w:val="00DD76E6"/>
    <w:rsid w:val="00DD78E5"/>
    <w:rsid w:val="00DD7978"/>
    <w:rsid w:val="00DD7E1F"/>
    <w:rsid w:val="00DD7E21"/>
    <w:rsid w:val="00DD7FC3"/>
    <w:rsid w:val="00DE04D8"/>
    <w:rsid w:val="00DE0690"/>
    <w:rsid w:val="00DE08B9"/>
    <w:rsid w:val="00DE0A80"/>
    <w:rsid w:val="00DE132E"/>
    <w:rsid w:val="00DE1496"/>
    <w:rsid w:val="00DE192D"/>
    <w:rsid w:val="00DE1D2F"/>
    <w:rsid w:val="00DE1D46"/>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AEE"/>
    <w:rsid w:val="00DE6BED"/>
    <w:rsid w:val="00DE6BF1"/>
    <w:rsid w:val="00DE7037"/>
    <w:rsid w:val="00DE709D"/>
    <w:rsid w:val="00DE70CF"/>
    <w:rsid w:val="00DE7705"/>
    <w:rsid w:val="00DE78DE"/>
    <w:rsid w:val="00DE7C56"/>
    <w:rsid w:val="00DF0113"/>
    <w:rsid w:val="00DF08C0"/>
    <w:rsid w:val="00DF0DCB"/>
    <w:rsid w:val="00DF134F"/>
    <w:rsid w:val="00DF1492"/>
    <w:rsid w:val="00DF1666"/>
    <w:rsid w:val="00DF1CA1"/>
    <w:rsid w:val="00DF1CA8"/>
    <w:rsid w:val="00DF2291"/>
    <w:rsid w:val="00DF2A68"/>
    <w:rsid w:val="00DF2F1B"/>
    <w:rsid w:val="00DF2FA0"/>
    <w:rsid w:val="00DF3213"/>
    <w:rsid w:val="00DF330F"/>
    <w:rsid w:val="00DF3883"/>
    <w:rsid w:val="00DF390A"/>
    <w:rsid w:val="00DF3B24"/>
    <w:rsid w:val="00DF3E29"/>
    <w:rsid w:val="00DF4029"/>
    <w:rsid w:val="00DF48EC"/>
    <w:rsid w:val="00DF4E6B"/>
    <w:rsid w:val="00DF5362"/>
    <w:rsid w:val="00DF56F4"/>
    <w:rsid w:val="00DF573E"/>
    <w:rsid w:val="00DF5BFA"/>
    <w:rsid w:val="00DF5CB4"/>
    <w:rsid w:val="00DF60A9"/>
    <w:rsid w:val="00DF632E"/>
    <w:rsid w:val="00DF6567"/>
    <w:rsid w:val="00DF6995"/>
    <w:rsid w:val="00DF710B"/>
    <w:rsid w:val="00DF716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356C"/>
    <w:rsid w:val="00E0416B"/>
    <w:rsid w:val="00E043F3"/>
    <w:rsid w:val="00E0442E"/>
    <w:rsid w:val="00E0467A"/>
    <w:rsid w:val="00E046F0"/>
    <w:rsid w:val="00E04847"/>
    <w:rsid w:val="00E04E05"/>
    <w:rsid w:val="00E055E3"/>
    <w:rsid w:val="00E05755"/>
    <w:rsid w:val="00E05BF3"/>
    <w:rsid w:val="00E05D18"/>
    <w:rsid w:val="00E05D86"/>
    <w:rsid w:val="00E05F28"/>
    <w:rsid w:val="00E05F81"/>
    <w:rsid w:val="00E0650D"/>
    <w:rsid w:val="00E06625"/>
    <w:rsid w:val="00E0668B"/>
    <w:rsid w:val="00E06729"/>
    <w:rsid w:val="00E06CAD"/>
    <w:rsid w:val="00E07253"/>
    <w:rsid w:val="00E074EB"/>
    <w:rsid w:val="00E0797F"/>
    <w:rsid w:val="00E07C2A"/>
    <w:rsid w:val="00E07F70"/>
    <w:rsid w:val="00E106F5"/>
    <w:rsid w:val="00E10B41"/>
    <w:rsid w:val="00E11B8F"/>
    <w:rsid w:val="00E12111"/>
    <w:rsid w:val="00E12132"/>
    <w:rsid w:val="00E121D4"/>
    <w:rsid w:val="00E122CA"/>
    <w:rsid w:val="00E12824"/>
    <w:rsid w:val="00E128AB"/>
    <w:rsid w:val="00E12987"/>
    <w:rsid w:val="00E12CC5"/>
    <w:rsid w:val="00E12DC4"/>
    <w:rsid w:val="00E131A9"/>
    <w:rsid w:val="00E131E5"/>
    <w:rsid w:val="00E13F28"/>
    <w:rsid w:val="00E143E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3DB5"/>
    <w:rsid w:val="00E2468C"/>
    <w:rsid w:val="00E2498E"/>
    <w:rsid w:val="00E24BBA"/>
    <w:rsid w:val="00E24FF4"/>
    <w:rsid w:val="00E2524A"/>
    <w:rsid w:val="00E25405"/>
    <w:rsid w:val="00E25754"/>
    <w:rsid w:val="00E25A02"/>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EC1"/>
    <w:rsid w:val="00E32F21"/>
    <w:rsid w:val="00E32FF1"/>
    <w:rsid w:val="00E3317F"/>
    <w:rsid w:val="00E33883"/>
    <w:rsid w:val="00E339A1"/>
    <w:rsid w:val="00E33C8F"/>
    <w:rsid w:val="00E341FF"/>
    <w:rsid w:val="00E344FA"/>
    <w:rsid w:val="00E34933"/>
    <w:rsid w:val="00E34B3D"/>
    <w:rsid w:val="00E34D57"/>
    <w:rsid w:val="00E34FF7"/>
    <w:rsid w:val="00E35603"/>
    <w:rsid w:val="00E357E5"/>
    <w:rsid w:val="00E359D0"/>
    <w:rsid w:val="00E35CF0"/>
    <w:rsid w:val="00E36273"/>
    <w:rsid w:val="00E367B6"/>
    <w:rsid w:val="00E367E0"/>
    <w:rsid w:val="00E36956"/>
    <w:rsid w:val="00E36A36"/>
    <w:rsid w:val="00E36E30"/>
    <w:rsid w:val="00E37291"/>
    <w:rsid w:val="00E37453"/>
    <w:rsid w:val="00E3768B"/>
    <w:rsid w:val="00E37A75"/>
    <w:rsid w:val="00E37EFE"/>
    <w:rsid w:val="00E40542"/>
    <w:rsid w:val="00E4071C"/>
    <w:rsid w:val="00E408A6"/>
    <w:rsid w:val="00E40A03"/>
    <w:rsid w:val="00E40BF5"/>
    <w:rsid w:val="00E40F57"/>
    <w:rsid w:val="00E414A1"/>
    <w:rsid w:val="00E41679"/>
    <w:rsid w:val="00E418FC"/>
    <w:rsid w:val="00E41922"/>
    <w:rsid w:val="00E42883"/>
    <w:rsid w:val="00E42940"/>
    <w:rsid w:val="00E42B1A"/>
    <w:rsid w:val="00E431A8"/>
    <w:rsid w:val="00E4330F"/>
    <w:rsid w:val="00E43585"/>
    <w:rsid w:val="00E437FE"/>
    <w:rsid w:val="00E4428F"/>
    <w:rsid w:val="00E44386"/>
    <w:rsid w:val="00E44561"/>
    <w:rsid w:val="00E449E0"/>
    <w:rsid w:val="00E44E13"/>
    <w:rsid w:val="00E4545A"/>
    <w:rsid w:val="00E458CD"/>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8C2"/>
    <w:rsid w:val="00E50E75"/>
    <w:rsid w:val="00E51233"/>
    <w:rsid w:val="00E5151D"/>
    <w:rsid w:val="00E516B4"/>
    <w:rsid w:val="00E517D2"/>
    <w:rsid w:val="00E51935"/>
    <w:rsid w:val="00E51DD3"/>
    <w:rsid w:val="00E52129"/>
    <w:rsid w:val="00E53768"/>
    <w:rsid w:val="00E53EB0"/>
    <w:rsid w:val="00E53F34"/>
    <w:rsid w:val="00E54256"/>
    <w:rsid w:val="00E54529"/>
    <w:rsid w:val="00E5483C"/>
    <w:rsid w:val="00E54983"/>
    <w:rsid w:val="00E54A20"/>
    <w:rsid w:val="00E54E27"/>
    <w:rsid w:val="00E550EC"/>
    <w:rsid w:val="00E554E5"/>
    <w:rsid w:val="00E55734"/>
    <w:rsid w:val="00E5586A"/>
    <w:rsid w:val="00E55AE0"/>
    <w:rsid w:val="00E56A2D"/>
    <w:rsid w:val="00E56F2C"/>
    <w:rsid w:val="00E57A0F"/>
    <w:rsid w:val="00E57FD6"/>
    <w:rsid w:val="00E60369"/>
    <w:rsid w:val="00E6071E"/>
    <w:rsid w:val="00E6084A"/>
    <w:rsid w:val="00E60B11"/>
    <w:rsid w:val="00E60CCD"/>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10F"/>
    <w:rsid w:val="00E6337E"/>
    <w:rsid w:val="00E633F0"/>
    <w:rsid w:val="00E63E5B"/>
    <w:rsid w:val="00E63FA3"/>
    <w:rsid w:val="00E6420C"/>
    <w:rsid w:val="00E64767"/>
    <w:rsid w:val="00E64915"/>
    <w:rsid w:val="00E64A6B"/>
    <w:rsid w:val="00E6500E"/>
    <w:rsid w:val="00E65245"/>
    <w:rsid w:val="00E65381"/>
    <w:rsid w:val="00E65562"/>
    <w:rsid w:val="00E65740"/>
    <w:rsid w:val="00E65899"/>
    <w:rsid w:val="00E65F96"/>
    <w:rsid w:val="00E662BB"/>
    <w:rsid w:val="00E662F4"/>
    <w:rsid w:val="00E6648C"/>
    <w:rsid w:val="00E6788F"/>
    <w:rsid w:val="00E70507"/>
    <w:rsid w:val="00E706EA"/>
    <w:rsid w:val="00E7070D"/>
    <w:rsid w:val="00E70856"/>
    <w:rsid w:val="00E70A1C"/>
    <w:rsid w:val="00E70D05"/>
    <w:rsid w:val="00E7109F"/>
    <w:rsid w:val="00E712F2"/>
    <w:rsid w:val="00E7136D"/>
    <w:rsid w:val="00E7179D"/>
    <w:rsid w:val="00E71A10"/>
    <w:rsid w:val="00E71AC6"/>
    <w:rsid w:val="00E71E24"/>
    <w:rsid w:val="00E72109"/>
    <w:rsid w:val="00E7213D"/>
    <w:rsid w:val="00E72694"/>
    <w:rsid w:val="00E729B5"/>
    <w:rsid w:val="00E72E49"/>
    <w:rsid w:val="00E72F97"/>
    <w:rsid w:val="00E73359"/>
    <w:rsid w:val="00E7359B"/>
    <w:rsid w:val="00E739FC"/>
    <w:rsid w:val="00E73A3C"/>
    <w:rsid w:val="00E74081"/>
    <w:rsid w:val="00E74412"/>
    <w:rsid w:val="00E748ED"/>
    <w:rsid w:val="00E74DDB"/>
    <w:rsid w:val="00E75007"/>
    <w:rsid w:val="00E756D4"/>
    <w:rsid w:val="00E75726"/>
    <w:rsid w:val="00E75FD2"/>
    <w:rsid w:val="00E76133"/>
    <w:rsid w:val="00E762C6"/>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D3C"/>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12"/>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3E72"/>
    <w:rsid w:val="00EA4247"/>
    <w:rsid w:val="00EA47EB"/>
    <w:rsid w:val="00EA4E4B"/>
    <w:rsid w:val="00EA54C7"/>
    <w:rsid w:val="00EA59AC"/>
    <w:rsid w:val="00EA6129"/>
    <w:rsid w:val="00EA62AF"/>
    <w:rsid w:val="00EA63DF"/>
    <w:rsid w:val="00EA6456"/>
    <w:rsid w:val="00EA710A"/>
    <w:rsid w:val="00EA7662"/>
    <w:rsid w:val="00EA7C92"/>
    <w:rsid w:val="00EA7F22"/>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797"/>
    <w:rsid w:val="00EB4978"/>
    <w:rsid w:val="00EB4B99"/>
    <w:rsid w:val="00EB4BB5"/>
    <w:rsid w:val="00EB4BE1"/>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4F9"/>
    <w:rsid w:val="00EB7659"/>
    <w:rsid w:val="00EB7665"/>
    <w:rsid w:val="00EB76AC"/>
    <w:rsid w:val="00EB7CE0"/>
    <w:rsid w:val="00EB7FD1"/>
    <w:rsid w:val="00EC05BB"/>
    <w:rsid w:val="00EC0A64"/>
    <w:rsid w:val="00EC0B52"/>
    <w:rsid w:val="00EC1250"/>
    <w:rsid w:val="00EC1267"/>
    <w:rsid w:val="00EC135D"/>
    <w:rsid w:val="00EC2254"/>
    <w:rsid w:val="00EC22D0"/>
    <w:rsid w:val="00EC25EB"/>
    <w:rsid w:val="00EC2B32"/>
    <w:rsid w:val="00EC30AB"/>
    <w:rsid w:val="00EC327F"/>
    <w:rsid w:val="00EC32ED"/>
    <w:rsid w:val="00EC34BB"/>
    <w:rsid w:val="00EC40EB"/>
    <w:rsid w:val="00EC42C7"/>
    <w:rsid w:val="00EC4458"/>
    <w:rsid w:val="00EC490F"/>
    <w:rsid w:val="00EC50B2"/>
    <w:rsid w:val="00EC50C9"/>
    <w:rsid w:val="00EC5208"/>
    <w:rsid w:val="00EC5749"/>
    <w:rsid w:val="00EC58C7"/>
    <w:rsid w:val="00EC5D47"/>
    <w:rsid w:val="00EC5D91"/>
    <w:rsid w:val="00EC667C"/>
    <w:rsid w:val="00EC690A"/>
    <w:rsid w:val="00EC6A79"/>
    <w:rsid w:val="00EC7140"/>
    <w:rsid w:val="00EC721B"/>
    <w:rsid w:val="00EC7224"/>
    <w:rsid w:val="00EC7A11"/>
    <w:rsid w:val="00EC7B72"/>
    <w:rsid w:val="00EC7C15"/>
    <w:rsid w:val="00EC7CAA"/>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45C2"/>
    <w:rsid w:val="00ED5187"/>
    <w:rsid w:val="00ED538A"/>
    <w:rsid w:val="00ED54C4"/>
    <w:rsid w:val="00ED5AE7"/>
    <w:rsid w:val="00ED5BD4"/>
    <w:rsid w:val="00ED5E27"/>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777"/>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4A"/>
    <w:rsid w:val="00EF1058"/>
    <w:rsid w:val="00EF108B"/>
    <w:rsid w:val="00EF123C"/>
    <w:rsid w:val="00EF21C4"/>
    <w:rsid w:val="00EF248F"/>
    <w:rsid w:val="00EF2798"/>
    <w:rsid w:val="00EF293B"/>
    <w:rsid w:val="00EF2988"/>
    <w:rsid w:val="00EF2C64"/>
    <w:rsid w:val="00EF3476"/>
    <w:rsid w:val="00EF426C"/>
    <w:rsid w:val="00EF46AE"/>
    <w:rsid w:val="00EF4717"/>
    <w:rsid w:val="00EF49A1"/>
    <w:rsid w:val="00EF4C52"/>
    <w:rsid w:val="00EF4D8C"/>
    <w:rsid w:val="00EF52AF"/>
    <w:rsid w:val="00EF54E9"/>
    <w:rsid w:val="00EF5982"/>
    <w:rsid w:val="00EF6334"/>
    <w:rsid w:val="00EF64AA"/>
    <w:rsid w:val="00EF665A"/>
    <w:rsid w:val="00EF6FFF"/>
    <w:rsid w:val="00F002EC"/>
    <w:rsid w:val="00F00442"/>
    <w:rsid w:val="00F00A33"/>
    <w:rsid w:val="00F00F98"/>
    <w:rsid w:val="00F01223"/>
    <w:rsid w:val="00F01312"/>
    <w:rsid w:val="00F01328"/>
    <w:rsid w:val="00F01BD0"/>
    <w:rsid w:val="00F01C96"/>
    <w:rsid w:val="00F01DD5"/>
    <w:rsid w:val="00F01DDF"/>
    <w:rsid w:val="00F02074"/>
    <w:rsid w:val="00F020A2"/>
    <w:rsid w:val="00F0213B"/>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9C0"/>
    <w:rsid w:val="00F13A60"/>
    <w:rsid w:val="00F13AAA"/>
    <w:rsid w:val="00F13AEA"/>
    <w:rsid w:val="00F13B75"/>
    <w:rsid w:val="00F14B6A"/>
    <w:rsid w:val="00F14FD0"/>
    <w:rsid w:val="00F15047"/>
    <w:rsid w:val="00F1601C"/>
    <w:rsid w:val="00F16046"/>
    <w:rsid w:val="00F1605B"/>
    <w:rsid w:val="00F16CBE"/>
    <w:rsid w:val="00F16CD1"/>
    <w:rsid w:val="00F175AA"/>
    <w:rsid w:val="00F17700"/>
    <w:rsid w:val="00F177F4"/>
    <w:rsid w:val="00F17891"/>
    <w:rsid w:val="00F17A50"/>
    <w:rsid w:val="00F200C4"/>
    <w:rsid w:val="00F201EE"/>
    <w:rsid w:val="00F20359"/>
    <w:rsid w:val="00F20386"/>
    <w:rsid w:val="00F2085B"/>
    <w:rsid w:val="00F208B8"/>
    <w:rsid w:val="00F20AF4"/>
    <w:rsid w:val="00F20D7E"/>
    <w:rsid w:val="00F20DB6"/>
    <w:rsid w:val="00F21154"/>
    <w:rsid w:val="00F21192"/>
    <w:rsid w:val="00F214BD"/>
    <w:rsid w:val="00F214FA"/>
    <w:rsid w:val="00F215DE"/>
    <w:rsid w:val="00F217F3"/>
    <w:rsid w:val="00F22181"/>
    <w:rsid w:val="00F22828"/>
    <w:rsid w:val="00F229AF"/>
    <w:rsid w:val="00F22EFB"/>
    <w:rsid w:val="00F24313"/>
    <w:rsid w:val="00F247D3"/>
    <w:rsid w:val="00F24829"/>
    <w:rsid w:val="00F2530A"/>
    <w:rsid w:val="00F253F1"/>
    <w:rsid w:val="00F25833"/>
    <w:rsid w:val="00F25A54"/>
    <w:rsid w:val="00F25C1D"/>
    <w:rsid w:val="00F25CC0"/>
    <w:rsid w:val="00F25FB8"/>
    <w:rsid w:val="00F26154"/>
    <w:rsid w:val="00F261E5"/>
    <w:rsid w:val="00F2631B"/>
    <w:rsid w:val="00F269EF"/>
    <w:rsid w:val="00F26B28"/>
    <w:rsid w:val="00F2761C"/>
    <w:rsid w:val="00F27B5F"/>
    <w:rsid w:val="00F27DD5"/>
    <w:rsid w:val="00F27FEB"/>
    <w:rsid w:val="00F30565"/>
    <w:rsid w:val="00F3080E"/>
    <w:rsid w:val="00F31538"/>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0EC"/>
    <w:rsid w:val="00F3536E"/>
    <w:rsid w:val="00F35488"/>
    <w:rsid w:val="00F35663"/>
    <w:rsid w:val="00F356B7"/>
    <w:rsid w:val="00F35CED"/>
    <w:rsid w:val="00F35D25"/>
    <w:rsid w:val="00F35D41"/>
    <w:rsid w:val="00F363F4"/>
    <w:rsid w:val="00F36512"/>
    <w:rsid w:val="00F368A7"/>
    <w:rsid w:val="00F368F9"/>
    <w:rsid w:val="00F36C30"/>
    <w:rsid w:val="00F36C96"/>
    <w:rsid w:val="00F36EF2"/>
    <w:rsid w:val="00F37507"/>
    <w:rsid w:val="00F400DD"/>
    <w:rsid w:val="00F40224"/>
    <w:rsid w:val="00F4098E"/>
    <w:rsid w:val="00F40D40"/>
    <w:rsid w:val="00F40EE8"/>
    <w:rsid w:val="00F417F3"/>
    <w:rsid w:val="00F41AAC"/>
    <w:rsid w:val="00F41B2E"/>
    <w:rsid w:val="00F41BBB"/>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5F04"/>
    <w:rsid w:val="00F461A1"/>
    <w:rsid w:val="00F469EA"/>
    <w:rsid w:val="00F46C15"/>
    <w:rsid w:val="00F473FA"/>
    <w:rsid w:val="00F479AD"/>
    <w:rsid w:val="00F47E1A"/>
    <w:rsid w:val="00F47F3D"/>
    <w:rsid w:val="00F50188"/>
    <w:rsid w:val="00F50306"/>
    <w:rsid w:val="00F5087B"/>
    <w:rsid w:val="00F50D80"/>
    <w:rsid w:val="00F50E66"/>
    <w:rsid w:val="00F50EB1"/>
    <w:rsid w:val="00F50F6C"/>
    <w:rsid w:val="00F51111"/>
    <w:rsid w:val="00F51138"/>
    <w:rsid w:val="00F51720"/>
    <w:rsid w:val="00F52144"/>
    <w:rsid w:val="00F522F6"/>
    <w:rsid w:val="00F52A36"/>
    <w:rsid w:val="00F52A47"/>
    <w:rsid w:val="00F52A58"/>
    <w:rsid w:val="00F52AED"/>
    <w:rsid w:val="00F5318C"/>
    <w:rsid w:val="00F53720"/>
    <w:rsid w:val="00F53809"/>
    <w:rsid w:val="00F53C24"/>
    <w:rsid w:val="00F53F5E"/>
    <w:rsid w:val="00F53FBE"/>
    <w:rsid w:val="00F54264"/>
    <w:rsid w:val="00F543E9"/>
    <w:rsid w:val="00F54678"/>
    <w:rsid w:val="00F5472D"/>
    <w:rsid w:val="00F54999"/>
    <w:rsid w:val="00F54AB2"/>
    <w:rsid w:val="00F54E78"/>
    <w:rsid w:val="00F54F28"/>
    <w:rsid w:val="00F555AC"/>
    <w:rsid w:val="00F5560F"/>
    <w:rsid w:val="00F55E8E"/>
    <w:rsid w:val="00F55FD4"/>
    <w:rsid w:val="00F5659A"/>
    <w:rsid w:val="00F56944"/>
    <w:rsid w:val="00F56BB9"/>
    <w:rsid w:val="00F57008"/>
    <w:rsid w:val="00F571A6"/>
    <w:rsid w:val="00F57240"/>
    <w:rsid w:val="00F572DD"/>
    <w:rsid w:val="00F600D8"/>
    <w:rsid w:val="00F600DC"/>
    <w:rsid w:val="00F60198"/>
    <w:rsid w:val="00F6019F"/>
    <w:rsid w:val="00F6059C"/>
    <w:rsid w:val="00F605A7"/>
    <w:rsid w:val="00F60735"/>
    <w:rsid w:val="00F60EB0"/>
    <w:rsid w:val="00F619B1"/>
    <w:rsid w:val="00F61BAD"/>
    <w:rsid w:val="00F61BF7"/>
    <w:rsid w:val="00F61C01"/>
    <w:rsid w:val="00F61D2A"/>
    <w:rsid w:val="00F61ED5"/>
    <w:rsid w:val="00F61F17"/>
    <w:rsid w:val="00F6270C"/>
    <w:rsid w:val="00F62997"/>
    <w:rsid w:val="00F63448"/>
    <w:rsid w:val="00F6355F"/>
    <w:rsid w:val="00F63DCD"/>
    <w:rsid w:val="00F64D98"/>
    <w:rsid w:val="00F652D6"/>
    <w:rsid w:val="00F65ADC"/>
    <w:rsid w:val="00F66855"/>
    <w:rsid w:val="00F66B17"/>
    <w:rsid w:val="00F66E22"/>
    <w:rsid w:val="00F67714"/>
    <w:rsid w:val="00F677ED"/>
    <w:rsid w:val="00F67958"/>
    <w:rsid w:val="00F67FB0"/>
    <w:rsid w:val="00F70252"/>
    <w:rsid w:val="00F70416"/>
    <w:rsid w:val="00F70419"/>
    <w:rsid w:val="00F715E8"/>
    <w:rsid w:val="00F715F7"/>
    <w:rsid w:val="00F71AF0"/>
    <w:rsid w:val="00F71D3F"/>
    <w:rsid w:val="00F71DED"/>
    <w:rsid w:val="00F72189"/>
    <w:rsid w:val="00F7228C"/>
    <w:rsid w:val="00F7232A"/>
    <w:rsid w:val="00F723F0"/>
    <w:rsid w:val="00F727B0"/>
    <w:rsid w:val="00F72AF4"/>
    <w:rsid w:val="00F72BF2"/>
    <w:rsid w:val="00F72E1E"/>
    <w:rsid w:val="00F72F20"/>
    <w:rsid w:val="00F730F7"/>
    <w:rsid w:val="00F73937"/>
    <w:rsid w:val="00F73C18"/>
    <w:rsid w:val="00F74009"/>
    <w:rsid w:val="00F742AE"/>
    <w:rsid w:val="00F746BA"/>
    <w:rsid w:val="00F74D04"/>
    <w:rsid w:val="00F75AB0"/>
    <w:rsid w:val="00F75AD6"/>
    <w:rsid w:val="00F75D65"/>
    <w:rsid w:val="00F76032"/>
    <w:rsid w:val="00F763D2"/>
    <w:rsid w:val="00F768B0"/>
    <w:rsid w:val="00F76A70"/>
    <w:rsid w:val="00F76A8E"/>
    <w:rsid w:val="00F76A96"/>
    <w:rsid w:val="00F772AC"/>
    <w:rsid w:val="00F77478"/>
    <w:rsid w:val="00F7773A"/>
    <w:rsid w:val="00F77DD7"/>
    <w:rsid w:val="00F77E69"/>
    <w:rsid w:val="00F80366"/>
    <w:rsid w:val="00F803A2"/>
    <w:rsid w:val="00F803F0"/>
    <w:rsid w:val="00F80DB5"/>
    <w:rsid w:val="00F80DBD"/>
    <w:rsid w:val="00F80DDD"/>
    <w:rsid w:val="00F81013"/>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3E"/>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D19"/>
    <w:rsid w:val="00F93EF3"/>
    <w:rsid w:val="00F9407E"/>
    <w:rsid w:val="00F940C5"/>
    <w:rsid w:val="00F94341"/>
    <w:rsid w:val="00F94541"/>
    <w:rsid w:val="00F94651"/>
    <w:rsid w:val="00F9488B"/>
    <w:rsid w:val="00F94DF8"/>
    <w:rsid w:val="00F95560"/>
    <w:rsid w:val="00F962F4"/>
    <w:rsid w:val="00F9642F"/>
    <w:rsid w:val="00F9682E"/>
    <w:rsid w:val="00F96990"/>
    <w:rsid w:val="00F96A4D"/>
    <w:rsid w:val="00F96F12"/>
    <w:rsid w:val="00F97000"/>
    <w:rsid w:val="00F97D93"/>
    <w:rsid w:val="00FA0317"/>
    <w:rsid w:val="00FA07B0"/>
    <w:rsid w:val="00FA0FBC"/>
    <w:rsid w:val="00FA1CE3"/>
    <w:rsid w:val="00FA1DA4"/>
    <w:rsid w:val="00FA1FBC"/>
    <w:rsid w:val="00FA262A"/>
    <w:rsid w:val="00FA2B1F"/>
    <w:rsid w:val="00FA2B81"/>
    <w:rsid w:val="00FA2D89"/>
    <w:rsid w:val="00FA2EEF"/>
    <w:rsid w:val="00FA314F"/>
    <w:rsid w:val="00FA379F"/>
    <w:rsid w:val="00FA3813"/>
    <w:rsid w:val="00FA3934"/>
    <w:rsid w:val="00FA3CF3"/>
    <w:rsid w:val="00FA3DAA"/>
    <w:rsid w:val="00FA3DCD"/>
    <w:rsid w:val="00FA3EEC"/>
    <w:rsid w:val="00FA4148"/>
    <w:rsid w:val="00FA4511"/>
    <w:rsid w:val="00FA49D6"/>
    <w:rsid w:val="00FA4D8B"/>
    <w:rsid w:val="00FA4FC0"/>
    <w:rsid w:val="00FA5067"/>
    <w:rsid w:val="00FA5214"/>
    <w:rsid w:val="00FA53D5"/>
    <w:rsid w:val="00FA545A"/>
    <w:rsid w:val="00FA5A12"/>
    <w:rsid w:val="00FA5A4E"/>
    <w:rsid w:val="00FA5CF4"/>
    <w:rsid w:val="00FA6913"/>
    <w:rsid w:val="00FA6C39"/>
    <w:rsid w:val="00FA6CAE"/>
    <w:rsid w:val="00FA7271"/>
    <w:rsid w:val="00FA731E"/>
    <w:rsid w:val="00FA7421"/>
    <w:rsid w:val="00FA7486"/>
    <w:rsid w:val="00FA7B50"/>
    <w:rsid w:val="00FA7C13"/>
    <w:rsid w:val="00FB0347"/>
    <w:rsid w:val="00FB0349"/>
    <w:rsid w:val="00FB055F"/>
    <w:rsid w:val="00FB0651"/>
    <w:rsid w:val="00FB0783"/>
    <w:rsid w:val="00FB0E3A"/>
    <w:rsid w:val="00FB1005"/>
    <w:rsid w:val="00FB1459"/>
    <w:rsid w:val="00FB15AF"/>
    <w:rsid w:val="00FB16B7"/>
    <w:rsid w:val="00FB16D1"/>
    <w:rsid w:val="00FB1708"/>
    <w:rsid w:val="00FB1744"/>
    <w:rsid w:val="00FB183A"/>
    <w:rsid w:val="00FB1A3C"/>
    <w:rsid w:val="00FB1D0E"/>
    <w:rsid w:val="00FB1D50"/>
    <w:rsid w:val="00FB1E7B"/>
    <w:rsid w:val="00FB20D0"/>
    <w:rsid w:val="00FB2547"/>
    <w:rsid w:val="00FB274B"/>
    <w:rsid w:val="00FB2B92"/>
    <w:rsid w:val="00FB2D2E"/>
    <w:rsid w:val="00FB2E07"/>
    <w:rsid w:val="00FB2FA4"/>
    <w:rsid w:val="00FB3211"/>
    <w:rsid w:val="00FB321B"/>
    <w:rsid w:val="00FB3A60"/>
    <w:rsid w:val="00FB3AEB"/>
    <w:rsid w:val="00FB44E5"/>
    <w:rsid w:val="00FB45B5"/>
    <w:rsid w:val="00FB483C"/>
    <w:rsid w:val="00FB496C"/>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DD"/>
    <w:rsid w:val="00FB7365"/>
    <w:rsid w:val="00FB7C73"/>
    <w:rsid w:val="00FC0079"/>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51E"/>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9C0"/>
    <w:rsid w:val="00FD0A64"/>
    <w:rsid w:val="00FD1B55"/>
    <w:rsid w:val="00FD1B79"/>
    <w:rsid w:val="00FD1DE3"/>
    <w:rsid w:val="00FD221E"/>
    <w:rsid w:val="00FD22C5"/>
    <w:rsid w:val="00FD295E"/>
    <w:rsid w:val="00FD2A4E"/>
    <w:rsid w:val="00FD2D9F"/>
    <w:rsid w:val="00FD2FE1"/>
    <w:rsid w:val="00FD32FA"/>
    <w:rsid w:val="00FD3383"/>
    <w:rsid w:val="00FD3570"/>
    <w:rsid w:val="00FD3FE1"/>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A85"/>
    <w:rsid w:val="00FE22CE"/>
    <w:rsid w:val="00FE24D2"/>
    <w:rsid w:val="00FE2705"/>
    <w:rsid w:val="00FE27AB"/>
    <w:rsid w:val="00FE34EC"/>
    <w:rsid w:val="00FE36B4"/>
    <w:rsid w:val="00FE3B21"/>
    <w:rsid w:val="00FE3B9A"/>
    <w:rsid w:val="00FE3F1C"/>
    <w:rsid w:val="00FE4BBA"/>
    <w:rsid w:val="00FE4E42"/>
    <w:rsid w:val="00FE4E94"/>
    <w:rsid w:val="00FE555D"/>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1F"/>
    <w:rsid w:val="00FF0E79"/>
    <w:rsid w:val="00FF0ED4"/>
    <w:rsid w:val="00FF12F3"/>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470"/>
    <w:rsid w:val="00FF6E35"/>
    <w:rsid w:val="00FF6F14"/>
    <w:rsid w:val="00FF716B"/>
    <w:rsid w:val="00FF7A6E"/>
    <w:rsid w:val="00FF7EEB"/>
    <w:rsid w:val="01BD616A"/>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D1FA7"/>
    <w:rsid w:val="07AE362C"/>
    <w:rsid w:val="07BE0C42"/>
    <w:rsid w:val="07C8600C"/>
    <w:rsid w:val="07DC71F7"/>
    <w:rsid w:val="081541F3"/>
    <w:rsid w:val="087B16CC"/>
    <w:rsid w:val="089E3560"/>
    <w:rsid w:val="08A31148"/>
    <w:rsid w:val="090F0A27"/>
    <w:rsid w:val="09ED62C1"/>
    <w:rsid w:val="09F76D30"/>
    <w:rsid w:val="0AA56418"/>
    <w:rsid w:val="0AEF5078"/>
    <w:rsid w:val="0B6757B0"/>
    <w:rsid w:val="0D155C92"/>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9A53D6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5F8448F"/>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157D31"/>
    <w:rsid w:val="3DAC0DC1"/>
    <w:rsid w:val="3DB510F8"/>
    <w:rsid w:val="3E3C2BB1"/>
    <w:rsid w:val="3F015B45"/>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2140CA"/>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375CC2"/>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0F55FB"/>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31DB1"/>
  <w15:docId w15:val="{2189C8A7-933C-4BF6-9C72-24EBF3503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bCs/>
      <w:iCs/>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b/>
      <w:bCs w:val="0"/>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lang w:val="en-GB" w:eastAsia="en-US"/>
    </w:rPr>
  </w:style>
  <w:style w:type="paragraph" w:styleId="a6">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7">
    <w:name w:val="caption"/>
    <w:basedOn w:val="a1"/>
    <w:next w:val="a1"/>
    <w:link w:val="a8"/>
    <w:qFormat/>
    <w:pPr>
      <w:widowControl/>
      <w:spacing w:beforeLines="50" w:afterLines="50"/>
      <w:jc w:val="left"/>
    </w:pPr>
    <w:rPr>
      <w:rFonts w:eastAsia="Times New Roman"/>
      <w:b/>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rPr>
  </w:style>
  <w:style w:type="paragraph" w:styleId="ab">
    <w:name w:val="annotation text"/>
    <w:basedOn w:val="a1"/>
    <w:link w:val="ac"/>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d">
    <w:name w:val="Body Text"/>
    <w:basedOn w:val="a1"/>
    <w:link w:val="ae"/>
    <w:qFormat/>
    <w:pPr>
      <w:widowControl/>
      <w:spacing w:beforeLines="50" w:afterLines="50"/>
      <w:jc w:val="left"/>
    </w:pPr>
    <w:rPr>
      <w:rFonts w:eastAsia="Times New Roman"/>
    </w:rPr>
  </w:style>
  <w:style w:type="paragraph" w:styleId="af">
    <w:name w:val="Body Text Indent"/>
    <w:basedOn w:val="a1"/>
    <w:link w:val="af0"/>
    <w:qFormat/>
    <w:pPr>
      <w:widowControl/>
      <w:spacing w:beforeLines="50" w:afterLines="50"/>
      <w:ind w:left="360"/>
      <w:jc w:val="left"/>
    </w:pPr>
    <w:rPr>
      <w:rFonts w:eastAsia="Times New Roman"/>
      <w:bCs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eastAsia="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eastAsia="Times New Roman"/>
    </w:rPr>
  </w:style>
  <w:style w:type="paragraph" w:styleId="af9">
    <w:name w:val="footnote text"/>
    <w:basedOn w:val="a1"/>
    <w:link w:val="afa"/>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b"/>
    <w:next w:val="ab"/>
    <w:link w:val="aff0"/>
    <w:uiPriority w:val="99"/>
    <w:semiHidden/>
    <w:unhideWhenUsed/>
    <w:qFormat/>
    <w:rPr>
      <w:b/>
      <w:bCs w:val="0"/>
      <w:sz w:val="24"/>
      <w:szCs w:val="24"/>
    </w:rPr>
  </w:style>
  <w:style w:type="table" w:styleId="aff1">
    <w:name w:val="Table Grid"/>
    <w:basedOn w:val="a3"/>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bCs/>
      <w:iCs/>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0">
    <w:name w:val="正文文本缩进 字符"/>
    <w:basedOn w:val="a2"/>
    <w:link w:val="af"/>
    <w:qFormat/>
    <w:rPr>
      <w:rFonts w:ascii="Times New Roman" w:eastAsia="Times New Roman" w:hAnsi="Times New Roman" w:cs="Times New Roman"/>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bCs/>
      <w:iCs/>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eastAsia="Arial Unicode MS" w:cs="Arial"/>
      <w:bCs/>
      <w:iCs/>
      <w:kern w:val="2"/>
      <w:sz w:val="21"/>
      <w:lang w:eastAsia="en-US"/>
    </w:rPr>
  </w:style>
  <w:style w:type="paragraph" w:customStyle="1" w:styleId="13">
    <w:name w:val="コメント内容1"/>
    <w:basedOn w:val="ab"/>
    <w:next w:val="ab"/>
    <w:semiHidden/>
    <w:qFormat/>
    <w:rPr>
      <w:b/>
      <w:bCs w:val="0"/>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bCs/>
      <w:iCs/>
      <w:color w:val="0000FF"/>
      <w:kern w:val="2"/>
      <w:lang w:eastAsia="en-US"/>
    </w:rPr>
  </w:style>
  <w:style w:type="paragraph" w:customStyle="1" w:styleId="2a">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bCs/>
      <w:iCs/>
      <w:color w:val="0000FF"/>
      <w:kern w:val="2"/>
      <w:lang w:eastAsia="en-US"/>
    </w:rPr>
  </w:style>
  <w:style w:type="paragraph" w:customStyle="1" w:styleId="2c">
    <w:name w:val="コメント内容2"/>
    <w:basedOn w:val="ab"/>
    <w:next w:val="ab"/>
    <w:semiHidden/>
    <w:unhideWhenUsed/>
    <w:qFormat/>
    <w:rPr>
      <w:b/>
      <w:bCs w:val="0"/>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basedOn w:val="a1"/>
    <w:link w:val="affa"/>
    <w:uiPriority w:val="34"/>
    <w:qFormat/>
    <w:pPr>
      <w:widowControl/>
      <w:spacing w:beforeLines="50" w:afterLines="50"/>
      <w:ind w:firstLineChars="200" w:firstLine="420"/>
      <w:jc w:val="left"/>
    </w:pPr>
    <w:rPr>
      <w:rFonts w:eastAsia="Times New Roman" w:cs="宋体"/>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c"/>
    <w:link w:val="aff"/>
    <w:uiPriority w:val="99"/>
    <w:semiHidden/>
    <w:qFormat/>
    <w:rPr>
      <w:rFonts w:ascii="Times New Roman" w:eastAsia="Times New Roman" w:hAnsi="Times New Roman" w:cs="Arial"/>
      <w:b/>
      <w:sz w:val="21"/>
      <w:szCs w:val="20"/>
      <w:lang w:val="en-GB"/>
    </w:rPr>
  </w:style>
  <w:style w:type="paragraph" w:customStyle="1" w:styleId="16">
    <w:name w:val="修订1"/>
    <w:hidden/>
    <w:uiPriority w:val="99"/>
    <w:semiHidden/>
    <w:qFormat/>
    <w:rPr>
      <w:rFonts w:eastAsia="MS Gothic"/>
      <w:bCs/>
      <w:iCs/>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3"/>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bCs/>
      <w:iCs/>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bCs/>
      <w:iCs/>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bCs/>
      <w:iCs/>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bCs/>
      <w:iCs/>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kern w:val="0"/>
      <w:sz w:val="36"/>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bCs/>
      <w:iCs/>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bCs/>
      <w:iCs/>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bCs/>
      <w:i/>
      <w:iCs/>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bCs/>
      <w:iCs/>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bCs/>
      <w:iCs/>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bCs/>
      <w:iCs/>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val="0"/>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bCs/>
      <w:iCs/>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val="0"/>
      <w:sz w:val="22"/>
      <w:szCs w:val="22"/>
      <w:lang w:eastAsia="en-US"/>
    </w:rPr>
  </w:style>
  <w:style w:type="paragraph" w:customStyle="1" w:styleId="2d">
    <w:name w:val="修订2"/>
    <w:hidden/>
    <w:uiPriority w:val="99"/>
    <w:semiHidden/>
    <w:qFormat/>
    <w:rPr>
      <w:bCs/>
      <w:iCs/>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bCs/>
      <w:iCs/>
      <w:kern w:val="2"/>
      <w:sz w:val="24"/>
      <w:szCs w:val="24"/>
    </w:rPr>
  </w:style>
  <w:style w:type="character" w:customStyle="1" w:styleId="43">
    <w:name w:val="列表段落 字符4"/>
    <w:uiPriority w:val="34"/>
    <w:qFormat/>
    <w:locked/>
    <w:rPr>
      <w:rFonts w:eastAsia="宋体"/>
      <w:lang w:eastAsia="ja-JP"/>
    </w:rPr>
  </w:style>
  <w:style w:type="paragraph" w:customStyle="1" w:styleId="44">
    <w:name w:val="修订4"/>
    <w:hidden/>
    <w:uiPriority w:val="99"/>
    <w:unhideWhenUsed/>
    <w:qFormat/>
    <w:rPr>
      <w:bCs/>
      <w:iCs/>
    </w:rPr>
  </w:style>
  <w:style w:type="paragraph" w:styleId="affe">
    <w:name w:val="Revision"/>
    <w:hidden/>
    <w:uiPriority w:val="99"/>
    <w:unhideWhenUsed/>
    <w:rsid w:val="000C3174"/>
    <w:rPr>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3663</Words>
  <Characters>20882</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YI ZHENG</cp:lastModifiedBy>
  <cp:revision>2</cp:revision>
  <dcterms:created xsi:type="dcterms:W3CDTF">2024-06-07T06:11:00Z</dcterms:created>
  <dcterms:modified xsi:type="dcterms:W3CDTF">2024-06-07T06:11:00Z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EE2E0AEB1B364505AAF278B13F770EC4_13</vt:lpwstr>
  </property>
</Properties>
</file>