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D9F61DD" w:rsidR="00A209D6" w:rsidRPr="00422E7A" w:rsidRDefault="00A209D6" w:rsidP="00422E7A">
      <w:pPr>
        <w:pStyle w:val="Header"/>
        <w:tabs>
          <w:tab w:val="right" w:pos="9639"/>
        </w:tabs>
        <w:jc w:val="right"/>
        <w:rPr>
          <w:bCs/>
          <w:i/>
          <w:noProof w:val="0"/>
          <w:sz w:val="24"/>
          <w:szCs w:val="24"/>
        </w:rPr>
      </w:pPr>
      <w:r w:rsidRPr="00422E7A">
        <w:rPr>
          <w:bCs/>
          <w:noProof w:val="0"/>
          <w:sz w:val="24"/>
          <w:szCs w:val="24"/>
        </w:rPr>
        <w:t>3GPP TSG-RAN Meeting #</w:t>
      </w:r>
      <w:r w:rsidR="00324CBB">
        <w:rPr>
          <w:bCs/>
          <w:noProof w:val="0"/>
          <w:sz w:val="24"/>
          <w:szCs w:val="24"/>
        </w:rPr>
        <w:t>102</w:t>
      </w:r>
      <w:r w:rsidRPr="00422E7A">
        <w:rPr>
          <w:bCs/>
          <w:noProof w:val="0"/>
          <w:sz w:val="24"/>
          <w:szCs w:val="24"/>
        </w:rPr>
        <w:tab/>
      </w:r>
      <w:r w:rsidR="00740EF6" w:rsidRPr="00740EF6">
        <w:rPr>
          <w:bCs/>
          <w:noProof w:val="0"/>
          <w:sz w:val="24"/>
          <w:szCs w:val="24"/>
        </w:rPr>
        <w:t>RP-</w:t>
      </w:r>
      <w:r w:rsidR="00324CBB" w:rsidRPr="00740EF6">
        <w:rPr>
          <w:bCs/>
          <w:noProof w:val="0"/>
          <w:sz w:val="24"/>
          <w:szCs w:val="24"/>
        </w:rPr>
        <w:t>2</w:t>
      </w:r>
      <w:r w:rsidR="00324CBB">
        <w:rPr>
          <w:bCs/>
          <w:noProof w:val="0"/>
          <w:sz w:val="24"/>
          <w:szCs w:val="24"/>
        </w:rPr>
        <w:t>3</w:t>
      </w:r>
      <w:r w:rsidR="000F2043">
        <w:rPr>
          <w:bCs/>
          <w:noProof w:val="0"/>
          <w:sz w:val="24"/>
          <w:szCs w:val="24"/>
        </w:rPr>
        <w:t>3463</w:t>
      </w:r>
    </w:p>
    <w:p w14:paraId="11776FA6" w14:textId="467A3E57" w:rsidR="00A209D6" w:rsidRPr="00465587" w:rsidRDefault="00324CBB" w:rsidP="00A209D6">
      <w:pPr>
        <w:pStyle w:val="Header"/>
        <w:tabs>
          <w:tab w:val="right" w:pos="9639"/>
        </w:tabs>
        <w:rPr>
          <w:sz w:val="24"/>
          <w:szCs w:val="24"/>
          <w:lang w:eastAsia="zh-CN"/>
        </w:rPr>
      </w:pPr>
      <w:r>
        <w:rPr>
          <w:sz w:val="24"/>
          <w:szCs w:val="24"/>
          <w:lang w:eastAsia="zh-CN"/>
        </w:rPr>
        <w:t xml:space="preserve">Edinburgh, </w:t>
      </w:r>
      <w:r w:rsidR="19AE861E" w:rsidRPr="679E8684">
        <w:rPr>
          <w:sz w:val="24"/>
          <w:szCs w:val="24"/>
          <w:lang w:eastAsia="zh-CN"/>
        </w:rPr>
        <w:t>UK</w:t>
      </w:r>
      <w:r>
        <w:rPr>
          <w:sz w:val="24"/>
          <w:szCs w:val="24"/>
          <w:lang w:eastAsia="zh-CN"/>
        </w:rPr>
        <w:t>,</w:t>
      </w:r>
      <w:r w:rsidR="00495697" w:rsidRPr="005F2887">
        <w:rPr>
          <w:sz w:val="24"/>
          <w:szCs w:val="24"/>
          <w:lang w:eastAsia="zh-CN"/>
        </w:rPr>
        <w:t xml:space="preserve"> </w:t>
      </w:r>
      <w:r w:rsidR="00C915A9" w:rsidRPr="005F2887">
        <w:rPr>
          <w:sz w:val="24"/>
          <w:szCs w:val="24"/>
          <w:lang w:eastAsia="zh-CN"/>
        </w:rPr>
        <w:t>1</w:t>
      </w:r>
      <w:r>
        <w:rPr>
          <w:sz w:val="24"/>
          <w:szCs w:val="24"/>
          <w:lang w:eastAsia="zh-CN"/>
        </w:rPr>
        <w:t>1</w:t>
      </w:r>
      <w:r w:rsidR="00495697" w:rsidRPr="005F2887">
        <w:rPr>
          <w:sz w:val="24"/>
          <w:szCs w:val="24"/>
          <w:vertAlign w:val="superscript"/>
          <w:lang w:eastAsia="zh-CN"/>
        </w:rPr>
        <w:t>th</w:t>
      </w:r>
      <w:r w:rsidR="00495697" w:rsidRPr="005F2887">
        <w:rPr>
          <w:sz w:val="24"/>
          <w:szCs w:val="24"/>
          <w:lang w:eastAsia="zh-CN"/>
        </w:rPr>
        <w:t xml:space="preserve"> – </w:t>
      </w:r>
      <w:r w:rsidR="00C915A9" w:rsidRPr="005F2887">
        <w:rPr>
          <w:sz w:val="24"/>
          <w:szCs w:val="24"/>
          <w:lang w:eastAsia="zh-CN"/>
        </w:rPr>
        <w:t>1</w:t>
      </w:r>
      <w:r>
        <w:rPr>
          <w:sz w:val="24"/>
          <w:szCs w:val="24"/>
          <w:lang w:eastAsia="zh-CN"/>
        </w:rPr>
        <w:t>5</w:t>
      </w:r>
      <w:r w:rsidR="00495697" w:rsidRPr="005F2887">
        <w:rPr>
          <w:sz w:val="24"/>
          <w:szCs w:val="24"/>
          <w:vertAlign w:val="superscript"/>
          <w:lang w:eastAsia="zh-CN"/>
        </w:rPr>
        <w:t>th</w:t>
      </w:r>
      <w:r w:rsidR="00495697" w:rsidRPr="005F2887">
        <w:rPr>
          <w:sz w:val="24"/>
          <w:szCs w:val="24"/>
          <w:lang w:eastAsia="zh-CN"/>
        </w:rPr>
        <w:t xml:space="preserve"> </w:t>
      </w:r>
      <w:r w:rsidR="003A43F0">
        <w:rPr>
          <w:sz w:val="24"/>
          <w:szCs w:val="24"/>
          <w:lang w:eastAsia="zh-CN"/>
        </w:rPr>
        <w:t>Dec</w:t>
      </w:r>
      <w:r w:rsidR="00C915A9" w:rsidRPr="005F2887">
        <w:rPr>
          <w:sz w:val="24"/>
          <w:szCs w:val="24"/>
          <w:lang w:eastAsia="zh-CN"/>
        </w:rPr>
        <w:t>ember</w:t>
      </w:r>
      <w:r w:rsidR="00495697" w:rsidRPr="00422E7A">
        <w:rPr>
          <w:sz w:val="24"/>
          <w:szCs w:val="24"/>
          <w:lang w:eastAsia="zh-CN"/>
        </w:rPr>
        <w:t>,</w:t>
      </w:r>
      <w:r w:rsidR="005C7CD5" w:rsidRPr="00422E7A">
        <w:rPr>
          <w:sz w:val="24"/>
          <w:szCs w:val="24"/>
          <w:lang w:eastAsia="zh-CN"/>
        </w:rPr>
        <w:t xml:space="preserve"> 202</w:t>
      </w:r>
      <w:r>
        <w:rPr>
          <w:sz w:val="24"/>
          <w:szCs w:val="24"/>
          <w:lang w:eastAsia="zh-CN"/>
        </w:rPr>
        <w:t>3</w:t>
      </w:r>
      <w:r w:rsidR="00A209D6">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2AF1B6" w:rsidR="00446C3A" w:rsidRPr="00B266B0" w:rsidRDefault="00446C3A" w:rsidP="00446C3A">
      <w:pPr>
        <w:pStyle w:val="CRCoverPage"/>
        <w:tabs>
          <w:tab w:val="left" w:pos="1985"/>
        </w:tabs>
        <w:rPr>
          <w:rFonts w:cs="Arial"/>
          <w:b/>
          <w:bCs/>
          <w:sz w:val="24"/>
          <w:lang w:eastAsia="ja-JP"/>
        </w:rPr>
      </w:pPr>
      <w:r w:rsidRPr="00B266B0">
        <w:rPr>
          <w:rFonts w:cs="Arial"/>
          <w:b/>
          <w:bCs/>
          <w:sz w:val="24"/>
        </w:rPr>
        <w:t xml:space="preserve">Agenda </w:t>
      </w:r>
      <w:r w:rsidRPr="00740EF6">
        <w:rPr>
          <w:rFonts w:cs="Arial"/>
          <w:b/>
          <w:bCs/>
          <w:sz w:val="24"/>
        </w:rPr>
        <w:t>item:</w:t>
      </w:r>
      <w:r w:rsidRPr="00740EF6">
        <w:rPr>
          <w:rFonts w:cs="Arial"/>
          <w:b/>
          <w:bCs/>
          <w:sz w:val="24"/>
        </w:rPr>
        <w:tab/>
      </w:r>
      <w:r w:rsidR="007E5B6B" w:rsidRPr="00740EF6">
        <w:rPr>
          <w:rFonts w:cs="Arial"/>
          <w:b/>
          <w:bCs/>
          <w:sz w:val="24"/>
        </w:rPr>
        <w:t>10.2.1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1D7D4B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4CBB">
        <w:rPr>
          <w:rFonts w:ascii="Arial" w:hAnsi="Arial" w:cs="Arial"/>
          <w:b/>
          <w:bCs/>
          <w:sz w:val="24"/>
        </w:rPr>
        <w:t xml:space="preserve">Release 19 </w:t>
      </w:r>
      <w:r w:rsidR="00422E7A">
        <w:rPr>
          <w:rFonts w:ascii="Arial" w:hAnsi="Arial" w:cs="Arial"/>
          <w:b/>
          <w:bCs/>
          <w:sz w:val="24"/>
        </w:rPr>
        <w:t xml:space="preserve">IoT NTN </w:t>
      </w:r>
      <w:r w:rsidR="00324CBB">
        <w:rPr>
          <w:rFonts w:ascii="Arial" w:hAnsi="Arial" w:cs="Arial"/>
          <w:b/>
          <w:bCs/>
          <w:sz w:val="24"/>
        </w:rPr>
        <w:t xml:space="preserve">WI </w:t>
      </w:r>
      <w:r w:rsidR="007E5B6B">
        <w:rPr>
          <w:rFonts w:ascii="Arial" w:hAnsi="Arial" w:cs="Arial"/>
          <w:b/>
          <w:bCs/>
          <w:sz w:val="24"/>
        </w:rPr>
        <w:t>objective</w:t>
      </w:r>
      <w:r w:rsidR="00324CBB">
        <w:rPr>
          <w:rFonts w:ascii="Arial" w:hAnsi="Arial" w:cs="Arial"/>
          <w:b/>
          <w:bCs/>
          <w:sz w:val="24"/>
        </w:rPr>
        <w:t>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1EC324" w14:textId="2D186EA5" w:rsidR="00C518D6" w:rsidRDefault="00D2566A" w:rsidP="00422E7A">
      <w:pPr>
        <w:spacing w:after="0"/>
      </w:pPr>
      <w:r>
        <w:rPr>
          <w:bCs/>
          <w:iCs/>
        </w:rPr>
        <w:t xml:space="preserve">At RAN #101 the </w:t>
      </w:r>
      <w:r w:rsidR="00442EEE">
        <w:rPr>
          <w:bCs/>
          <w:iCs/>
        </w:rPr>
        <w:t xml:space="preserve">potential </w:t>
      </w:r>
      <w:r>
        <w:rPr>
          <w:bCs/>
          <w:iCs/>
        </w:rPr>
        <w:t xml:space="preserve">release 19 </w:t>
      </w:r>
      <w:r w:rsidR="00442EEE">
        <w:rPr>
          <w:bCs/>
          <w:iCs/>
        </w:rPr>
        <w:t xml:space="preserve">work item for IoT NTN was discussed. In this </w:t>
      </w:r>
      <w:r w:rsidR="00582753">
        <w:rPr>
          <w:bCs/>
          <w:iCs/>
        </w:rPr>
        <w:t xml:space="preserve">document we provide our view on possible objectives. </w:t>
      </w:r>
    </w:p>
    <w:p w14:paraId="32D13935" w14:textId="276153C4" w:rsidR="009578C2" w:rsidRDefault="004C24FA" w:rsidP="004C24FA">
      <w:pPr>
        <w:pStyle w:val="Heading1"/>
      </w:pPr>
      <w:r w:rsidRPr="00894CDC">
        <w:t>2</w:t>
      </w:r>
      <w:r w:rsidR="009578C2">
        <w:t xml:space="preserve"> Discussion</w:t>
      </w:r>
      <w:r w:rsidRPr="00894CDC">
        <w:tab/>
      </w:r>
    </w:p>
    <w:p w14:paraId="0624B0D5" w14:textId="5AB66E63" w:rsidR="000F2043" w:rsidRDefault="000F2043" w:rsidP="000F2043">
      <w:pPr>
        <w:pStyle w:val="Heading2"/>
      </w:pPr>
      <w:r>
        <w:t>2.</w:t>
      </w:r>
      <w:r w:rsidR="008775F5">
        <w:t>1</w:t>
      </w:r>
      <w:r>
        <w:t xml:space="preserve"> Store &amp; forward support</w:t>
      </w:r>
    </w:p>
    <w:p w14:paraId="077928C1" w14:textId="1C07A9A4" w:rsidR="00F7571C" w:rsidRDefault="000F2043" w:rsidP="00F7571C">
      <w:r>
        <w:t xml:space="preserve">The store &amp; forward operation mode was discussed and documented by SA1 in TR </w:t>
      </w:r>
      <w:r w:rsidRPr="002D4E05">
        <w:t>22.865</w:t>
      </w:r>
      <w:r>
        <w:t>. This type of operation enables a low-cost deployment, which is beneficial for IoT use cases.</w:t>
      </w:r>
      <w:r w:rsidR="00F7571C" w:rsidRPr="00F7571C">
        <w:t xml:space="preserve"> </w:t>
      </w:r>
      <w:r w:rsidR="00F7571C">
        <w:t xml:space="preserve">TR 22.865 lists </w:t>
      </w:r>
      <w:r w:rsidR="00F7571C">
        <w:t>use cases and potential requirements, further clarified in TS 22.261 section 6.46.8.</w:t>
      </w:r>
    </w:p>
    <w:p w14:paraId="4E1D2E2F" w14:textId="6D03CA06" w:rsidR="00F7571C" w:rsidRPr="006C139B" w:rsidRDefault="00F7571C" w:rsidP="00F7571C">
      <w:pPr>
        <w:rPr>
          <w:b/>
          <w:bCs/>
        </w:rPr>
      </w:pPr>
      <w:r>
        <w:rPr>
          <w:b/>
          <w:bCs/>
        </w:rPr>
        <w:t>Observation 1: TR 22.865 and TS 22.261 section 6.46.8 contain a list of store &amp; forward use cases and requirements.</w:t>
      </w:r>
    </w:p>
    <w:p w14:paraId="5244BCDA" w14:textId="77777777" w:rsidR="000F2043" w:rsidRDefault="000F2043" w:rsidP="000F2043">
      <w:r>
        <w:t xml:space="preserve">It is clear that support of the </w:t>
      </w:r>
      <w:proofErr w:type="spellStart"/>
      <w:r>
        <w:t>eNB</w:t>
      </w:r>
      <w:proofErr w:type="spellEnd"/>
      <w:r>
        <w:t xml:space="preserve"> on board the satellite (i.e. regenerative architecture) is required. In our view, the satellite architecture should remain as simple as possible i.e. the number of on board core network elements/functions shall be minimal. To ensure the functionality of </w:t>
      </w:r>
      <w:proofErr w:type="spellStart"/>
      <w:r>
        <w:t>eNB</w:t>
      </w:r>
      <w:proofErr w:type="spellEnd"/>
      <w:r>
        <w:t xml:space="preserve"> – core network communication remains intact it may be beneficial to coordinate the work with SA2. In addition, it may be beneficial to consider whether S1 protocol enhancements are needed (by RAN3) for handling the switching of feeder link.</w:t>
      </w:r>
    </w:p>
    <w:p w14:paraId="320DD0E3" w14:textId="23B5C38D" w:rsidR="000F2043" w:rsidRDefault="000F2043" w:rsidP="000F2043">
      <w:pPr>
        <w:rPr>
          <w:b/>
          <w:bCs/>
        </w:rPr>
      </w:pPr>
      <w:r>
        <w:rPr>
          <w:b/>
          <w:bCs/>
        </w:rPr>
        <w:t xml:space="preserve">Proposal </w:t>
      </w:r>
      <w:r w:rsidR="00D97B7F">
        <w:rPr>
          <w:b/>
          <w:bCs/>
        </w:rPr>
        <w:t>1</w:t>
      </w:r>
      <w:r>
        <w:rPr>
          <w:b/>
          <w:bCs/>
        </w:rPr>
        <w:t xml:space="preserve">: Support of </w:t>
      </w:r>
      <w:proofErr w:type="spellStart"/>
      <w:r>
        <w:rPr>
          <w:b/>
          <w:bCs/>
        </w:rPr>
        <w:t>eNB</w:t>
      </w:r>
      <w:proofErr w:type="spellEnd"/>
      <w:r>
        <w:rPr>
          <w:b/>
          <w:bCs/>
        </w:rPr>
        <w:t xml:space="preserve"> on board the satellite shall be specified and, if needed, any S1 protocol enhancements (RAN3).</w:t>
      </w:r>
    </w:p>
    <w:p w14:paraId="57135833" w14:textId="0F1BCE2B" w:rsidR="000F2043" w:rsidRPr="00856EC3" w:rsidRDefault="000F2043" w:rsidP="000F2043">
      <w:pPr>
        <w:rPr>
          <w:b/>
          <w:bCs/>
        </w:rPr>
      </w:pPr>
      <w:r>
        <w:rPr>
          <w:b/>
          <w:bCs/>
        </w:rPr>
        <w:t xml:space="preserve">Proposal </w:t>
      </w:r>
      <w:r w:rsidR="00D97B7F">
        <w:rPr>
          <w:b/>
          <w:bCs/>
        </w:rPr>
        <w:t>2</w:t>
      </w:r>
      <w:r w:rsidRPr="00856EC3">
        <w:rPr>
          <w:b/>
          <w:bCs/>
        </w:rPr>
        <w:t>:</w:t>
      </w:r>
      <w:r>
        <w:rPr>
          <w:b/>
          <w:bCs/>
        </w:rPr>
        <w:t xml:space="preserve"> The number of core network elements/functions on board the regenerative satellite shall be minimal. The specification work on regenerative satellite support shall be coordinated with SA2.</w:t>
      </w:r>
    </w:p>
    <w:p w14:paraId="4B93B85F" w14:textId="747798B8" w:rsidR="000F2043" w:rsidRPr="006C139B" w:rsidRDefault="000F2043" w:rsidP="00F7571C">
      <w:pPr>
        <w:rPr>
          <w:b/>
          <w:bCs/>
        </w:rPr>
      </w:pPr>
      <w:r w:rsidRPr="00195948">
        <w:t xml:space="preserve">The </w:t>
      </w:r>
      <w:r>
        <w:t xml:space="preserve">store &amp; forward operation has </w:t>
      </w:r>
      <w:r w:rsidR="00A247A1">
        <w:t>both RRC and user plane</w:t>
      </w:r>
      <w:r>
        <w:t xml:space="preserve"> implications, which </w:t>
      </w:r>
      <w:r w:rsidR="00A247A1">
        <w:t>have</w:t>
      </w:r>
      <w:r>
        <w:t xml:space="preserve"> specification</w:t>
      </w:r>
      <w:r w:rsidR="00A247A1">
        <w:t xml:space="preserve"> impact</w:t>
      </w:r>
      <w:r>
        <w:t xml:space="preserve">. </w:t>
      </w:r>
    </w:p>
    <w:p w14:paraId="7D14E74E" w14:textId="77777777" w:rsidR="000F2043" w:rsidRDefault="000F2043" w:rsidP="000F2043">
      <w:r>
        <w:t xml:space="preserve">First of all, the RRC Connection setup needs modifications to be able to suspend/resume the signalling, because the UE will not have an uninterrupted connection with the core network, but instead experience delayed transfer of NAS messages via the </w:t>
      </w:r>
      <w:proofErr w:type="spellStart"/>
      <w:r>
        <w:t>eNB</w:t>
      </w:r>
      <w:proofErr w:type="spellEnd"/>
      <w:r>
        <w:t xml:space="preserve">, whenever </w:t>
      </w:r>
      <w:proofErr w:type="spellStart"/>
      <w:r>
        <w:t>eNB</w:t>
      </w:r>
      <w:proofErr w:type="spellEnd"/>
      <w:r>
        <w:t>-CN or UE-</w:t>
      </w:r>
      <w:proofErr w:type="spellStart"/>
      <w:r>
        <w:t>eNB</w:t>
      </w:r>
      <w:proofErr w:type="spellEnd"/>
      <w:r>
        <w:t xml:space="preserve"> connectivity is available. When the RRC Connection is established it may be beneficial to use RRC Inactive (i.e. suspend/resume) and transfer of UE context instead of a new connection setup at each coverage instance.  In addition, the user plane data transmission and application layer feedback may be delayed, and the satellite may employ policies related to data storage and forwarding. </w:t>
      </w:r>
    </w:p>
    <w:p w14:paraId="25FA9087" w14:textId="15848B5F" w:rsidR="000F2043" w:rsidRDefault="000F2043" w:rsidP="000F2043">
      <w:pPr>
        <w:rPr>
          <w:b/>
          <w:bCs/>
        </w:rPr>
      </w:pPr>
      <w:r>
        <w:rPr>
          <w:b/>
          <w:bCs/>
        </w:rPr>
        <w:t xml:space="preserve">Proposal </w:t>
      </w:r>
      <w:r w:rsidR="004B387E">
        <w:rPr>
          <w:b/>
          <w:bCs/>
        </w:rPr>
        <w:t>3</w:t>
      </w:r>
      <w:r>
        <w:rPr>
          <w:b/>
          <w:bCs/>
        </w:rPr>
        <w:t xml:space="preserve">: Specify RAN aspects to support store &amp; forward operation including enhancements for RRC Connection setup, RRC connection resume, handling of user plane data and application layer feedback delays, and data storage and forward policies. </w:t>
      </w:r>
    </w:p>
    <w:p w14:paraId="6A3809C3" w14:textId="77777777" w:rsidR="000F2043" w:rsidRPr="009625D6" w:rsidRDefault="000F2043" w:rsidP="000F2043">
      <w:pPr>
        <w:rPr>
          <w:b/>
          <w:bCs/>
        </w:rPr>
      </w:pPr>
    </w:p>
    <w:p w14:paraId="188741D1" w14:textId="18E37E93" w:rsidR="000F2043" w:rsidRDefault="000F2043" w:rsidP="000F2043">
      <w:pPr>
        <w:pStyle w:val="Heading2"/>
      </w:pPr>
      <w:r>
        <w:t>2.</w:t>
      </w:r>
      <w:r w:rsidR="008775F5">
        <w:t>2</w:t>
      </w:r>
      <w:r>
        <w:t xml:space="preserve"> High-power UE</w:t>
      </w:r>
    </w:p>
    <w:p w14:paraId="17F4C04D" w14:textId="77777777" w:rsidR="000F2043" w:rsidRDefault="000F2043" w:rsidP="000F2043">
      <w:r>
        <w:t>The use of high-power UEs have been discussed to improve the coverage. However, the use of higher transmit power may mandate a new coexistence analysis by RAN4. The decision on the RAN4 release 19 scope will be decided later and therefore the discussion of high-power UEs for IoT NTN can be postponed.</w:t>
      </w:r>
    </w:p>
    <w:p w14:paraId="2382077E" w14:textId="6A7B96AE" w:rsidR="000F2043" w:rsidRDefault="000F2043" w:rsidP="000F2043">
      <w:pPr>
        <w:rPr>
          <w:b/>
          <w:bCs/>
        </w:rPr>
      </w:pPr>
      <w:r>
        <w:rPr>
          <w:b/>
          <w:bCs/>
        </w:rPr>
        <w:lastRenderedPageBreak/>
        <w:t xml:space="preserve">Proposal </w:t>
      </w:r>
      <w:r w:rsidR="004B387E">
        <w:rPr>
          <w:b/>
          <w:bCs/>
        </w:rPr>
        <w:t>4</w:t>
      </w:r>
      <w:r>
        <w:rPr>
          <w:b/>
          <w:bCs/>
        </w:rPr>
        <w:t>: The specification for high-power UEs is within RAN4 scope, which is to be decided later.</w:t>
      </w:r>
    </w:p>
    <w:p w14:paraId="2201B106" w14:textId="77777777" w:rsidR="00F7571C" w:rsidRDefault="00F7571C" w:rsidP="000F2043">
      <w:pPr>
        <w:rPr>
          <w:b/>
          <w:bCs/>
        </w:rPr>
      </w:pPr>
    </w:p>
    <w:p w14:paraId="0448C33E" w14:textId="6C78B2FF" w:rsidR="004C24FA" w:rsidRPr="00894CDC" w:rsidRDefault="009578C2" w:rsidP="008258A2">
      <w:pPr>
        <w:pStyle w:val="Heading2"/>
      </w:pPr>
      <w:r>
        <w:t>2.</w:t>
      </w:r>
      <w:r w:rsidR="008775F5">
        <w:t>3</w:t>
      </w:r>
      <w:r>
        <w:t xml:space="preserve"> </w:t>
      </w:r>
      <w:r w:rsidR="00324CBB">
        <w:t>Capacity enhancements for uplink</w:t>
      </w:r>
    </w:p>
    <w:p w14:paraId="02C5952A" w14:textId="5D4BBD31" w:rsidR="00DF6ECF" w:rsidRDefault="005E312D" w:rsidP="009339CB">
      <w:r>
        <w:t xml:space="preserve">In the previous discussions, multiple options for uplink capacity enhancement </w:t>
      </w:r>
      <w:r w:rsidR="00750286">
        <w:t>were proposed including multiplexing of UEs based on orthogonal cover codes</w:t>
      </w:r>
      <w:r w:rsidR="0063063B">
        <w:t xml:space="preserve"> (OCC)</w:t>
      </w:r>
      <w:r w:rsidR="005614C8">
        <w:t xml:space="preserve"> and enhancing Preconfigured Uplink Resources (PUR)/Early Data Transmission (EDT)</w:t>
      </w:r>
      <w:r w:rsidR="00D23EC8">
        <w:t xml:space="preserve"> procedures.</w:t>
      </w:r>
    </w:p>
    <w:p w14:paraId="143C5014" w14:textId="50363A39" w:rsidR="00D82280" w:rsidRDefault="00B050A4" w:rsidP="009339CB">
      <w:r>
        <w:t xml:space="preserve">Before the 3GPP RAN WGs specify </w:t>
      </w:r>
      <w:r w:rsidR="003A4F90">
        <w:t>capacity enhancement</w:t>
      </w:r>
      <w:r w:rsidR="008B5857">
        <w:t xml:space="preserve">s for the data channels it may be beneficial to consider if such enhanced capacity can be supported by the control </w:t>
      </w:r>
      <w:r w:rsidR="008B5857" w:rsidRPr="007B5483">
        <w:t>channel</w:t>
      </w:r>
      <w:r w:rsidR="002F3C2D" w:rsidRPr="007B5483">
        <w:t xml:space="preserve"> [</w:t>
      </w:r>
      <w:r w:rsidR="007B5483" w:rsidRPr="007B5483">
        <w:t>1</w:t>
      </w:r>
      <w:r w:rsidR="002F3C2D" w:rsidRPr="007B5483">
        <w:t>]</w:t>
      </w:r>
      <w:r w:rsidR="008B5857" w:rsidRPr="007B5483">
        <w:t>.</w:t>
      </w:r>
      <w:r w:rsidR="008B5857">
        <w:t xml:space="preserve"> </w:t>
      </w:r>
    </w:p>
    <w:p w14:paraId="7513B6E7" w14:textId="710415EA" w:rsidR="000B3C76" w:rsidRPr="000B3C76" w:rsidRDefault="000B3C76" w:rsidP="009339CB">
      <w:pPr>
        <w:rPr>
          <w:b/>
          <w:bCs/>
        </w:rPr>
      </w:pPr>
      <w:r w:rsidRPr="00B55DBC">
        <w:rPr>
          <w:b/>
          <w:bCs/>
        </w:rPr>
        <w:t>Proposal</w:t>
      </w:r>
      <w:r w:rsidR="00CA6997">
        <w:rPr>
          <w:b/>
          <w:bCs/>
        </w:rPr>
        <w:t xml:space="preserve"> </w:t>
      </w:r>
      <w:r w:rsidR="004B387E">
        <w:rPr>
          <w:b/>
          <w:bCs/>
        </w:rPr>
        <w:t>5</w:t>
      </w:r>
      <w:r w:rsidRPr="00B55DBC">
        <w:rPr>
          <w:b/>
          <w:bCs/>
        </w:rPr>
        <w:t>: TSG RAN to explore whether there is a real need for expanding the user multiplexing capacity prior to looking into solutions for this specific topic.</w:t>
      </w:r>
    </w:p>
    <w:p w14:paraId="00B1B986" w14:textId="564FADC6" w:rsidR="005E0110" w:rsidRDefault="006F1A5B" w:rsidP="009339CB">
      <w:r>
        <w:t xml:space="preserve">In our view, </w:t>
      </w:r>
      <w:r w:rsidR="007272D0">
        <w:t xml:space="preserve">the enhancement of PUR and EDT </w:t>
      </w:r>
      <w:r w:rsidR="00B03A49">
        <w:t xml:space="preserve">is a good way forward since the </w:t>
      </w:r>
      <w:r w:rsidR="005537E2">
        <w:t xml:space="preserve">fundamentals of the </w:t>
      </w:r>
      <w:r w:rsidR="00B03A49">
        <w:t xml:space="preserve">procedures </w:t>
      </w:r>
      <w:r w:rsidR="005537E2">
        <w:t xml:space="preserve">are already defined in </w:t>
      </w:r>
      <w:r w:rsidR="002043EF">
        <w:t>past releases</w:t>
      </w:r>
      <w:r w:rsidR="0063063B">
        <w:t xml:space="preserve">, whereas the OCC </w:t>
      </w:r>
      <w:r w:rsidR="00612B1C">
        <w:t>is a new approach</w:t>
      </w:r>
      <w:r w:rsidR="002043EF">
        <w:t xml:space="preserve">. </w:t>
      </w:r>
    </w:p>
    <w:p w14:paraId="35D5ACB1" w14:textId="6C3F592E" w:rsidR="00641732" w:rsidRDefault="00641732" w:rsidP="009339CB">
      <w:pPr>
        <w:rPr>
          <w:b/>
          <w:bCs/>
        </w:rPr>
      </w:pPr>
      <w:r>
        <w:rPr>
          <w:b/>
          <w:bCs/>
        </w:rPr>
        <w:t>Observation</w:t>
      </w:r>
      <w:r w:rsidR="007341D5">
        <w:rPr>
          <w:b/>
          <w:bCs/>
        </w:rPr>
        <w:t xml:space="preserve"> </w:t>
      </w:r>
      <w:r w:rsidR="0061695B">
        <w:rPr>
          <w:b/>
          <w:bCs/>
        </w:rPr>
        <w:t>2</w:t>
      </w:r>
      <w:r>
        <w:rPr>
          <w:b/>
          <w:bCs/>
        </w:rPr>
        <w:t>: PUR and EDT procedures are available in past releases, while orthogonal cover codes is a new approach.</w:t>
      </w:r>
    </w:p>
    <w:p w14:paraId="257706B3" w14:textId="3763AA89" w:rsidR="00641732" w:rsidRDefault="00641732" w:rsidP="009339CB">
      <w:r>
        <w:t>One aspect</w:t>
      </w:r>
      <w:r w:rsidR="00500DC4">
        <w:t xml:space="preserve"> related to PUR, which was not addressed in </w:t>
      </w:r>
      <w:r w:rsidR="0046598F">
        <w:t xml:space="preserve">the past NTN releases is the applicability in LEO scenarios. In </w:t>
      </w:r>
      <w:r w:rsidR="00744955">
        <w:t xml:space="preserve">such a scenario the </w:t>
      </w:r>
      <w:r w:rsidR="00CE1B3A">
        <w:t>serving cell may frequently change, which according to current specifications cause the UE to drop the PUR configuration. Especially in</w:t>
      </w:r>
      <w:r w:rsidR="00601957">
        <w:t xml:space="preserve"> the</w:t>
      </w:r>
      <w:r w:rsidR="00CE1B3A">
        <w:t xml:space="preserve"> </w:t>
      </w:r>
      <w:r w:rsidR="0002461C">
        <w:t xml:space="preserve">earth-fixed cell scenario, the </w:t>
      </w:r>
      <w:r w:rsidR="00DB0939">
        <w:t xml:space="preserve">switch of </w:t>
      </w:r>
      <w:r w:rsidR="00FE548D">
        <w:t>cells is predictable</w:t>
      </w:r>
      <w:r w:rsidR="00F52339">
        <w:t xml:space="preserve"> (i.e. according to t-service)</w:t>
      </w:r>
      <w:r w:rsidR="00FE548D">
        <w:t xml:space="preserve"> and it could therefore be discussed whether the UE </w:t>
      </w:r>
      <w:r w:rsidR="00454B10">
        <w:t>can use PUR on the next cell as well.</w:t>
      </w:r>
    </w:p>
    <w:p w14:paraId="60016B7E" w14:textId="68933C3F" w:rsidR="00277D0D" w:rsidRPr="00277D0D" w:rsidRDefault="00277D0D" w:rsidP="009339CB">
      <w:pPr>
        <w:rPr>
          <w:b/>
          <w:bCs/>
        </w:rPr>
      </w:pPr>
      <w:r>
        <w:rPr>
          <w:b/>
          <w:bCs/>
        </w:rPr>
        <w:t>Proposal</w:t>
      </w:r>
      <w:r w:rsidR="007341D5">
        <w:rPr>
          <w:b/>
          <w:bCs/>
        </w:rPr>
        <w:t xml:space="preserve"> </w:t>
      </w:r>
      <w:r w:rsidR="0061695B">
        <w:rPr>
          <w:b/>
          <w:bCs/>
        </w:rPr>
        <w:t>6</w:t>
      </w:r>
      <w:r>
        <w:rPr>
          <w:b/>
          <w:bCs/>
        </w:rPr>
        <w:t xml:space="preserve">: </w:t>
      </w:r>
      <w:r w:rsidR="00E07866">
        <w:rPr>
          <w:b/>
          <w:bCs/>
        </w:rPr>
        <w:t xml:space="preserve">TSG RAN to consider specifying configuration of PUR in </w:t>
      </w:r>
      <w:r w:rsidR="008F15A3">
        <w:rPr>
          <w:b/>
          <w:bCs/>
        </w:rPr>
        <w:t>one cell to be applicable in another NTN cell.</w:t>
      </w:r>
    </w:p>
    <w:p w14:paraId="5883ADDD" w14:textId="77777777" w:rsidR="000F2043" w:rsidRPr="00277D0D" w:rsidRDefault="000F2043" w:rsidP="009339CB">
      <w:pPr>
        <w:rPr>
          <w:b/>
          <w:bCs/>
        </w:rPr>
      </w:pPr>
    </w:p>
    <w:p w14:paraId="43DD3F26" w14:textId="6D77DDC4" w:rsidR="009578C2" w:rsidRDefault="009578C2" w:rsidP="008258A2">
      <w:pPr>
        <w:pStyle w:val="Heading2"/>
      </w:pPr>
      <w:r>
        <w:t>2.</w:t>
      </w:r>
      <w:r w:rsidR="008775F5">
        <w:t>4</w:t>
      </w:r>
      <w:r>
        <w:t xml:space="preserve"> </w:t>
      </w:r>
      <w:r w:rsidR="00324CBB">
        <w:t>Mobility enhancements</w:t>
      </w:r>
    </w:p>
    <w:p w14:paraId="137FECAD" w14:textId="141A9AFC" w:rsidR="004678EA" w:rsidRDefault="00C11EDD" w:rsidP="00324CBB">
      <w:r>
        <w:t>NB-IoT does not support RRC Connected</w:t>
      </w:r>
      <w:r w:rsidR="00C931E8">
        <w:t xml:space="preserve"> UE mobility</w:t>
      </w:r>
      <w:r>
        <w:t>.</w:t>
      </w:r>
      <w:r w:rsidR="002A3A86">
        <w:t xml:space="preserve"> </w:t>
      </w:r>
      <w:r w:rsidR="004678EA">
        <w:t>A primary reason for not specifying this is the short and infrequent data transmissions UEs applying this technology are expected to experience. If there is a need for longer connections and potentially mobility</w:t>
      </w:r>
      <w:r w:rsidR="00B72FEF">
        <w:t xml:space="preserve"> one could consider to deploy eMTC.</w:t>
      </w:r>
    </w:p>
    <w:p w14:paraId="20689C3B" w14:textId="5BC38706" w:rsidR="00B72FEF" w:rsidRPr="00B72FEF" w:rsidRDefault="00B72FEF" w:rsidP="00324CBB">
      <w:pPr>
        <w:rPr>
          <w:b/>
          <w:bCs/>
        </w:rPr>
      </w:pPr>
      <w:r>
        <w:rPr>
          <w:b/>
          <w:bCs/>
        </w:rPr>
        <w:t>Observation</w:t>
      </w:r>
      <w:r w:rsidR="007341D5">
        <w:rPr>
          <w:b/>
          <w:bCs/>
        </w:rPr>
        <w:t xml:space="preserve"> </w:t>
      </w:r>
      <w:r w:rsidR="0061695B">
        <w:rPr>
          <w:b/>
          <w:bCs/>
        </w:rPr>
        <w:t>3</w:t>
      </w:r>
      <w:r>
        <w:rPr>
          <w:b/>
          <w:bCs/>
        </w:rPr>
        <w:t>: NB-IoT does not support RRC Connected UE mobility, while it is supported by eMTC.</w:t>
      </w:r>
    </w:p>
    <w:p w14:paraId="5A0622CC" w14:textId="7738381D" w:rsidR="00883A30" w:rsidRDefault="002A3A86" w:rsidP="00324CBB">
      <w:r>
        <w:t xml:space="preserve">In the recent discussions the topic of </w:t>
      </w:r>
      <w:r w:rsidR="00D41946">
        <w:t xml:space="preserve">anchor carrier switching was </w:t>
      </w:r>
      <w:r w:rsidR="005E2D14">
        <w:t>brought up</w:t>
      </w:r>
      <w:r w:rsidR="003C2A96">
        <w:t xml:space="preserve"> for NB-IoT</w:t>
      </w:r>
      <w:r w:rsidR="005E2D14">
        <w:t xml:space="preserve">. </w:t>
      </w:r>
      <w:r w:rsidR="00283DF5">
        <w:t>This would essentially correspond to a handover, but since the UE does not report RRC Connected measurements (if the UE is even capable of measuring</w:t>
      </w:r>
      <w:r w:rsidR="00957806">
        <w:t xml:space="preserve"> while being RRC Connected, since there are no </w:t>
      </w:r>
      <w:r w:rsidR="00E13126">
        <w:t xml:space="preserve">configurable </w:t>
      </w:r>
      <w:r w:rsidR="00957806">
        <w:t>measurement gaps</w:t>
      </w:r>
      <w:r w:rsidR="00283DF5">
        <w:t xml:space="preserve">) </w:t>
      </w:r>
      <w:r w:rsidR="00601957">
        <w:t>it seems challenging to make a proper decision on when and where to switch a UE. The only exception is the earth-fixed cell scenario</w:t>
      </w:r>
      <w:r w:rsidR="000B295B">
        <w:t xml:space="preserve">, where the </w:t>
      </w:r>
      <w:r w:rsidR="006B7807">
        <w:t>known</w:t>
      </w:r>
      <w:r w:rsidR="000B295B">
        <w:t xml:space="preserve"> </w:t>
      </w:r>
      <w:r w:rsidR="00C13F26">
        <w:t xml:space="preserve">cell switch </w:t>
      </w:r>
      <w:r w:rsidR="00E2555C">
        <w:t xml:space="preserve">at t-service </w:t>
      </w:r>
      <w:r w:rsidR="00C13F26">
        <w:t>could be exploited</w:t>
      </w:r>
      <w:r w:rsidR="00E2555C">
        <w:t xml:space="preserve">. </w:t>
      </w:r>
      <w:r w:rsidR="00344403">
        <w:t xml:space="preserve">However, </w:t>
      </w:r>
      <w:r w:rsidR="001215A1">
        <w:t>configuring PUR in one cell and applying it in the next</w:t>
      </w:r>
      <w:r w:rsidR="002D4979">
        <w:t xml:space="preserve"> for RRC Reestablishment</w:t>
      </w:r>
      <w:r w:rsidR="001215A1">
        <w:t xml:space="preserve">, or enabling </w:t>
      </w:r>
      <w:r w:rsidR="00A6428F">
        <w:t>unchanged PCI switch</w:t>
      </w:r>
      <w:r w:rsidR="00304589">
        <w:t xml:space="preserve"> of cells may be reasonable alternatives, either already</w:t>
      </w:r>
      <w:r w:rsidR="00A175EA">
        <w:t xml:space="preserve"> (partially)</w:t>
      </w:r>
      <w:r w:rsidR="00304589">
        <w:t xml:space="preserve"> specified in past releases or discussed during release 18.</w:t>
      </w:r>
    </w:p>
    <w:p w14:paraId="5C0AAB38" w14:textId="7B147C19" w:rsidR="00304589" w:rsidRDefault="00304589" w:rsidP="00324CBB">
      <w:r>
        <w:t xml:space="preserve">Therefore, we think </w:t>
      </w:r>
      <w:r w:rsidR="00210C9A">
        <w:t>RRC Connected mode</w:t>
      </w:r>
      <w:r w:rsidR="00AE2255">
        <w:t xml:space="preserve"> mobility </w:t>
      </w:r>
      <w:r w:rsidR="000A1109">
        <w:t xml:space="preserve">may require a wider exploration of </w:t>
      </w:r>
      <w:r w:rsidR="00EA4BE8">
        <w:t>solutions</w:t>
      </w:r>
      <w:r w:rsidR="00AF20E6">
        <w:t xml:space="preserve"> including PUR and unchanged PCI,</w:t>
      </w:r>
      <w:r w:rsidR="00EA4BE8">
        <w:t xml:space="preserve"> if </w:t>
      </w:r>
      <w:r w:rsidR="00080309">
        <w:t xml:space="preserve">such mobility is needed considering the </w:t>
      </w:r>
      <w:r w:rsidR="00202EC5">
        <w:t>short and infrequent data transmissions.</w:t>
      </w:r>
    </w:p>
    <w:p w14:paraId="1DDCFD17" w14:textId="6BE7C9AF" w:rsidR="00202EC5" w:rsidRPr="00202EC5" w:rsidRDefault="00202EC5" w:rsidP="00324CBB">
      <w:pPr>
        <w:rPr>
          <w:b/>
          <w:bCs/>
        </w:rPr>
      </w:pPr>
      <w:r>
        <w:rPr>
          <w:b/>
          <w:bCs/>
        </w:rPr>
        <w:t>Proposal</w:t>
      </w:r>
      <w:r w:rsidR="008176A9">
        <w:rPr>
          <w:b/>
          <w:bCs/>
        </w:rPr>
        <w:t xml:space="preserve"> </w:t>
      </w:r>
      <w:r w:rsidR="0061695B">
        <w:rPr>
          <w:b/>
          <w:bCs/>
        </w:rPr>
        <w:t>7</w:t>
      </w:r>
      <w:r>
        <w:rPr>
          <w:b/>
          <w:bCs/>
        </w:rPr>
        <w:t xml:space="preserve">: </w:t>
      </w:r>
      <w:r w:rsidR="00A006DE">
        <w:rPr>
          <w:b/>
          <w:bCs/>
        </w:rPr>
        <w:t>If RRC Connected mode mobility for NB-IoT is deemed necessary by TSG RAN</w:t>
      </w:r>
      <w:r w:rsidR="00AD0464">
        <w:rPr>
          <w:b/>
          <w:bCs/>
        </w:rPr>
        <w:t>,</w:t>
      </w:r>
      <w:r w:rsidR="00A006DE">
        <w:rPr>
          <w:b/>
          <w:bCs/>
        </w:rPr>
        <w:t xml:space="preserve"> the </w:t>
      </w:r>
      <w:r w:rsidR="004C433A">
        <w:rPr>
          <w:b/>
          <w:bCs/>
        </w:rPr>
        <w:t xml:space="preserve">mobility solutions </w:t>
      </w:r>
      <w:r w:rsidR="003E1704">
        <w:rPr>
          <w:b/>
          <w:bCs/>
        </w:rPr>
        <w:t>to study</w:t>
      </w:r>
      <w:r w:rsidR="00AD45EB">
        <w:rPr>
          <w:b/>
          <w:bCs/>
        </w:rPr>
        <w:t xml:space="preserve"> should</w:t>
      </w:r>
      <w:r w:rsidR="003E1704">
        <w:rPr>
          <w:b/>
          <w:bCs/>
        </w:rPr>
        <w:t xml:space="preserve"> </w:t>
      </w:r>
      <w:r w:rsidR="004C433A">
        <w:rPr>
          <w:b/>
          <w:bCs/>
        </w:rPr>
        <w:t>include PUR and unchanged PCI</w:t>
      </w:r>
      <w:r w:rsidR="00096BD6">
        <w:rPr>
          <w:b/>
          <w:bCs/>
        </w:rPr>
        <w:t>, in addition to anchor carrier switching</w:t>
      </w:r>
      <w:r w:rsidR="003E1704">
        <w:rPr>
          <w:b/>
          <w:bCs/>
        </w:rPr>
        <w:t>.</w:t>
      </w:r>
    </w:p>
    <w:p w14:paraId="69B7B8E6" w14:textId="277E040D" w:rsidR="009339CB" w:rsidRPr="00422E7A" w:rsidRDefault="008F2100" w:rsidP="009339CB">
      <w:pPr>
        <w:pStyle w:val="Heading1"/>
      </w:pPr>
      <w:r w:rsidRPr="00422E7A">
        <w:t>3</w:t>
      </w:r>
      <w:r w:rsidR="009339CB" w:rsidRPr="00422E7A">
        <w:tab/>
      </w:r>
      <w:r w:rsidR="009339CB" w:rsidRPr="00324CBB">
        <w:t>Conclusion</w:t>
      </w:r>
    </w:p>
    <w:p w14:paraId="6E24B0F4" w14:textId="55B1B906" w:rsidR="009339CB" w:rsidRPr="00422E7A" w:rsidRDefault="009339CB" w:rsidP="009339CB">
      <w:r w:rsidRPr="00422E7A">
        <w:t>This document has made the following observations:</w:t>
      </w:r>
    </w:p>
    <w:p w14:paraId="151E7437" w14:textId="77777777" w:rsidR="004B387E" w:rsidRPr="006C139B" w:rsidRDefault="004B387E" w:rsidP="004B387E">
      <w:pPr>
        <w:rPr>
          <w:b/>
          <w:bCs/>
        </w:rPr>
      </w:pPr>
      <w:r>
        <w:rPr>
          <w:b/>
          <w:bCs/>
        </w:rPr>
        <w:t>Observation 1: The TR 22.865 and TS 22.261 section 6.46.8 contain a list of store &amp; forward use cases and requirements.</w:t>
      </w:r>
    </w:p>
    <w:p w14:paraId="01FF9605" w14:textId="77777777" w:rsidR="0061695B" w:rsidRDefault="0061695B" w:rsidP="0061695B">
      <w:pPr>
        <w:rPr>
          <w:b/>
          <w:bCs/>
        </w:rPr>
      </w:pPr>
      <w:r>
        <w:rPr>
          <w:b/>
          <w:bCs/>
        </w:rPr>
        <w:t>Observation 2: PUR and EDT procedures are available in past releases, while orthogonal cover codes is a new approach.</w:t>
      </w:r>
    </w:p>
    <w:p w14:paraId="2D2E550F" w14:textId="77777777" w:rsidR="0061695B" w:rsidRPr="00B72FEF" w:rsidRDefault="0061695B" w:rsidP="0061695B">
      <w:pPr>
        <w:rPr>
          <w:b/>
          <w:bCs/>
        </w:rPr>
      </w:pPr>
      <w:r>
        <w:rPr>
          <w:b/>
          <w:bCs/>
        </w:rPr>
        <w:lastRenderedPageBreak/>
        <w:t>Observation 3: NB-IoT does not support RRC Connected UE mobility, while it is supported by eMTC.</w:t>
      </w:r>
    </w:p>
    <w:p w14:paraId="3BE72BE2" w14:textId="64E0A592" w:rsidR="009339CB" w:rsidRDefault="003B1D48" w:rsidP="009339CB">
      <w:pPr>
        <w:rPr>
          <w:bCs/>
        </w:rPr>
      </w:pPr>
      <w:r w:rsidRPr="00422E7A">
        <w:rPr>
          <w:bCs/>
        </w:rPr>
        <w:t>We</w:t>
      </w:r>
      <w:r w:rsidR="009339CB" w:rsidRPr="00422E7A">
        <w:rPr>
          <w:bCs/>
        </w:rPr>
        <w:t xml:space="preserve"> propose the following:</w:t>
      </w:r>
    </w:p>
    <w:p w14:paraId="76BA2829" w14:textId="77777777" w:rsidR="004B387E" w:rsidRDefault="004B387E" w:rsidP="004B387E">
      <w:pPr>
        <w:rPr>
          <w:b/>
          <w:bCs/>
        </w:rPr>
      </w:pPr>
      <w:r>
        <w:rPr>
          <w:b/>
          <w:bCs/>
        </w:rPr>
        <w:t xml:space="preserve">Proposal 1: Support of </w:t>
      </w:r>
      <w:proofErr w:type="spellStart"/>
      <w:r>
        <w:rPr>
          <w:b/>
          <w:bCs/>
        </w:rPr>
        <w:t>eNB</w:t>
      </w:r>
      <w:proofErr w:type="spellEnd"/>
      <w:r>
        <w:rPr>
          <w:b/>
          <w:bCs/>
        </w:rPr>
        <w:t xml:space="preserve"> on board the satellite shall be specified and, if needed, any S1 protocol enhancements (RAN3).</w:t>
      </w:r>
    </w:p>
    <w:p w14:paraId="5EA39EEF" w14:textId="77777777" w:rsidR="004B387E" w:rsidRPr="00856EC3" w:rsidRDefault="004B387E" w:rsidP="004B387E">
      <w:pPr>
        <w:rPr>
          <w:b/>
          <w:bCs/>
        </w:rPr>
      </w:pPr>
      <w:r>
        <w:rPr>
          <w:b/>
          <w:bCs/>
        </w:rPr>
        <w:t>Proposal 2</w:t>
      </w:r>
      <w:r w:rsidRPr="00856EC3">
        <w:rPr>
          <w:b/>
          <w:bCs/>
        </w:rPr>
        <w:t>:</w:t>
      </w:r>
      <w:r>
        <w:rPr>
          <w:b/>
          <w:bCs/>
        </w:rPr>
        <w:t xml:space="preserve"> The number of core network elements/functions on board the regenerative satellite shall be minimal. The specification work on regenerative satellite support shall be coordinated with SA2.</w:t>
      </w:r>
    </w:p>
    <w:p w14:paraId="7D0AB9E2" w14:textId="77777777" w:rsidR="004B387E" w:rsidRDefault="004B387E" w:rsidP="004B387E">
      <w:pPr>
        <w:rPr>
          <w:b/>
          <w:bCs/>
        </w:rPr>
      </w:pPr>
      <w:r>
        <w:rPr>
          <w:b/>
          <w:bCs/>
        </w:rPr>
        <w:t xml:space="preserve">Proposal 3: Specify RAN aspects to support store &amp; forward operation including enhancements for RRC Connection setup, RRC connection resume, handling of user plane data and application layer feedback delays, and data storage and forward policies. </w:t>
      </w:r>
    </w:p>
    <w:p w14:paraId="34FEF775" w14:textId="77777777" w:rsidR="004B387E" w:rsidRDefault="004B387E" w:rsidP="004B387E">
      <w:pPr>
        <w:rPr>
          <w:b/>
          <w:bCs/>
        </w:rPr>
      </w:pPr>
      <w:r>
        <w:rPr>
          <w:b/>
          <w:bCs/>
        </w:rPr>
        <w:t>Proposal 4: The specification for high-power UEs is within RAN4 scope, which is to be decided later.</w:t>
      </w:r>
    </w:p>
    <w:p w14:paraId="68B0A8FB" w14:textId="77777777" w:rsidR="0061695B" w:rsidRPr="000B3C76" w:rsidRDefault="0061695B" w:rsidP="0061695B">
      <w:pPr>
        <w:rPr>
          <w:b/>
          <w:bCs/>
        </w:rPr>
      </w:pPr>
      <w:r w:rsidRPr="00B55DBC">
        <w:rPr>
          <w:b/>
          <w:bCs/>
        </w:rPr>
        <w:t>Proposal</w:t>
      </w:r>
      <w:r>
        <w:rPr>
          <w:b/>
          <w:bCs/>
        </w:rPr>
        <w:t xml:space="preserve"> 5</w:t>
      </w:r>
      <w:r w:rsidRPr="00B55DBC">
        <w:rPr>
          <w:b/>
          <w:bCs/>
        </w:rPr>
        <w:t>: TSG RAN to explore whether there is a real need for expanding the user multiplexing capacity prior to looking into solutions for this specific topic.</w:t>
      </w:r>
    </w:p>
    <w:p w14:paraId="3126FCBF" w14:textId="77777777" w:rsidR="0061695B" w:rsidRPr="00277D0D" w:rsidRDefault="0061695B" w:rsidP="0061695B">
      <w:pPr>
        <w:rPr>
          <w:b/>
          <w:bCs/>
        </w:rPr>
      </w:pPr>
      <w:r>
        <w:rPr>
          <w:b/>
          <w:bCs/>
        </w:rPr>
        <w:t>Proposal 6: TSG RAN to consider specifying configuration of PUR in one cell to be applicable in another NTN cell.</w:t>
      </w:r>
    </w:p>
    <w:p w14:paraId="7F2EEC9B" w14:textId="77777777" w:rsidR="0061695B" w:rsidRPr="00202EC5" w:rsidRDefault="0061695B" w:rsidP="0061695B">
      <w:pPr>
        <w:rPr>
          <w:b/>
          <w:bCs/>
        </w:rPr>
      </w:pPr>
      <w:r>
        <w:rPr>
          <w:b/>
          <w:bCs/>
        </w:rPr>
        <w:t>Proposal 7: If RRC Connected mode mobility for NB-IoT is deemed necessary by TSG RAN, the mobility solutions to study should include PUR and unchanged PCI, in addition to anchor carrier switching.</w:t>
      </w:r>
    </w:p>
    <w:p w14:paraId="4C540EE0" w14:textId="77777777" w:rsidR="004B387E" w:rsidRDefault="004B387E" w:rsidP="00CA6997">
      <w:pPr>
        <w:rPr>
          <w:b/>
          <w:bCs/>
        </w:rPr>
      </w:pPr>
    </w:p>
    <w:p w14:paraId="5C28AE9F" w14:textId="77777777" w:rsidR="004B387E" w:rsidRDefault="004B387E" w:rsidP="00CA6997">
      <w:pPr>
        <w:rPr>
          <w:b/>
          <w:bCs/>
        </w:rPr>
      </w:pPr>
    </w:p>
    <w:p w14:paraId="71183027" w14:textId="5B59289E" w:rsidR="00C518D6" w:rsidRDefault="00C518D6" w:rsidP="00C518D6">
      <w:pPr>
        <w:pStyle w:val="Heading1"/>
      </w:pPr>
      <w:r w:rsidRPr="00457844">
        <w:t>References</w:t>
      </w:r>
    </w:p>
    <w:p w14:paraId="35F222F4" w14:textId="7A165AD6" w:rsidR="00080512" w:rsidRPr="005D69B8" w:rsidRDefault="00766A6D" w:rsidP="00324CBB">
      <w:pPr>
        <w:pStyle w:val="ListParagraph"/>
        <w:numPr>
          <w:ilvl w:val="0"/>
          <w:numId w:val="11"/>
        </w:numPr>
      </w:pPr>
      <w:bookmarkStart w:id="0" w:name="_Ref104621617"/>
      <w:bookmarkStart w:id="1" w:name="_Ref120795407"/>
      <w:r w:rsidRPr="005D69B8">
        <w:t>RP-</w:t>
      </w:r>
      <w:bookmarkEnd w:id="0"/>
      <w:bookmarkEnd w:id="1"/>
      <w:r w:rsidR="00085178">
        <w:t>233457</w:t>
      </w:r>
      <w:r w:rsidR="002F3C2D" w:rsidRPr="005D69B8">
        <w:t>, “</w:t>
      </w:r>
      <w:r w:rsidR="00B622CC" w:rsidRPr="0010152A">
        <w:rPr>
          <w:szCs w:val="16"/>
        </w:rPr>
        <w:t>Release 19 NR NTN WI objectives</w:t>
      </w:r>
      <w:r w:rsidR="002F3C2D" w:rsidRPr="005D69B8">
        <w:t>”</w:t>
      </w:r>
      <w:r w:rsidR="00B622CC" w:rsidRPr="005D69B8">
        <w:t xml:space="preserve">, Nokia, </w:t>
      </w:r>
      <w:r w:rsidR="00192352" w:rsidRPr="005D69B8">
        <w:t>3GPP TSG-RAN Meeting #102</w:t>
      </w:r>
      <w:r w:rsidR="005D69B8">
        <w:t>, December 2023</w:t>
      </w:r>
    </w:p>
    <w:sectPr w:rsidR="00080512" w:rsidRPr="005D69B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57CEF" w14:textId="77777777" w:rsidR="0050743D" w:rsidRDefault="0050743D">
      <w:r>
        <w:separator/>
      </w:r>
    </w:p>
  </w:endnote>
  <w:endnote w:type="continuationSeparator" w:id="0">
    <w:p w14:paraId="7DE4B87D" w14:textId="77777777" w:rsidR="0050743D" w:rsidRDefault="0050743D">
      <w:r>
        <w:continuationSeparator/>
      </w:r>
    </w:p>
  </w:endnote>
  <w:endnote w:type="continuationNotice" w:id="1">
    <w:p w14:paraId="27D6DFFD" w14:textId="77777777" w:rsidR="0050743D" w:rsidRDefault="00507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47FC" w14:textId="77777777" w:rsidR="0050743D" w:rsidRDefault="0050743D">
      <w:r>
        <w:separator/>
      </w:r>
    </w:p>
  </w:footnote>
  <w:footnote w:type="continuationSeparator" w:id="0">
    <w:p w14:paraId="1294DC71" w14:textId="77777777" w:rsidR="0050743D" w:rsidRDefault="0050743D">
      <w:r>
        <w:continuationSeparator/>
      </w:r>
    </w:p>
  </w:footnote>
  <w:footnote w:type="continuationNotice" w:id="1">
    <w:p w14:paraId="7FD57954" w14:textId="77777777" w:rsidR="0050743D" w:rsidRDefault="00507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A5781A"/>
    <w:multiLevelType w:val="hybridMultilevel"/>
    <w:tmpl w:val="83DC0B7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D7874"/>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E4B7446"/>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BB3540"/>
    <w:multiLevelType w:val="hybridMultilevel"/>
    <w:tmpl w:val="102CDCFC"/>
    <w:lvl w:ilvl="0" w:tplc="0380A9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1657A4"/>
    <w:multiLevelType w:val="hybridMultilevel"/>
    <w:tmpl w:val="EE50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050800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0882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696225">
    <w:abstractNumId w:val="1"/>
  </w:num>
  <w:num w:numId="4" w16cid:durableId="1672416930">
    <w:abstractNumId w:val="7"/>
  </w:num>
  <w:num w:numId="5" w16cid:durableId="1592934405">
    <w:abstractNumId w:val="6"/>
  </w:num>
  <w:num w:numId="6" w16cid:durableId="1370109735">
    <w:abstractNumId w:val="10"/>
  </w:num>
  <w:num w:numId="7" w16cid:durableId="2008432872">
    <w:abstractNumId w:val="11"/>
  </w:num>
  <w:num w:numId="8" w16cid:durableId="1810056461">
    <w:abstractNumId w:val="15"/>
  </w:num>
  <w:num w:numId="9" w16cid:durableId="971711078">
    <w:abstractNumId w:val="13"/>
  </w:num>
  <w:num w:numId="10" w16cid:durableId="1199124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0118042">
    <w:abstractNumId w:val="12"/>
  </w:num>
  <w:num w:numId="12" w16cid:durableId="3985278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5632190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005743808">
    <w:abstractNumId w:val="3"/>
  </w:num>
  <w:num w:numId="15" w16cid:durableId="867763988">
    <w:abstractNumId w:val="8"/>
  </w:num>
  <w:num w:numId="16" w16cid:durableId="1466200217">
    <w:abstractNumId w:val="9"/>
  </w:num>
  <w:num w:numId="17" w16cid:durableId="1604144760">
    <w:abstractNumId w:val="4"/>
  </w:num>
  <w:num w:numId="18" w16cid:durableId="743065926">
    <w:abstractNumId w:val="14"/>
  </w:num>
  <w:num w:numId="19" w16cid:durableId="742533561">
    <w:abstractNumId w:val="2"/>
  </w:num>
  <w:num w:numId="20" w16cid:durableId="1371148412">
    <w:abstractNumId w:val="5"/>
  </w:num>
  <w:num w:numId="21" w16cid:durableId="2113351465">
    <w:abstractNumId w:val="16"/>
  </w:num>
  <w:num w:numId="22" w16cid:durableId="260919270">
    <w:abstractNumId w:val="14"/>
  </w:num>
  <w:num w:numId="23" w16cid:durableId="1482383155">
    <w:abstractNumId w:val="2"/>
  </w:num>
  <w:num w:numId="24" w16cid:durableId="1950236661">
    <w:abstractNumId w:val="14"/>
  </w:num>
  <w:num w:numId="25" w16cid:durableId="984551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C2"/>
    <w:rsid w:val="00004670"/>
    <w:rsid w:val="000055D2"/>
    <w:rsid w:val="00010FEA"/>
    <w:rsid w:val="000140E9"/>
    <w:rsid w:val="00016557"/>
    <w:rsid w:val="00017B65"/>
    <w:rsid w:val="0002073F"/>
    <w:rsid w:val="00023C40"/>
    <w:rsid w:val="0002461C"/>
    <w:rsid w:val="00024627"/>
    <w:rsid w:val="00024C6B"/>
    <w:rsid w:val="0002576B"/>
    <w:rsid w:val="00026E7E"/>
    <w:rsid w:val="00027E43"/>
    <w:rsid w:val="00030B96"/>
    <w:rsid w:val="00033397"/>
    <w:rsid w:val="000348EB"/>
    <w:rsid w:val="00034E2A"/>
    <w:rsid w:val="000365A4"/>
    <w:rsid w:val="00040095"/>
    <w:rsid w:val="000407AB"/>
    <w:rsid w:val="000426C4"/>
    <w:rsid w:val="00044812"/>
    <w:rsid w:val="000449B6"/>
    <w:rsid w:val="000459F4"/>
    <w:rsid w:val="00051B6C"/>
    <w:rsid w:val="00053D44"/>
    <w:rsid w:val="000543F9"/>
    <w:rsid w:val="00055F37"/>
    <w:rsid w:val="00057E33"/>
    <w:rsid w:val="00061B43"/>
    <w:rsid w:val="00061EB4"/>
    <w:rsid w:val="00063E75"/>
    <w:rsid w:val="000647B9"/>
    <w:rsid w:val="00065268"/>
    <w:rsid w:val="00066FF4"/>
    <w:rsid w:val="000678BB"/>
    <w:rsid w:val="00067FE3"/>
    <w:rsid w:val="00073C9C"/>
    <w:rsid w:val="000747F0"/>
    <w:rsid w:val="00074956"/>
    <w:rsid w:val="00075055"/>
    <w:rsid w:val="00075F59"/>
    <w:rsid w:val="000762D0"/>
    <w:rsid w:val="00076412"/>
    <w:rsid w:val="00080309"/>
    <w:rsid w:val="00080512"/>
    <w:rsid w:val="00083405"/>
    <w:rsid w:val="00085178"/>
    <w:rsid w:val="00086072"/>
    <w:rsid w:val="0008615B"/>
    <w:rsid w:val="00090468"/>
    <w:rsid w:val="00094568"/>
    <w:rsid w:val="000945D6"/>
    <w:rsid w:val="000949DB"/>
    <w:rsid w:val="00096BD6"/>
    <w:rsid w:val="00097000"/>
    <w:rsid w:val="000A1109"/>
    <w:rsid w:val="000A2C09"/>
    <w:rsid w:val="000A357D"/>
    <w:rsid w:val="000A3912"/>
    <w:rsid w:val="000A40D4"/>
    <w:rsid w:val="000B16A7"/>
    <w:rsid w:val="000B1791"/>
    <w:rsid w:val="000B2475"/>
    <w:rsid w:val="000B295B"/>
    <w:rsid w:val="000B3C76"/>
    <w:rsid w:val="000B5609"/>
    <w:rsid w:val="000B57CD"/>
    <w:rsid w:val="000B7BCF"/>
    <w:rsid w:val="000C0153"/>
    <w:rsid w:val="000C06F6"/>
    <w:rsid w:val="000C14BC"/>
    <w:rsid w:val="000C17E7"/>
    <w:rsid w:val="000C2A4A"/>
    <w:rsid w:val="000C2D75"/>
    <w:rsid w:val="000C2FCB"/>
    <w:rsid w:val="000C3808"/>
    <w:rsid w:val="000C3C7E"/>
    <w:rsid w:val="000C522B"/>
    <w:rsid w:val="000C5A0D"/>
    <w:rsid w:val="000D24A7"/>
    <w:rsid w:val="000D448D"/>
    <w:rsid w:val="000D4CA5"/>
    <w:rsid w:val="000D58AB"/>
    <w:rsid w:val="000E1D74"/>
    <w:rsid w:val="000E60FB"/>
    <w:rsid w:val="000F1251"/>
    <w:rsid w:val="000F2043"/>
    <w:rsid w:val="000F4D51"/>
    <w:rsid w:val="000F5AB8"/>
    <w:rsid w:val="000F7A34"/>
    <w:rsid w:val="0010152A"/>
    <w:rsid w:val="00104234"/>
    <w:rsid w:val="00110A55"/>
    <w:rsid w:val="00111706"/>
    <w:rsid w:val="00112F1A"/>
    <w:rsid w:val="00120D84"/>
    <w:rsid w:val="001215A1"/>
    <w:rsid w:val="001266FE"/>
    <w:rsid w:val="00126D3B"/>
    <w:rsid w:val="0013122E"/>
    <w:rsid w:val="00131E96"/>
    <w:rsid w:val="0013643D"/>
    <w:rsid w:val="001415EC"/>
    <w:rsid w:val="00141A7B"/>
    <w:rsid w:val="00143A4B"/>
    <w:rsid w:val="00144D85"/>
    <w:rsid w:val="00145075"/>
    <w:rsid w:val="001516D9"/>
    <w:rsid w:val="00156C88"/>
    <w:rsid w:val="00163BAB"/>
    <w:rsid w:val="001662E1"/>
    <w:rsid w:val="00166A60"/>
    <w:rsid w:val="00170354"/>
    <w:rsid w:val="00173DCB"/>
    <w:rsid w:val="001741A0"/>
    <w:rsid w:val="00175FA0"/>
    <w:rsid w:val="00177614"/>
    <w:rsid w:val="001805EC"/>
    <w:rsid w:val="00184605"/>
    <w:rsid w:val="00187FE7"/>
    <w:rsid w:val="00190CCE"/>
    <w:rsid w:val="00192352"/>
    <w:rsid w:val="00192559"/>
    <w:rsid w:val="00192DC9"/>
    <w:rsid w:val="00193A54"/>
    <w:rsid w:val="00194254"/>
    <w:rsid w:val="00194ADB"/>
    <w:rsid w:val="00194CD0"/>
    <w:rsid w:val="00195948"/>
    <w:rsid w:val="00197EFF"/>
    <w:rsid w:val="001A56D3"/>
    <w:rsid w:val="001A6A42"/>
    <w:rsid w:val="001A761F"/>
    <w:rsid w:val="001B1365"/>
    <w:rsid w:val="001B2CDA"/>
    <w:rsid w:val="001B348E"/>
    <w:rsid w:val="001B393F"/>
    <w:rsid w:val="001B498C"/>
    <w:rsid w:val="001B49C9"/>
    <w:rsid w:val="001B511D"/>
    <w:rsid w:val="001B5B63"/>
    <w:rsid w:val="001B6026"/>
    <w:rsid w:val="001B7109"/>
    <w:rsid w:val="001C1900"/>
    <w:rsid w:val="001C198D"/>
    <w:rsid w:val="001C19FE"/>
    <w:rsid w:val="001C23F4"/>
    <w:rsid w:val="001C2415"/>
    <w:rsid w:val="001C4F79"/>
    <w:rsid w:val="001D2293"/>
    <w:rsid w:val="001D3305"/>
    <w:rsid w:val="001D5789"/>
    <w:rsid w:val="001D5B6D"/>
    <w:rsid w:val="001E0A39"/>
    <w:rsid w:val="001E0EE6"/>
    <w:rsid w:val="001E2B2D"/>
    <w:rsid w:val="001E3CE2"/>
    <w:rsid w:val="001E58F9"/>
    <w:rsid w:val="001F07F8"/>
    <w:rsid w:val="001F099D"/>
    <w:rsid w:val="001F168B"/>
    <w:rsid w:val="001F4FBD"/>
    <w:rsid w:val="001F7831"/>
    <w:rsid w:val="001F78E2"/>
    <w:rsid w:val="001F7E75"/>
    <w:rsid w:val="0020060F"/>
    <w:rsid w:val="00200930"/>
    <w:rsid w:val="0020221B"/>
    <w:rsid w:val="00202EC5"/>
    <w:rsid w:val="00204045"/>
    <w:rsid w:val="002043EF"/>
    <w:rsid w:val="002069F7"/>
    <w:rsid w:val="0020712B"/>
    <w:rsid w:val="0021005B"/>
    <w:rsid w:val="00210C9A"/>
    <w:rsid w:val="0021210D"/>
    <w:rsid w:val="0021370F"/>
    <w:rsid w:val="0022017C"/>
    <w:rsid w:val="0022249D"/>
    <w:rsid w:val="00223E81"/>
    <w:rsid w:val="0022606D"/>
    <w:rsid w:val="00227E8C"/>
    <w:rsid w:val="00231728"/>
    <w:rsid w:val="00231E38"/>
    <w:rsid w:val="00234DBE"/>
    <w:rsid w:val="00236C3C"/>
    <w:rsid w:val="00237C81"/>
    <w:rsid w:val="002402DA"/>
    <w:rsid w:val="002438EB"/>
    <w:rsid w:val="0024392C"/>
    <w:rsid w:val="00244A05"/>
    <w:rsid w:val="00250404"/>
    <w:rsid w:val="002519FC"/>
    <w:rsid w:val="00253B5D"/>
    <w:rsid w:val="00255202"/>
    <w:rsid w:val="00255213"/>
    <w:rsid w:val="00256644"/>
    <w:rsid w:val="00256B74"/>
    <w:rsid w:val="002609A9"/>
    <w:rsid w:val="002610D8"/>
    <w:rsid w:val="00263F10"/>
    <w:rsid w:val="002653CA"/>
    <w:rsid w:val="002747EC"/>
    <w:rsid w:val="00274BA5"/>
    <w:rsid w:val="00275801"/>
    <w:rsid w:val="00277D0D"/>
    <w:rsid w:val="00282621"/>
    <w:rsid w:val="00283DF5"/>
    <w:rsid w:val="0028421C"/>
    <w:rsid w:val="002855BF"/>
    <w:rsid w:val="002908D8"/>
    <w:rsid w:val="00292EFB"/>
    <w:rsid w:val="002967C5"/>
    <w:rsid w:val="00297F19"/>
    <w:rsid w:val="002A3207"/>
    <w:rsid w:val="002A3A86"/>
    <w:rsid w:val="002A548E"/>
    <w:rsid w:val="002A6C24"/>
    <w:rsid w:val="002B16F9"/>
    <w:rsid w:val="002B1C74"/>
    <w:rsid w:val="002B2988"/>
    <w:rsid w:val="002B3886"/>
    <w:rsid w:val="002B42AA"/>
    <w:rsid w:val="002B60FF"/>
    <w:rsid w:val="002C051C"/>
    <w:rsid w:val="002C1127"/>
    <w:rsid w:val="002C2183"/>
    <w:rsid w:val="002C2224"/>
    <w:rsid w:val="002C30C8"/>
    <w:rsid w:val="002C4557"/>
    <w:rsid w:val="002C60EF"/>
    <w:rsid w:val="002C6DD6"/>
    <w:rsid w:val="002D0269"/>
    <w:rsid w:val="002D27E4"/>
    <w:rsid w:val="002D3DC3"/>
    <w:rsid w:val="002D4979"/>
    <w:rsid w:val="002D4E05"/>
    <w:rsid w:val="002E1CE1"/>
    <w:rsid w:val="002E233A"/>
    <w:rsid w:val="002E3015"/>
    <w:rsid w:val="002E3BC5"/>
    <w:rsid w:val="002E497B"/>
    <w:rsid w:val="002F0D22"/>
    <w:rsid w:val="002F2E0B"/>
    <w:rsid w:val="002F2FCE"/>
    <w:rsid w:val="002F3C2D"/>
    <w:rsid w:val="002F6268"/>
    <w:rsid w:val="002F6585"/>
    <w:rsid w:val="002F6790"/>
    <w:rsid w:val="00302529"/>
    <w:rsid w:val="00304589"/>
    <w:rsid w:val="00304ED1"/>
    <w:rsid w:val="00307CF1"/>
    <w:rsid w:val="00311B17"/>
    <w:rsid w:val="00313190"/>
    <w:rsid w:val="003133A2"/>
    <w:rsid w:val="003152EA"/>
    <w:rsid w:val="003154E5"/>
    <w:rsid w:val="0031576D"/>
    <w:rsid w:val="003172DC"/>
    <w:rsid w:val="00317C32"/>
    <w:rsid w:val="0032206E"/>
    <w:rsid w:val="0032357C"/>
    <w:rsid w:val="00324CBB"/>
    <w:rsid w:val="00325AE3"/>
    <w:rsid w:val="00326069"/>
    <w:rsid w:val="0032752C"/>
    <w:rsid w:val="00330A41"/>
    <w:rsid w:val="00332CA9"/>
    <w:rsid w:val="00334E80"/>
    <w:rsid w:val="00336583"/>
    <w:rsid w:val="00336901"/>
    <w:rsid w:val="00336A29"/>
    <w:rsid w:val="00337661"/>
    <w:rsid w:val="00344403"/>
    <w:rsid w:val="00347FED"/>
    <w:rsid w:val="003519DB"/>
    <w:rsid w:val="00351D50"/>
    <w:rsid w:val="0035258C"/>
    <w:rsid w:val="00353553"/>
    <w:rsid w:val="0035462D"/>
    <w:rsid w:val="00356B92"/>
    <w:rsid w:val="00360F35"/>
    <w:rsid w:val="0036261E"/>
    <w:rsid w:val="0036303D"/>
    <w:rsid w:val="0036459E"/>
    <w:rsid w:val="00364B41"/>
    <w:rsid w:val="00367FCD"/>
    <w:rsid w:val="00370264"/>
    <w:rsid w:val="00370DF7"/>
    <w:rsid w:val="00372891"/>
    <w:rsid w:val="0037343C"/>
    <w:rsid w:val="00382581"/>
    <w:rsid w:val="00383096"/>
    <w:rsid w:val="00387E4E"/>
    <w:rsid w:val="0039123C"/>
    <w:rsid w:val="0039346C"/>
    <w:rsid w:val="00393A9C"/>
    <w:rsid w:val="003955C2"/>
    <w:rsid w:val="003962F6"/>
    <w:rsid w:val="003A2F39"/>
    <w:rsid w:val="003A333C"/>
    <w:rsid w:val="003A41EF"/>
    <w:rsid w:val="003A43F0"/>
    <w:rsid w:val="003A43F3"/>
    <w:rsid w:val="003A449B"/>
    <w:rsid w:val="003A4F90"/>
    <w:rsid w:val="003A5799"/>
    <w:rsid w:val="003A5DBA"/>
    <w:rsid w:val="003A6CF8"/>
    <w:rsid w:val="003A7FD8"/>
    <w:rsid w:val="003B024B"/>
    <w:rsid w:val="003B1D48"/>
    <w:rsid w:val="003B235E"/>
    <w:rsid w:val="003B40AD"/>
    <w:rsid w:val="003C064B"/>
    <w:rsid w:val="003C2A96"/>
    <w:rsid w:val="003C4E37"/>
    <w:rsid w:val="003C51C1"/>
    <w:rsid w:val="003C63EA"/>
    <w:rsid w:val="003C6714"/>
    <w:rsid w:val="003C682A"/>
    <w:rsid w:val="003C7812"/>
    <w:rsid w:val="003D4159"/>
    <w:rsid w:val="003D7CD9"/>
    <w:rsid w:val="003E15B2"/>
    <w:rsid w:val="003E16BE"/>
    <w:rsid w:val="003E1704"/>
    <w:rsid w:val="003E1E6E"/>
    <w:rsid w:val="003E7B93"/>
    <w:rsid w:val="003F029D"/>
    <w:rsid w:val="003F0BD2"/>
    <w:rsid w:val="003F2ABA"/>
    <w:rsid w:val="003F3243"/>
    <w:rsid w:val="003F4E28"/>
    <w:rsid w:val="003F5F2A"/>
    <w:rsid w:val="003F6FD6"/>
    <w:rsid w:val="004006E8"/>
    <w:rsid w:val="00401855"/>
    <w:rsid w:val="00401FB7"/>
    <w:rsid w:val="00404C27"/>
    <w:rsid w:val="00405864"/>
    <w:rsid w:val="004063E9"/>
    <w:rsid w:val="00406459"/>
    <w:rsid w:val="00413D1D"/>
    <w:rsid w:val="00414503"/>
    <w:rsid w:val="00417235"/>
    <w:rsid w:val="00421B2E"/>
    <w:rsid w:val="00421D34"/>
    <w:rsid w:val="00422E7A"/>
    <w:rsid w:val="00425CD6"/>
    <w:rsid w:val="004276D8"/>
    <w:rsid w:val="00427A72"/>
    <w:rsid w:val="0043001A"/>
    <w:rsid w:val="0043182C"/>
    <w:rsid w:val="0043281D"/>
    <w:rsid w:val="004334DF"/>
    <w:rsid w:val="00433E78"/>
    <w:rsid w:val="00434168"/>
    <w:rsid w:val="004361CF"/>
    <w:rsid w:val="004365CF"/>
    <w:rsid w:val="00436652"/>
    <w:rsid w:val="004417C9"/>
    <w:rsid w:val="00442EEE"/>
    <w:rsid w:val="00446C3A"/>
    <w:rsid w:val="00446C89"/>
    <w:rsid w:val="00452BAD"/>
    <w:rsid w:val="00454B10"/>
    <w:rsid w:val="00457844"/>
    <w:rsid w:val="004612E4"/>
    <w:rsid w:val="00465587"/>
    <w:rsid w:val="004656F0"/>
    <w:rsid w:val="0046598F"/>
    <w:rsid w:val="004678EA"/>
    <w:rsid w:val="00470735"/>
    <w:rsid w:val="004756D4"/>
    <w:rsid w:val="00477455"/>
    <w:rsid w:val="004815BE"/>
    <w:rsid w:val="0048298C"/>
    <w:rsid w:val="00482B96"/>
    <w:rsid w:val="00482DAA"/>
    <w:rsid w:val="0048342F"/>
    <w:rsid w:val="00484C9F"/>
    <w:rsid w:val="00485571"/>
    <w:rsid w:val="00487FA4"/>
    <w:rsid w:val="00492112"/>
    <w:rsid w:val="00494FB5"/>
    <w:rsid w:val="0049502C"/>
    <w:rsid w:val="00495697"/>
    <w:rsid w:val="004A0A93"/>
    <w:rsid w:val="004A1F7B"/>
    <w:rsid w:val="004A2546"/>
    <w:rsid w:val="004A2FAD"/>
    <w:rsid w:val="004A4CFB"/>
    <w:rsid w:val="004A643B"/>
    <w:rsid w:val="004B13F5"/>
    <w:rsid w:val="004B387E"/>
    <w:rsid w:val="004C24FA"/>
    <w:rsid w:val="004C39AA"/>
    <w:rsid w:val="004C3A25"/>
    <w:rsid w:val="004C433A"/>
    <w:rsid w:val="004C44D2"/>
    <w:rsid w:val="004C59D2"/>
    <w:rsid w:val="004D15B9"/>
    <w:rsid w:val="004D330C"/>
    <w:rsid w:val="004D3578"/>
    <w:rsid w:val="004D380D"/>
    <w:rsid w:val="004D6636"/>
    <w:rsid w:val="004E213A"/>
    <w:rsid w:val="004E2728"/>
    <w:rsid w:val="004E2D0B"/>
    <w:rsid w:val="004F0234"/>
    <w:rsid w:val="004F0C68"/>
    <w:rsid w:val="004F1D26"/>
    <w:rsid w:val="004F4540"/>
    <w:rsid w:val="004F583A"/>
    <w:rsid w:val="004F6BB3"/>
    <w:rsid w:val="004F714E"/>
    <w:rsid w:val="004F73A7"/>
    <w:rsid w:val="00500DC4"/>
    <w:rsid w:val="005019C2"/>
    <w:rsid w:val="00503171"/>
    <w:rsid w:val="00503BD7"/>
    <w:rsid w:val="00505927"/>
    <w:rsid w:val="00505E18"/>
    <w:rsid w:val="00506792"/>
    <w:rsid w:val="00506C28"/>
    <w:rsid w:val="0050743D"/>
    <w:rsid w:val="00507D55"/>
    <w:rsid w:val="0051298F"/>
    <w:rsid w:val="005138C5"/>
    <w:rsid w:val="005222F0"/>
    <w:rsid w:val="00523C9D"/>
    <w:rsid w:val="00524024"/>
    <w:rsid w:val="005246E0"/>
    <w:rsid w:val="00524D3C"/>
    <w:rsid w:val="005257FC"/>
    <w:rsid w:val="00527C4E"/>
    <w:rsid w:val="00532995"/>
    <w:rsid w:val="00534DA0"/>
    <w:rsid w:val="0053550B"/>
    <w:rsid w:val="005377DF"/>
    <w:rsid w:val="00541836"/>
    <w:rsid w:val="00542EA8"/>
    <w:rsid w:val="00543E6C"/>
    <w:rsid w:val="00544951"/>
    <w:rsid w:val="00551A46"/>
    <w:rsid w:val="005537E2"/>
    <w:rsid w:val="005575E2"/>
    <w:rsid w:val="00560797"/>
    <w:rsid w:val="00560E44"/>
    <w:rsid w:val="005614C8"/>
    <w:rsid w:val="005646B2"/>
    <w:rsid w:val="00564E55"/>
    <w:rsid w:val="00564F6D"/>
    <w:rsid w:val="00565087"/>
    <w:rsid w:val="0056573F"/>
    <w:rsid w:val="00571279"/>
    <w:rsid w:val="00571620"/>
    <w:rsid w:val="005759DB"/>
    <w:rsid w:val="0058016D"/>
    <w:rsid w:val="00582753"/>
    <w:rsid w:val="00585FD0"/>
    <w:rsid w:val="0059210D"/>
    <w:rsid w:val="005930C0"/>
    <w:rsid w:val="00595D2E"/>
    <w:rsid w:val="00595F59"/>
    <w:rsid w:val="0059699E"/>
    <w:rsid w:val="005A49C6"/>
    <w:rsid w:val="005A634C"/>
    <w:rsid w:val="005A690D"/>
    <w:rsid w:val="005A6AB6"/>
    <w:rsid w:val="005A780E"/>
    <w:rsid w:val="005B2BDC"/>
    <w:rsid w:val="005B3413"/>
    <w:rsid w:val="005B55F5"/>
    <w:rsid w:val="005B75AA"/>
    <w:rsid w:val="005C08B0"/>
    <w:rsid w:val="005C0C72"/>
    <w:rsid w:val="005C6DCD"/>
    <w:rsid w:val="005C7608"/>
    <w:rsid w:val="005C766E"/>
    <w:rsid w:val="005C7CD5"/>
    <w:rsid w:val="005D1D0E"/>
    <w:rsid w:val="005D6979"/>
    <w:rsid w:val="005D69B8"/>
    <w:rsid w:val="005E0110"/>
    <w:rsid w:val="005E1C90"/>
    <w:rsid w:val="005E2D14"/>
    <w:rsid w:val="005E312D"/>
    <w:rsid w:val="005E33F2"/>
    <w:rsid w:val="005E6970"/>
    <w:rsid w:val="005E7690"/>
    <w:rsid w:val="005F2887"/>
    <w:rsid w:val="005F3778"/>
    <w:rsid w:val="005F5391"/>
    <w:rsid w:val="005F5D49"/>
    <w:rsid w:val="005F6C64"/>
    <w:rsid w:val="005F7BB6"/>
    <w:rsid w:val="00601957"/>
    <w:rsid w:val="00602E64"/>
    <w:rsid w:val="00602EBC"/>
    <w:rsid w:val="006054C7"/>
    <w:rsid w:val="0060556C"/>
    <w:rsid w:val="00605E17"/>
    <w:rsid w:val="006104BB"/>
    <w:rsid w:val="00610890"/>
    <w:rsid w:val="00611566"/>
    <w:rsid w:val="0061248C"/>
    <w:rsid w:val="0061289F"/>
    <w:rsid w:val="00612966"/>
    <w:rsid w:val="00612B1C"/>
    <w:rsid w:val="00612B44"/>
    <w:rsid w:val="0061695B"/>
    <w:rsid w:val="00620FC1"/>
    <w:rsid w:val="006218B9"/>
    <w:rsid w:val="00621951"/>
    <w:rsid w:val="00622ABC"/>
    <w:rsid w:val="0062338E"/>
    <w:rsid w:val="0062493E"/>
    <w:rsid w:val="00626F13"/>
    <w:rsid w:val="00627A06"/>
    <w:rsid w:val="0063063B"/>
    <w:rsid w:val="00631395"/>
    <w:rsid w:val="00637A27"/>
    <w:rsid w:val="00641732"/>
    <w:rsid w:val="00643731"/>
    <w:rsid w:val="006437C5"/>
    <w:rsid w:val="006450F3"/>
    <w:rsid w:val="00646D99"/>
    <w:rsid w:val="00651694"/>
    <w:rsid w:val="0065244C"/>
    <w:rsid w:val="006552D7"/>
    <w:rsid w:val="006561FD"/>
    <w:rsid w:val="00656747"/>
    <w:rsid w:val="00656910"/>
    <w:rsid w:val="00656A54"/>
    <w:rsid w:val="00656D6C"/>
    <w:rsid w:val="006574C0"/>
    <w:rsid w:val="00657B60"/>
    <w:rsid w:val="00665A44"/>
    <w:rsid w:val="00666010"/>
    <w:rsid w:val="00667AA3"/>
    <w:rsid w:val="00672815"/>
    <w:rsid w:val="006763E0"/>
    <w:rsid w:val="00684366"/>
    <w:rsid w:val="0069064F"/>
    <w:rsid w:val="00692BF1"/>
    <w:rsid w:val="00693F38"/>
    <w:rsid w:val="00694278"/>
    <w:rsid w:val="006944C2"/>
    <w:rsid w:val="00695B10"/>
    <w:rsid w:val="00696821"/>
    <w:rsid w:val="006A5421"/>
    <w:rsid w:val="006A5B0C"/>
    <w:rsid w:val="006B1B83"/>
    <w:rsid w:val="006B3BD9"/>
    <w:rsid w:val="006B5C07"/>
    <w:rsid w:val="006B6D01"/>
    <w:rsid w:val="006B7807"/>
    <w:rsid w:val="006C139B"/>
    <w:rsid w:val="006C1E6C"/>
    <w:rsid w:val="006C4AEE"/>
    <w:rsid w:val="006C4BBE"/>
    <w:rsid w:val="006C66D8"/>
    <w:rsid w:val="006D1E24"/>
    <w:rsid w:val="006D2B77"/>
    <w:rsid w:val="006D35DE"/>
    <w:rsid w:val="006E1057"/>
    <w:rsid w:val="006E1417"/>
    <w:rsid w:val="006E40F2"/>
    <w:rsid w:val="006E75BB"/>
    <w:rsid w:val="006E75DB"/>
    <w:rsid w:val="006F1A5B"/>
    <w:rsid w:val="006F20ED"/>
    <w:rsid w:val="006F4360"/>
    <w:rsid w:val="006F6A2C"/>
    <w:rsid w:val="007010E7"/>
    <w:rsid w:val="0070127D"/>
    <w:rsid w:val="007017A6"/>
    <w:rsid w:val="007023A8"/>
    <w:rsid w:val="007069DC"/>
    <w:rsid w:val="00710201"/>
    <w:rsid w:val="0071189C"/>
    <w:rsid w:val="007125E1"/>
    <w:rsid w:val="00716B2B"/>
    <w:rsid w:val="0071779D"/>
    <w:rsid w:val="0072073A"/>
    <w:rsid w:val="00723FF0"/>
    <w:rsid w:val="00724250"/>
    <w:rsid w:val="007242CF"/>
    <w:rsid w:val="007255F2"/>
    <w:rsid w:val="00726491"/>
    <w:rsid w:val="007272D0"/>
    <w:rsid w:val="00730972"/>
    <w:rsid w:val="007330C7"/>
    <w:rsid w:val="007341D5"/>
    <w:rsid w:val="007342B5"/>
    <w:rsid w:val="00734A5B"/>
    <w:rsid w:val="00735ED5"/>
    <w:rsid w:val="00740EF6"/>
    <w:rsid w:val="0074353F"/>
    <w:rsid w:val="00744955"/>
    <w:rsid w:val="00744E76"/>
    <w:rsid w:val="007455FB"/>
    <w:rsid w:val="00750286"/>
    <w:rsid w:val="007533C8"/>
    <w:rsid w:val="00753704"/>
    <w:rsid w:val="0075410A"/>
    <w:rsid w:val="007574B4"/>
    <w:rsid w:val="00757D40"/>
    <w:rsid w:val="00760D93"/>
    <w:rsid w:val="00761AB0"/>
    <w:rsid w:val="007662B5"/>
    <w:rsid w:val="00766A6D"/>
    <w:rsid w:val="007709D9"/>
    <w:rsid w:val="00774086"/>
    <w:rsid w:val="00774E4D"/>
    <w:rsid w:val="00781F0F"/>
    <w:rsid w:val="0078359D"/>
    <w:rsid w:val="007845CF"/>
    <w:rsid w:val="00785850"/>
    <w:rsid w:val="007864B1"/>
    <w:rsid w:val="007867A9"/>
    <w:rsid w:val="0078727C"/>
    <w:rsid w:val="0079048A"/>
    <w:rsid w:val="0079049D"/>
    <w:rsid w:val="00790E6E"/>
    <w:rsid w:val="00793DC5"/>
    <w:rsid w:val="0079437F"/>
    <w:rsid w:val="00795392"/>
    <w:rsid w:val="00796823"/>
    <w:rsid w:val="007A29C7"/>
    <w:rsid w:val="007A2E55"/>
    <w:rsid w:val="007A5DC3"/>
    <w:rsid w:val="007B18D8"/>
    <w:rsid w:val="007B539A"/>
    <w:rsid w:val="007B5483"/>
    <w:rsid w:val="007B6DDC"/>
    <w:rsid w:val="007B72DE"/>
    <w:rsid w:val="007C038E"/>
    <w:rsid w:val="007C095F"/>
    <w:rsid w:val="007C1282"/>
    <w:rsid w:val="007C2DD0"/>
    <w:rsid w:val="007C325F"/>
    <w:rsid w:val="007D2796"/>
    <w:rsid w:val="007D34AA"/>
    <w:rsid w:val="007D3A59"/>
    <w:rsid w:val="007D3C73"/>
    <w:rsid w:val="007E06FE"/>
    <w:rsid w:val="007E5B6B"/>
    <w:rsid w:val="007E6E3F"/>
    <w:rsid w:val="007F2E08"/>
    <w:rsid w:val="007F39E3"/>
    <w:rsid w:val="00801DBB"/>
    <w:rsid w:val="00801ECA"/>
    <w:rsid w:val="008024FA"/>
    <w:rsid w:val="008028A4"/>
    <w:rsid w:val="00805B57"/>
    <w:rsid w:val="00807C37"/>
    <w:rsid w:val="00810115"/>
    <w:rsid w:val="00810326"/>
    <w:rsid w:val="00810F1C"/>
    <w:rsid w:val="00810FDB"/>
    <w:rsid w:val="0081149F"/>
    <w:rsid w:val="00813245"/>
    <w:rsid w:val="00814681"/>
    <w:rsid w:val="008176A9"/>
    <w:rsid w:val="00823133"/>
    <w:rsid w:val="008258A2"/>
    <w:rsid w:val="00825928"/>
    <w:rsid w:val="0082631D"/>
    <w:rsid w:val="008273E3"/>
    <w:rsid w:val="00833052"/>
    <w:rsid w:val="0083349A"/>
    <w:rsid w:val="0083535E"/>
    <w:rsid w:val="0083629E"/>
    <w:rsid w:val="00840DE0"/>
    <w:rsid w:val="00847CD0"/>
    <w:rsid w:val="008552BF"/>
    <w:rsid w:val="00856EC3"/>
    <w:rsid w:val="00857A1F"/>
    <w:rsid w:val="00860155"/>
    <w:rsid w:val="008607A8"/>
    <w:rsid w:val="00860D01"/>
    <w:rsid w:val="00861F81"/>
    <w:rsid w:val="0086354A"/>
    <w:rsid w:val="00864DA1"/>
    <w:rsid w:val="00870D13"/>
    <w:rsid w:val="00872A48"/>
    <w:rsid w:val="00872AEA"/>
    <w:rsid w:val="00874822"/>
    <w:rsid w:val="008768CA"/>
    <w:rsid w:val="008775F5"/>
    <w:rsid w:val="00877C8C"/>
    <w:rsid w:val="00877EF9"/>
    <w:rsid w:val="00880559"/>
    <w:rsid w:val="00880FB0"/>
    <w:rsid w:val="00882990"/>
    <w:rsid w:val="00883A30"/>
    <w:rsid w:val="00883EF4"/>
    <w:rsid w:val="008930BE"/>
    <w:rsid w:val="00894935"/>
    <w:rsid w:val="00894CDC"/>
    <w:rsid w:val="00897EAD"/>
    <w:rsid w:val="008A2849"/>
    <w:rsid w:val="008A5B0F"/>
    <w:rsid w:val="008A74ED"/>
    <w:rsid w:val="008B06C1"/>
    <w:rsid w:val="008B1524"/>
    <w:rsid w:val="008B4370"/>
    <w:rsid w:val="008B5306"/>
    <w:rsid w:val="008B5857"/>
    <w:rsid w:val="008C0D18"/>
    <w:rsid w:val="008C249E"/>
    <w:rsid w:val="008C2E2A"/>
    <w:rsid w:val="008C3057"/>
    <w:rsid w:val="008C31C6"/>
    <w:rsid w:val="008C6C9C"/>
    <w:rsid w:val="008D2E4D"/>
    <w:rsid w:val="008D646F"/>
    <w:rsid w:val="008D64FB"/>
    <w:rsid w:val="008D6740"/>
    <w:rsid w:val="008D72BB"/>
    <w:rsid w:val="008D7A8F"/>
    <w:rsid w:val="008E280F"/>
    <w:rsid w:val="008E2DEC"/>
    <w:rsid w:val="008F15A3"/>
    <w:rsid w:val="008F2100"/>
    <w:rsid w:val="008F2266"/>
    <w:rsid w:val="008F2502"/>
    <w:rsid w:val="008F396F"/>
    <w:rsid w:val="008F3DCD"/>
    <w:rsid w:val="008F46DC"/>
    <w:rsid w:val="008F505A"/>
    <w:rsid w:val="008F740B"/>
    <w:rsid w:val="008F7D4C"/>
    <w:rsid w:val="00901F2F"/>
    <w:rsid w:val="0090271F"/>
    <w:rsid w:val="00902C7F"/>
    <w:rsid w:val="00902DB9"/>
    <w:rsid w:val="0090466A"/>
    <w:rsid w:val="00904B8D"/>
    <w:rsid w:val="00907646"/>
    <w:rsid w:val="00912650"/>
    <w:rsid w:val="00912EBF"/>
    <w:rsid w:val="009154FB"/>
    <w:rsid w:val="00915659"/>
    <w:rsid w:val="0091679E"/>
    <w:rsid w:val="00922AEA"/>
    <w:rsid w:val="00923655"/>
    <w:rsid w:val="00924D65"/>
    <w:rsid w:val="00931761"/>
    <w:rsid w:val="009339CB"/>
    <w:rsid w:val="0093573D"/>
    <w:rsid w:val="00936071"/>
    <w:rsid w:val="009369B9"/>
    <w:rsid w:val="00937004"/>
    <w:rsid w:val="009376CD"/>
    <w:rsid w:val="00937856"/>
    <w:rsid w:val="00937D09"/>
    <w:rsid w:val="00940212"/>
    <w:rsid w:val="00942EC2"/>
    <w:rsid w:val="00947F0D"/>
    <w:rsid w:val="00952836"/>
    <w:rsid w:val="00954F0A"/>
    <w:rsid w:val="00956F2C"/>
    <w:rsid w:val="00957806"/>
    <w:rsid w:val="009578C2"/>
    <w:rsid w:val="009603EE"/>
    <w:rsid w:val="00960522"/>
    <w:rsid w:val="00960706"/>
    <w:rsid w:val="0096102C"/>
    <w:rsid w:val="009610A2"/>
    <w:rsid w:val="00961225"/>
    <w:rsid w:val="00961B32"/>
    <w:rsid w:val="00962509"/>
    <w:rsid w:val="009625D6"/>
    <w:rsid w:val="00964FB9"/>
    <w:rsid w:val="00965959"/>
    <w:rsid w:val="00967494"/>
    <w:rsid w:val="00970BAC"/>
    <w:rsid w:val="00970DB3"/>
    <w:rsid w:val="00970F9B"/>
    <w:rsid w:val="00971001"/>
    <w:rsid w:val="00974BB0"/>
    <w:rsid w:val="0097567C"/>
    <w:rsid w:val="00975BCD"/>
    <w:rsid w:val="00975D17"/>
    <w:rsid w:val="00976B13"/>
    <w:rsid w:val="009828BC"/>
    <w:rsid w:val="00984C17"/>
    <w:rsid w:val="009869A1"/>
    <w:rsid w:val="00987C00"/>
    <w:rsid w:val="00991C7C"/>
    <w:rsid w:val="009928A9"/>
    <w:rsid w:val="00994865"/>
    <w:rsid w:val="0099653A"/>
    <w:rsid w:val="009A0453"/>
    <w:rsid w:val="009A0AF3"/>
    <w:rsid w:val="009A263D"/>
    <w:rsid w:val="009A4DFD"/>
    <w:rsid w:val="009A5E87"/>
    <w:rsid w:val="009B07CD"/>
    <w:rsid w:val="009B3B94"/>
    <w:rsid w:val="009C0A6B"/>
    <w:rsid w:val="009C19E9"/>
    <w:rsid w:val="009C79F8"/>
    <w:rsid w:val="009D0B3B"/>
    <w:rsid w:val="009D2B79"/>
    <w:rsid w:val="009D3652"/>
    <w:rsid w:val="009D3E4D"/>
    <w:rsid w:val="009D5334"/>
    <w:rsid w:val="009D74A6"/>
    <w:rsid w:val="009E0E87"/>
    <w:rsid w:val="009E1DE0"/>
    <w:rsid w:val="009E69FD"/>
    <w:rsid w:val="009F1BC9"/>
    <w:rsid w:val="009F2346"/>
    <w:rsid w:val="009F307B"/>
    <w:rsid w:val="009F3A6F"/>
    <w:rsid w:val="009F3BBD"/>
    <w:rsid w:val="009F4287"/>
    <w:rsid w:val="009F6027"/>
    <w:rsid w:val="009F7E1F"/>
    <w:rsid w:val="00A006DE"/>
    <w:rsid w:val="00A00E3C"/>
    <w:rsid w:val="00A01705"/>
    <w:rsid w:val="00A01AD6"/>
    <w:rsid w:val="00A02547"/>
    <w:rsid w:val="00A02F9C"/>
    <w:rsid w:val="00A04204"/>
    <w:rsid w:val="00A067BD"/>
    <w:rsid w:val="00A068DB"/>
    <w:rsid w:val="00A0748D"/>
    <w:rsid w:val="00A10F02"/>
    <w:rsid w:val="00A11DD8"/>
    <w:rsid w:val="00A158FC"/>
    <w:rsid w:val="00A175EA"/>
    <w:rsid w:val="00A17E08"/>
    <w:rsid w:val="00A204CA"/>
    <w:rsid w:val="00A209D6"/>
    <w:rsid w:val="00A21408"/>
    <w:rsid w:val="00A22738"/>
    <w:rsid w:val="00A247A1"/>
    <w:rsid w:val="00A24852"/>
    <w:rsid w:val="00A25E5F"/>
    <w:rsid w:val="00A26B12"/>
    <w:rsid w:val="00A303B6"/>
    <w:rsid w:val="00A3107C"/>
    <w:rsid w:val="00A3342E"/>
    <w:rsid w:val="00A33B8C"/>
    <w:rsid w:val="00A36CEF"/>
    <w:rsid w:val="00A36F5F"/>
    <w:rsid w:val="00A40BFF"/>
    <w:rsid w:val="00A41D43"/>
    <w:rsid w:val="00A42D34"/>
    <w:rsid w:val="00A430EC"/>
    <w:rsid w:val="00A45DD4"/>
    <w:rsid w:val="00A45EF8"/>
    <w:rsid w:val="00A46195"/>
    <w:rsid w:val="00A46E68"/>
    <w:rsid w:val="00A51160"/>
    <w:rsid w:val="00A5199E"/>
    <w:rsid w:val="00A53724"/>
    <w:rsid w:val="00A53D08"/>
    <w:rsid w:val="00A54B2B"/>
    <w:rsid w:val="00A54E1E"/>
    <w:rsid w:val="00A619FF"/>
    <w:rsid w:val="00A62505"/>
    <w:rsid w:val="00A638FB"/>
    <w:rsid w:val="00A6428F"/>
    <w:rsid w:val="00A647A9"/>
    <w:rsid w:val="00A652D8"/>
    <w:rsid w:val="00A6594E"/>
    <w:rsid w:val="00A66591"/>
    <w:rsid w:val="00A702FF"/>
    <w:rsid w:val="00A703B6"/>
    <w:rsid w:val="00A72AB4"/>
    <w:rsid w:val="00A73650"/>
    <w:rsid w:val="00A73F47"/>
    <w:rsid w:val="00A74714"/>
    <w:rsid w:val="00A80E30"/>
    <w:rsid w:val="00A814BD"/>
    <w:rsid w:val="00A81E93"/>
    <w:rsid w:val="00A82346"/>
    <w:rsid w:val="00A876D6"/>
    <w:rsid w:val="00A904A4"/>
    <w:rsid w:val="00A91039"/>
    <w:rsid w:val="00A92526"/>
    <w:rsid w:val="00A9307F"/>
    <w:rsid w:val="00A9671C"/>
    <w:rsid w:val="00AA1553"/>
    <w:rsid w:val="00AA3D3E"/>
    <w:rsid w:val="00AA52C4"/>
    <w:rsid w:val="00AA5974"/>
    <w:rsid w:val="00AA6D93"/>
    <w:rsid w:val="00AB10D4"/>
    <w:rsid w:val="00AB1D50"/>
    <w:rsid w:val="00AB5173"/>
    <w:rsid w:val="00AB562C"/>
    <w:rsid w:val="00AB5993"/>
    <w:rsid w:val="00AC16B3"/>
    <w:rsid w:val="00AC2826"/>
    <w:rsid w:val="00AC5C9E"/>
    <w:rsid w:val="00AD0464"/>
    <w:rsid w:val="00AD3773"/>
    <w:rsid w:val="00AD3BAC"/>
    <w:rsid w:val="00AD3E86"/>
    <w:rsid w:val="00AD45EB"/>
    <w:rsid w:val="00AD5505"/>
    <w:rsid w:val="00AD6DC0"/>
    <w:rsid w:val="00AD72C4"/>
    <w:rsid w:val="00AE1508"/>
    <w:rsid w:val="00AE2255"/>
    <w:rsid w:val="00AE442C"/>
    <w:rsid w:val="00AE4669"/>
    <w:rsid w:val="00AE5C18"/>
    <w:rsid w:val="00AE614B"/>
    <w:rsid w:val="00AF20E6"/>
    <w:rsid w:val="00AF2964"/>
    <w:rsid w:val="00AF5736"/>
    <w:rsid w:val="00AF7983"/>
    <w:rsid w:val="00AF7B98"/>
    <w:rsid w:val="00B00226"/>
    <w:rsid w:val="00B00EE0"/>
    <w:rsid w:val="00B019C8"/>
    <w:rsid w:val="00B03A49"/>
    <w:rsid w:val="00B050A4"/>
    <w:rsid w:val="00B05380"/>
    <w:rsid w:val="00B05962"/>
    <w:rsid w:val="00B104B8"/>
    <w:rsid w:val="00B15449"/>
    <w:rsid w:val="00B16C2F"/>
    <w:rsid w:val="00B204B1"/>
    <w:rsid w:val="00B20B4A"/>
    <w:rsid w:val="00B21932"/>
    <w:rsid w:val="00B266A3"/>
    <w:rsid w:val="00B27303"/>
    <w:rsid w:val="00B301FD"/>
    <w:rsid w:val="00B327AA"/>
    <w:rsid w:val="00B33E94"/>
    <w:rsid w:val="00B34AB2"/>
    <w:rsid w:val="00B365A8"/>
    <w:rsid w:val="00B367F0"/>
    <w:rsid w:val="00B37A0A"/>
    <w:rsid w:val="00B37AB2"/>
    <w:rsid w:val="00B40FE0"/>
    <w:rsid w:val="00B411E5"/>
    <w:rsid w:val="00B46486"/>
    <w:rsid w:val="00B47FD1"/>
    <w:rsid w:val="00B516BB"/>
    <w:rsid w:val="00B52CFA"/>
    <w:rsid w:val="00B547B9"/>
    <w:rsid w:val="00B62139"/>
    <w:rsid w:val="00B622CC"/>
    <w:rsid w:val="00B62E35"/>
    <w:rsid w:val="00B64E8E"/>
    <w:rsid w:val="00B72FEF"/>
    <w:rsid w:val="00B7538C"/>
    <w:rsid w:val="00B76078"/>
    <w:rsid w:val="00B77939"/>
    <w:rsid w:val="00B818E3"/>
    <w:rsid w:val="00B84DB2"/>
    <w:rsid w:val="00B859E5"/>
    <w:rsid w:val="00B869EB"/>
    <w:rsid w:val="00B909B3"/>
    <w:rsid w:val="00B9434A"/>
    <w:rsid w:val="00BA0A03"/>
    <w:rsid w:val="00BA151F"/>
    <w:rsid w:val="00BA2954"/>
    <w:rsid w:val="00BA326D"/>
    <w:rsid w:val="00BA3C0B"/>
    <w:rsid w:val="00BA54D8"/>
    <w:rsid w:val="00BA5806"/>
    <w:rsid w:val="00BA65C1"/>
    <w:rsid w:val="00BA6849"/>
    <w:rsid w:val="00BA73EE"/>
    <w:rsid w:val="00BB2001"/>
    <w:rsid w:val="00BB64C1"/>
    <w:rsid w:val="00BB765E"/>
    <w:rsid w:val="00BC1CC8"/>
    <w:rsid w:val="00BC2DA6"/>
    <w:rsid w:val="00BC3555"/>
    <w:rsid w:val="00BD2D28"/>
    <w:rsid w:val="00BD72B3"/>
    <w:rsid w:val="00BE5A3A"/>
    <w:rsid w:val="00BF08C1"/>
    <w:rsid w:val="00BF4C96"/>
    <w:rsid w:val="00BF568A"/>
    <w:rsid w:val="00BF7877"/>
    <w:rsid w:val="00C00ACD"/>
    <w:rsid w:val="00C03B8B"/>
    <w:rsid w:val="00C0504F"/>
    <w:rsid w:val="00C109A1"/>
    <w:rsid w:val="00C11EC8"/>
    <w:rsid w:val="00C11EDD"/>
    <w:rsid w:val="00C12B51"/>
    <w:rsid w:val="00C12E2F"/>
    <w:rsid w:val="00C13F26"/>
    <w:rsid w:val="00C1658D"/>
    <w:rsid w:val="00C17449"/>
    <w:rsid w:val="00C21618"/>
    <w:rsid w:val="00C24650"/>
    <w:rsid w:val="00C25465"/>
    <w:rsid w:val="00C25845"/>
    <w:rsid w:val="00C267E7"/>
    <w:rsid w:val="00C30508"/>
    <w:rsid w:val="00C30818"/>
    <w:rsid w:val="00C31694"/>
    <w:rsid w:val="00C31B64"/>
    <w:rsid w:val="00C33079"/>
    <w:rsid w:val="00C332F8"/>
    <w:rsid w:val="00C33770"/>
    <w:rsid w:val="00C363D9"/>
    <w:rsid w:val="00C41193"/>
    <w:rsid w:val="00C45218"/>
    <w:rsid w:val="00C4636B"/>
    <w:rsid w:val="00C518D6"/>
    <w:rsid w:val="00C55A12"/>
    <w:rsid w:val="00C56B65"/>
    <w:rsid w:val="00C6056C"/>
    <w:rsid w:val="00C60FC8"/>
    <w:rsid w:val="00C62817"/>
    <w:rsid w:val="00C62C66"/>
    <w:rsid w:val="00C6403A"/>
    <w:rsid w:val="00C6553E"/>
    <w:rsid w:val="00C70858"/>
    <w:rsid w:val="00C7256C"/>
    <w:rsid w:val="00C738A5"/>
    <w:rsid w:val="00C74775"/>
    <w:rsid w:val="00C83A13"/>
    <w:rsid w:val="00C86F10"/>
    <w:rsid w:val="00C87D2E"/>
    <w:rsid w:val="00C9068C"/>
    <w:rsid w:val="00C915A9"/>
    <w:rsid w:val="00C915CB"/>
    <w:rsid w:val="00C926AE"/>
    <w:rsid w:val="00C92967"/>
    <w:rsid w:val="00C931E8"/>
    <w:rsid w:val="00C96BDA"/>
    <w:rsid w:val="00CA0509"/>
    <w:rsid w:val="00CA06F9"/>
    <w:rsid w:val="00CA1E93"/>
    <w:rsid w:val="00CA3D0C"/>
    <w:rsid w:val="00CA4B55"/>
    <w:rsid w:val="00CA63C7"/>
    <w:rsid w:val="00CA654B"/>
    <w:rsid w:val="00CA6997"/>
    <w:rsid w:val="00CB005E"/>
    <w:rsid w:val="00CB1017"/>
    <w:rsid w:val="00CB34AE"/>
    <w:rsid w:val="00CB6881"/>
    <w:rsid w:val="00CB72B8"/>
    <w:rsid w:val="00CB7D87"/>
    <w:rsid w:val="00CB7E56"/>
    <w:rsid w:val="00CC230A"/>
    <w:rsid w:val="00CC2814"/>
    <w:rsid w:val="00CC76DF"/>
    <w:rsid w:val="00CD0BA8"/>
    <w:rsid w:val="00CD2C09"/>
    <w:rsid w:val="00CD3C5A"/>
    <w:rsid w:val="00CD4C7B"/>
    <w:rsid w:val="00CD4F4D"/>
    <w:rsid w:val="00CD550E"/>
    <w:rsid w:val="00CD58FE"/>
    <w:rsid w:val="00CD671E"/>
    <w:rsid w:val="00CD73DD"/>
    <w:rsid w:val="00CE1B3A"/>
    <w:rsid w:val="00CE2C0D"/>
    <w:rsid w:val="00CE641F"/>
    <w:rsid w:val="00CE6701"/>
    <w:rsid w:val="00CE6AF7"/>
    <w:rsid w:val="00CE6FAA"/>
    <w:rsid w:val="00CE716E"/>
    <w:rsid w:val="00CF22F3"/>
    <w:rsid w:val="00CF4FE1"/>
    <w:rsid w:val="00CF56E7"/>
    <w:rsid w:val="00CF5A50"/>
    <w:rsid w:val="00CF664C"/>
    <w:rsid w:val="00D04006"/>
    <w:rsid w:val="00D050DA"/>
    <w:rsid w:val="00D126A7"/>
    <w:rsid w:val="00D21AD8"/>
    <w:rsid w:val="00D21CF8"/>
    <w:rsid w:val="00D22250"/>
    <w:rsid w:val="00D238CD"/>
    <w:rsid w:val="00D2396F"/>
    <w:rsid w:val="00D23EC8"/>
    <w:rsid w:val="00D2566A"/>
    <w:rsid w:val="00D27A43"/>
    <w:rsid w:val="00D317B4"/>
    <w:rsid w:val="00D33BE3"/>
    <w:rsid w:val="00D33EEB"/>
    <w:rsid w:val="00D3792D"/>
    <w:rsid w:val="00D37AEE"/>
    <w:rsid w:val="00D41946"/>
    <w:rsid w:val="00D443AE"/>
    <w:rsid w:val="00D50E93"/>
    <w:rsid w:val="00D53E50"/>
    <w:rsid w:val="00D55E47"/>
    <w:rsid w:val="00D564D8"/>
    <w:rsid w:val="00D564EF"/>
    <w:rsid w:val="00D566F0"/>
    <w:rsid w:val="00D57AB6"/>
    <w:rsid w:val="00D61AD3"/>
    <w:rsid w:val="00D62557"/>
    <w:rsid w:val="00D62E19"/>
    <w:rsid w:val="00D66D75"/>
    <w:rsid w:val="00D6774A"/>
    <w:rsid w:val="00D67CD1"/>
    <w:rsid w:val="00D70C5B"/>
    <w:rsid w:val="00D738D6"/>
    <w:rsid w:val="00D77CF7"/>
    <w:rsid w:val="00D80795"/>
    <w:rsid w:val="00D80B6D"/>
    <w:rsid w:val="00D81752"/>
    <w:rsid w:val="00D82280"/>
    <w:rsid w:val="00D822CD"/>
    <w:rsid w:val="00D830EB"/>
    <w:rsid w:val="00D83B93"/>
    <w:rsid w:val="00D854BE"/>
    <w:rsid w:val="00D85742"/>
    <w:rsid w:val="00D86A12"/>
    <w:rsid w:val="00D8727C"/>
    <w:rsid w:val="00D87797"/>
    <w:rsid w:val="00D87E00"/>
    <w:rsid w:val="00D9134D"/>
    <w:rsid w:val="00D96D11"/>
    <w:rsid w:val="00D97B7F"/>
    <w:rsid w:val="00DA1086"/>
    <w:rsid w:val="00DA17A3"/>
    <w:rsid w:val="00DA1AB9"/>
    <w:rsid w:val="00DA51C6"/>
    <w:rsid w:val="00DA7A03"/>
    <w:rsid w:val="00DB0592"/>
    <w:rsid w:val="00DB0939"/>
    <w:rsid w:val="00DB0DB8"/>
    <w:rsid w:val="00DB1818"/>
    <w:rsid w:val="00DB1990"/>
    <w:rsid w:val="00DB37EE"/>
    <w:rsid w:val="00DB5198"/>
    <w:rsid w:val="00DB5E9D"/>
    <w:rsid w:val="00DC0B5B"/>
    <w:rsid w:val="00DC190F"/>
    <w:rsid w:val="00DC309B"/>
    <w:rsid w:val="00DC4255"/>
    <w:rsid w:val="00DC4B00"/>
    <w:rsid w:val="00DC4DA2"/>
    <w:rsid w:val="00DC5261"/>
    <w:rsid w:val="00DC6243"/>
    <w:rsid w:val="00DC7B0D"/>
    <w:rsid w:val="00DD0CAF"/>
    <w:rsid w:val="00DD10B7"/>
    <w:rsid w:val="00DD1424"/>
    <w:rsid w:val="00DD17AE"/>
    <w:rsid w:val="00DD1CC7"/>
    <w:rsid w:val="00DD2CEB"/>
    <w:rsid w:val="00DE246F"/>
    <w:rsid w:val="00DE25D2"/>
    <w:rsid w:val="00DE41B0"/>
    <w:rsid w:val="00DE490D"/>
    <w:rsid w:val="00DE49DF"/>
    <w:rsid w:val="00DE7BF4"/>
    <w:rsid w:val="00DF3DE3"/>
    <w:rsid w:val="00DF6ECF"/>
    <w:rsid w:val="00DF7591"/>
    <w:rsid w:val="00DF7F77"/>
    <w:rsid w:val="00E00B35"/>
    <w:rsid w:val="00E03FC3"/>
    <w:rsid w:val="00E07866"/>
    <w:rsid w:val="00E10F49"/>
    <w:rsid w:val="00E13126"/>
    <w:rsid w:val="00E174EC"/>
    <w:rsid w:val="00E20938"/>
    <w:rsid w:val="00E2231A"/>
    <w:rsid w:val="00E24C1B"/>
    <w:rsid w:val="00E2555C"/>
    <w:rsid w:val="00E35A47"/>
    <w:rsid w:val="00E43F0E"/>
    <w:rsid w:val="00E44D0A"/>
    <w:rsid w:val="00E469F9"/>
    <w:rsid w:val="00E46C08"/>
    <w:rsid w:val="00E471CF"/>
    <w:rsid w:val="00E52BC5"/>
    <w:rsid w:val="00E53E03"/>
    <w:rsid w:val="00E55D0A"/>
    <w:rsid w:val="00E56FAB"/>
    <w:rsid w:val="00E61791"/>
    <w:rsid w:val="00E62835"/>
    <w:rsid w:val="00E6544F"/>
    <w:rsid w:val="00E65B85"/>
    <w:rsid w:val="00E70CE7"/>
    <w:rsid w:val="00E77645"/>
    <w:rsid w:val="00E77EE6"/>
    <w:rsid w:val="00E83260"/>
    <w:rsid w:val="00E83697"/>
    <w:rsid w:val="00E83AA0"/>
    <w:rsid w:val="00E8586A"/>
    <w:rsid w:val="00E859B6"/>
    <w:rsid w:val="00E85C07"/>
    <w:rsid w:val="00E8729F"/>
    <w:rsid w:val="00E915C6"/>
    <w:rsid w:val="00E9343B"/>
    <w:rsid w:val="00E94DD7"/>
    <w:rsid w:val="00EA3870"/>
    <w:rsid w:val="00EA38AE"/>
    <w:rsid w:val="00EA3BD4"/>
    <w:rsid w:val="00EA4BE8"/>
    <w:rsid w:val="00EA66C9"/>
    <w:rsid w:val="00EA6723"/>
    <w:rsid w:val="00EB1F82"/>
    <w:rsid w:val="00EB3898"/>
    <w:rsid w:val="00EB5D32"/>
    <w:rsid w:val="00EB5D7F"/>
    <w:rsid w:val="00EB7100"/>
    <w:rsid w:val="00EC13C8"/>
    <w:rsid w:val="00EC1880"/>
    <w:rsid w:val="00EC29B3"/>
    <w:rsid w:val="00EC331F"/>
    <w:rsid w:val="00EC4A25"/>
    <w:rsid w:val="00EC58EC"/>
    <w:rsid w:val="00ED0021"/>
    <w:rsid w:val="00ED16BD"/>
    <w:rsid w:val="00ED18CD"/>
    <w:rsid w:val="00ED2224"/>
    <w:rsid w:val="00ED6043"/>
    <w:rsid w:val="00ED6B0C"/>
    <w:rsid w:val="00EE00C5"/>
    <w:rsid w:val="00EE188F"/>
    <w:rsid w:val="00EE1BB7"/>
    <w:rsid w:val="00EE1DEA"/>
    <w:rsid w:val="00EE4F8F"/>
    <w:rsid w:val="00EE55B5"/>
    <w:rsid w:val="00EE74B2"/>
    <w:rsid w:val="00EF4B99"/>
    <w:rsid w:val="00EF5B79"/>
    <w:rsid w:val="00EF612C"/>
    <w:rsid w:val="00EF6F5D"/>
    <w:rsid w:val="00F025A2"/>
    <w:rsid w:val="00F036E9"/>
    <w:rsid w:val="00F07242"/>
    <w:rsid w:val="00F07388"/>
    <w:rsid w:val="00F133EB"/>
    <w:rsid w:val="00F1715E"/>
    <w:rsid w:val="00F2026E"/>
    <w:rsid w:val="00F2210A"/>
    <w:rsid w:val="00F2287A"/>
    <w:rsid w:val="00F247DE"/>
    <w:rsid w:val="00F30DEB"/>
    <w:rsid w:val="00F31372"/>
    <w:rsid w:val="00F317A3"/>
    <w:rsid w:val="00F31F0D"/>
    <w:rsid w:val="00F32702"/>
    <w:rsid w:val="00F330E9"/>
    <w:rsid w:val="00F33EE9"/>
    <w:rsid w:val="00F34862"/>
    <w:rsid w:val="00F34D27"/>
    <w:rsid w:val="00F37743"/>
    <w:rsid w:val="00F41498"/>
    <w:rsid w:val="00F505CA"/>
    <w:rsid w:val="00F52339"/>
    <w:rsid w:val="00F525CB"/>
    <w:rsid w:val="00F54A3D"/>
    <w:rsid w:val="00F54CB0"/>
    <w:rsid w:val="00F57599"/>
    <w:rsid w:val="00F579CD"/>
    <w:rsid w:val="00F6064F"/>
    <w:rsid w:val="00F6124C"/>
    <w:rsid w:val="00F6347B"/>
    <w:rsid w:val="00F653B8"/>
    <w:rsid w:val="00F65C1E"/>
    <w:rsid w:val="00F70B4A"/>
    <w:rsid w:val="00F71B89"/>
    <w:rsid w:val="00F7353C"/>
    <w:rsid w:val="00F74C7E"/>
    <w:rsid w:val="00F7571C"/>
    <w:rsid w:val="00F76815"/>
    <w:rsid w:val="00F76F8F"/>
    <w:rsid w:val="00F81375"/>
    <w:rsid w:val="00F81855"/>
    <w:rsid w:val="00F82949"/>
    <w:rsid w:val="00F85B5F"/>
    <w:rsid w:val="00F863AA"/>
    <w:rsid w:val="00F87257"/>
    <w:rsid w:val="00F87927"/>
    <w:rsid w:val="00F9047E"/>
    <w:rsid w:val="00F919E0"/>
    <w:rsid w:val="00F941DF"/>
    <w:rsid w:val="00F95621"/>
    <w:rsid w:val="00F95A76"/>
    <w:rsid w:val="00F97C1A"/>
    <w:rsid w:val="00FA05CA"/>
    <w:rsid w:val="00FA1266"/>
    <w:rsid w:val="00FA4A11"/>
    <w:rsid w:val="00FA5062"/>
    <w:rsid w:val="00FA52FE"/>
    <w:rsid w:val="00FA6BAA"/>
    <w:rsid w:val="00FA6F24"/>
    <w:rsid w:val="00FA705A"/>
    <w:rsid w:val="00FB0E8E"/>
    <w:rsid w:val="00FB35E5"/>
    <w:rsid w:val="00FB3614"/>
    <w:rsid w:val="00FB36FA"/>
    <w:rsid w:val="00FC0A01"/>
    <w:rsid w:val="00FC1192"/>
    <w:rsid w:val="00FC2AE7"/>
    <w:rsid w:val="00FC71F8"/>
    <w:rsid w:val="00FD6CCD"/>
    <w:rsid w:val="00FE01CA"/>
    <w:rsid w:val="00FE0F6F"/>
    <w:rsid w:val="00FE106D"/>
    <w:rsid w:val="00FE251B"/>
    <w:rsid w:val="00FE548D"/>
    <w:rsid w:val="00FE6A95"/>
    <w:rsid w:val="00FF0065"/>
    <w:rsid w:val="00FF0E11"/>
    <w:rsid w:val="00FF1745"/>
    <w:rsid w:val="0FD4943B"/>
    <w:rsid w:val="19AE861E"/>
    <w:rsid w:val="465DE0C7"/>
    <w:rsid w:val="5430B11A"/>
    <w:rsid w:val="679E8684"/>
    <w:rsid w:val="748876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AAD17A3-7EDB-4598-84DF-04F055B8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6F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rsid w:val="004C24FA"/>
    <w:rPr>
      <w:sz w:val="16"/>
      <w:szCs w:val="16"/>
    </w:rPr>
  </w:style>
  <w:style w:type="paragraph" w:styleId="CommentText">
    <w:name w:val="annotation text"/>
    <w:basedOn w:val="Normal"/>
    <w:link w:val="CommentTextChar"/>
    <w:uiPriority w:val="99"/>
    <w:rsid w:val="004C24FA"/>
  </w:style>
  <w:style w:type="character" w:customStyle="1" w:styleId="CommentTextChar">
    <w:name w:val="Comment Text Char"/>
    <w:basedOn w:val="DefaultParagraphFont"/>
    <w:link w:val="CommentText"/>
    <w:uiPriority w:val="99"/>
    <w:rsid w:val="004C24FA"/>
    <w:rPr>
      <w:lang w:eastAsia="en-US"/>
    </w:rPr>
  </w:style>
  <w:style w:type="paragraph" w:styleId="CommentSubject">
    <w:name w:val="annotation subject"/>
    <w:basedOn w:val="CommentText"/>
    <w:next w:val="CommentText"/>
    <w:link w:val="CommentSubjectChar"/>
    <w:rsid w:val="004C24FA"/>
    <w:rPr>
      <w:b/>
      <w:bCs/>
    </w:rPr>
  </w:style>
  <w:style w:type="character" w:customStyle="1" w:styleId="CommentSubjectChar">
    <w:name w:val="Comment Subject Char"/>
    <w:basedOn w:val="CommentTextChar"/>
    <w:link w:val="CommentSubject"/>
    <w:rsid w:val="004C24FA"/>
    <w:rPr>
      <w:b/>
      <w:bCs/>
      <w:lang w:eastAsia="en-US"/>
    </w:rPr>
  </w:style>
  <w:style w:type="character" w:customStyle="1" w:styleId="THChar">
    <w:name w:val="TH Char"/>
    <w:link w:val="TH"/>
    <w:qFormat/>
    <w:locked/>
    <w:rsid w:val="000426C4"/>
    <w:rPr>
      <w:rFonts w:ascii="Arial" w:hAnsi="Arial"/>
      <w:b/>
      <w:lang w:eastAsia="en-US"/>
    </w:rPr>
  </w:style>
  <w:style w:type="character" w:customStyle="1" w:styleId="B1Char">
    <w:name w:val="B1 Char"/>
    <w:link w:val="B1"/>
    <w:qFormat/>
    <w:rsid w:val="00A42D34"/>
    <w:rPr>
      <w:lang w:eastAsia="en-US"/>
    </w:rPr>
  </w:style>
  <w:style w:type="character" w:customStyle="1" w:styleId="B2Char">
    <w:name w:val="B2 Char"/>
    <w:link w:val="B2"/>
    <w:qFormat/>
    <w:rsid w:val="00A42D34"/>
    <w:rPr>
      <w:lang w:eastAsia="en-US"/>
    </w:rPr>
  </w:style>
  <w:style w:type="paragraph" w:styleId="NormalWeb">
    <w:name w:val="Normal (Web)"/>
    <w:basedOn w:val="Normal"/>
    <w:uiPriority w:val="99"/>
    <w:unhideWhenUsed/>
    <w:rsid w:val="00422E7A"/>
    <w:pPr>
      <w:spacing w:before="100" w:beforeAutospacing="1" w:after="100" w:afterAutospacing="1"/>
    </w:pPr>
    <w:rPr>
      <w:sz w:val="24"/>
      <w:szCs w:val="24"/>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422E7A"/>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C1282"/>
    <w:rPr>
      <w:lang w:eastAsia="en-US"/>
    </w:rPr>
  </w:style>
  <w:style w:type="character" w:styleId="Mention">
    <w:name w:val="Mention"/>
    <w:basedOn w:val="DefaultParagraphFont"/>
    <w:uiPriority w:val="99"/>
    <w:unhideWhenUsed/>
    <w:rsid w:val="00631395"/>
    <w:rPr>
      <w:color w:val="2B579A"/>
      <w:shd w:val="clear" w:color="auto" w:fill="E1DFDD"/>
    </w:rPr>
  </w:style>
  <w:style w:type="table" w:styleId="TableGrid">
    <w:name w:val="Table Grid"/>
    <w:basedOn w:val="TableNormal"/>
    <w:rsid w:val="00083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24CBB"/>
    <w:rPr>
      <w:lang w:eastAsia="en-US"/>
    </w:rPr>
  </w:style>
  <w:style w:type="character" w:customStyle="1" w:styleId="ui-provider">
    <w:name w:val="ui-provider"/>
    <w:basedOn w:val="DefaultParagraphFont"/>
    <w:rsid w:val="00C72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56">
      <w:bodyDiv w:val="1"/>
      <w:marLeft w:val="0"/>
      <w:marRight w:val="0"/>
      <w:marTop w:val="0"/>
      <w:marBottom w:val="0"/>
      <w:divBdr>
        <w:top w:val="none" w:sz="0" w:space="0" w:color="auto"/>
        <w:left w:val="none" w:sz="0" w:space="0" w:color="auto"/>
        <w:bottom w:val="none" w:sz="0" w:space="0" w:color="auto"/>
        <w:right w:val="none" w:sz="0" w:space="0" w:color="auto"/>
      </w:divBdr>
    </w:div>
    <w:div w:id="3558715">
      <w:bodyDiv w:val="1"/>
      <w:marLeft w:val="0"/>
      <w:marRight w:val="0"/>
      <w:marTop w:val="0"/>
      <w:marBottom w:val="0"/>
      <w:divBdr>
        <w:top w:val="none" w:sz="0" w:space="0" w:color="auto"/>
        <w:left w:val="none" w:sz="0" w:space="0" w:color="auto"/>
        <w:bottom w:val="none" w:sz="0" w:space="0" w:color="auto"/>
        <w:right w:val="none" w:sz="0" w:space="0" w:color="auto"/>
      </w:divBdr>
    </w:div>
    <w:div w:id="48890313">
      <w:bodyDiv w:val="1"/>
      <w:marLeft w:val="0"/>
      <w:marRight w:val="0"/>
      <w:marTop w:val="0"/>
      <w:marBottom w:val="0"/>
      <w:divBdr>
        <w:top w:val="none" w:sz="0" w:space="0" w:color="auto"/>
        <w:left w:val="none" w:sz="0" w:space="0" w:color="auto"/>
        <w:bottom w:val="none" w:sz="0" w:space="0" w:color="auto"/>
        <w:right w:val="none" w:sz="0" w:space="0" w:color="auto"/>
      </w:divBdr>
    </w:div>
    <w:div w:id="134951566">
      <w:bodyDiv w:val="1"/>
      <w:marLeft w:val="0"/>
      <w:marRight w:val="0"/>
      <w:marTop w:val="0"/>
      <w:marBottom w:val="0"/>
      <w:divBdr>
        <w:top w:val="none" w:sz="0" w:space="0" w:color="auto"/>
        <w:left w:val="none" w:sz="0" w:space="0" w:color="auto"/>
        <w:bottom w:val="none" w:sz="0" w:space="0" w:color="auto"/>
        <w:right w:val="none" w:sz="0" w:space="0" w:color="auto"/>
      </w:divBdr>
    </w:div>
    <w:div w:id="346829069">
      <w:bodyDiv w:val="1"/>
      <w:marLeft w:val="0"/>
      <w:marRight w:val="0"/>
      <w:marTop w:val="0"/>
      <w:marBottom w:val="0"/>
      <w:divBdr>
        <w:top w:val="none" w:sz="0" w:space="0" w:color="auto"/>
        <w:left w:val="none" w:sz="0" w:space="0" w:color="auto"/>
        <w:bottom w:val="none" w:sz="0" w:space="0" w:color="auto"/>
        <w:right w:val="none" w:sz="0" w:space="0" w:color="auto"/>
      </w:divBdr>
    </w:div>
    <w:div w:id="539318987">
      <w:bodyDiv w:val="1"/>
      <w:marLeft w:val="0"/>
      <w:marRight w:val="0"/>
      <w:marTop w:val="0"/>
      <w:marBottom w:val="0"/>
      <w:divBdr>
        <w:top w:val="none" w:sz="0" w:space="0" w:color="auto"/>
        <w:left w:val="none" w:sz="0" w:space="0" w:color="auto"/>
        <w:bottom w:val="none" w:sz="0" w:space="0" w:color="auto"/>
        <w:right w:val="none" w:sz="0" w:space="0" w:color="auto"/>
      </w:divBdr>
    </w:div>
    <w:div w:id="755131562">
      <w:bodyDiv w:val="1"/>
      <w:marLeft w:val="0"/>
      <w:marRight w:val="0"/>
      <w:marTop w:val="0"/>
      <w:marBottom w:val="0"/>
      <w:divBdr>
        <w:top w:val="none" w:sz="0" w:space="0" w:color="auto"/>
        <w:left w:val="none" w:sz="0" w:space="0" w:color="auto"/>
        <w:bottom w:val="none" w:sz="0" w:space="0" w:color="auto"/>
        <w:right w:val="none" w:sz="0" w:space="0" w:color="auto"/>
      </w:divBdr>
    </w:div>
    <w:div w:id="820998047">
      <w:bodyDiv w:val="1"/>
      <w:marLeft w:val="0"/>
      <w:marRight w:val="0"/>
      <w:marTop w:val="0"/>
      <w:marBottom w:val="0"/>
      <w:divBdr>
        <w:top w:val="none" w:sz="0" w:space="0" w:color="auto"/>
        <w:left w:val="none" w:sz="0" w:space="0" w:color="auto"/>
        <w:bottom w:val="none" w:sz="0" w:space="0" w:color="auto"/>
        <w:right w:val="none" w:sz="0" w:space="0" w:color="auto"/>
      </w:divBdr>
    </w:div>
    <w:div w:id="845749446">
      <w:bodyDiv w:val="1"/>
      <w:marLeft w:val="0"/>
      <w:marRight w:val="0"/>
      <w:marTop w:val="0"/>
      <w:marBottom w:val="0"/>
      <w:divBdr>
        <w:top w:val="none" w:sz="0" w:space="0" w:color="auto"/>
        <w:left w:val="none" w:sz="0" w:space="0" w:color="auto"/>
        <w:bottom w:val="none" w:sz="0" w:space="0" w:color="auto"/>
        <w:right w:val="none" w:sz="0" w:space="0" w:color="auto"/>
      </w:divBdr>
    </w:div>
    <w:div w:id="9006799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302681">
      <w:bodyDiv w:val="1"/>
      <w:marLeft w:val="0"/>
      <w:marRight w:val="0"/>
      <w:marTop w:val="0"/>
      <w:marBottom w:val="0"/>
      <w:divBdr>
        <w:top w:val="none" w:sz="0" w:space="0" w:color="auto"/>
        <w:left w:val="none" w:sz="0" w:space="0" w:color="auto"/>
        <w:bottom w:val="none" w:sz="0" w:space="0" w:color="auto"/>
        <w:right w:val="none" w:sz="0" w:space="0" w:color="auto"/>
      </w:divBdr>
    </w:div>
    <w:div w:id="967516047">
      <w:bodyDiv w:val="1"/>
      <w:marLeft w:val="0"/>
      <w:marRight w:val="0"/>
      <w:marTop w:val="0"/>
      <w:marBottom w:val="0"/>
      <w:divBdr>
        <w:top w:val="none" w:sz="0" w:space="0" w:color="auto"/>
        <w:left w:val="none" w:sz="0" w:space="0" w:color="auto"/>
        <w:bottom w:val="none" w:sz="0" w:space="0" w:color="auto"/>
        <w:right w:val="none" w:sz="0" w:space="0" w:color="auto"/>
      </w:divBdr>
    </w:div>
    <w:div w:id="9683900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337215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9803141">
      <w:bodyDiv w:val="1"/>
      <w:marLeft w:val="0"/>
      <w:marRight w:val="0"/>
      <w:marTop w:val="0"/>
      <w:marBottom w:val="0"/>
      <w:divBdr>
        <w:top w:val="none" w:sz="0" w:space="0" w:color="auto"/>
        <w:left w:val="none" w:sz="0" w:space="0" w:color="auto"/>
        <w:bottom w:val="none" w:sz="0" w:space="0" w:color="auto"/>
        <w:right w:val="none" w:sz="0" w:space="0" w:color="auto"/>
      </w:divBdr>
    </w:div>
    <w:div w:id="1415471473">
      <w:bodyDiv w:val="1"/>
      <w:marLeft w:val="0"/>
      <w:marRight w:val="0"/>
      <w:marTop w:val="0"/>
      <w:marBottom w:val="0"/>
      <w:divBdr>
        <w:top w:val="none" w:sz="0" w:space="0" w:color="auto"/>
        <w:left w:val="none" w:sz="0" w:space="0" w:color="auto"/>
        <w:bottom w:val="none" w:sz="0" w:space="0" w:color="auto"/>
        <w:right w:val="none" w:sz="0" w:space="0" w:color="auto"/>
      </w:divBdr>
    </w:div>
    <w:div w:id="1417245048">
      <w:bodyDiv w:val="1"/>
      <w:marLeft w:val="0"/>
      <w:marRight w:val="0"/>
      <w:marTop w:val="0"/>
      <w:marBottom w:val="0"/>
      <w:divBdr>
        <w:top w:val="none" w:sz="0" w:space="0" w:color="auto"/>
        <w:left w:val="none" w:sz="0" w:space="0" w:color="auto"/>
        <w:bottom w:val="none" w:sz="0" w:space="0" w:color="auto"/>
        <w:right w:val="none" w:sz="0" w:space="0" w:color="auto"/>
      </w:divBdr>
    </w:div>
    <w:div w:id="1459453346">
      <w:bodyDiv w:val="1"/>
      <w:marLeft w:val="0"/>
      <w:marRight w:val="0"/>
      <w:marTop w:val="0"/>
      <w:marBottom w:val="0"/>
      <w:divBdr>
        <w:top w:val="none" w:sz="0" w:space="0" w:color="auto"/>
        <w:left w:val="none" w:sz="0" w:space="0" w:color="auto"/>
        <w:bottom w:val="none" w:sz="0" w:space="0" w:color="auto"/>
        <w:right w:val="none" w:sz="0" w:space="0" w:color="auto"/>
      </w:divBdr>
    </w:div>
    <w:div w:id="1575820910">
      <w:bodyDiv w:val="1"/>
      <w:marLeft w:val="0"/>
      <w:marRight w:val="0"/>
      <w:marTop w:val="0"/>
      <w:marBottom w:val="0"/>
      <w:divBdr>
        <w:top w:val="none" w:sz="0" w:space="0" w:color="auto"/>
        <w:left w:val="none" w:sz="0" w:space="0" w:color="auto"/>
        <w:bottom w:val="none" w:sz="0" w:space="0" w:color="auto"/>
        <w:right w:val="none" w:sz="0" w:space="0" w:color="auto"/>
      </w:divBdr>
    </w:div>
    <w:div w:id="1752120598">
      <w:bodyDiv w:val="1"/>
      <w:marLeft w:val="0"/>
      <w:marRight w:val="0"/>
      <w:marTop w:val="0"/>
      <w:marBottom w:val="0"/>
      <w:divBdr>
        <w:top w:val="none" w:sz="0" w:space="0" w:color="auto"/>
        <w:left w:val="none" w:sz="0" w:space="0" w:color="auto"/>
        <w:bottom w:val="none" w:sz="0" w:space="0" w:color="auto"/>
        <w:right w:val="none" w:sz="0" w:space="0" w:color="auto"/>
      </w:divBdr>
    </w:div>
    <w:div w:id="1956327765">
      <w:bodyDiv w:val="1"/>
      <w:marLeft w:val="0"/>
      <w:marRight w:val="0"/>
      <w:marTop w:val="0"/>
      <w:marBottom w:val="0"/>
      <w:divBdr>
        <w:top w:val="none" w:sz="0" w:space="0" w:color="auto"/>
        <w:left w:val="none" w:sz="0" w:space="0" w:color="auto"/>
        <w:bottom w:val="none" w:sz="0" w:space="0" w:color="auto"/>
        <w:right w:val="none" w:sz="0" w:space="0" w:color="auto"/>
      </w:divBdr>
    </w:div>
    <w:div w:id="1978217849">
      <w:bodyDiv w:val="1"/>
      <w:marLeft w:val="0"/>
      <w:marRight w:val="0"/>
      <w:marTop w:val="0"/>
      <w:marBottom w:val="0"/>
      <w:divBdr>
        <w:top w:val="none" w:sz="0" w:space="0" w:color="auto"/>
        <w:left w:val="none" w:sz="0" w:space="0" w:color="auto"/>
        <w:bottom w:val="none" w:sz="0" w:space="0" w:color="auto"/>
        <w:right w:val="none" w:sz="0" w:space="0" w:color="auto"/>
      </w:divBdr>
    </w:div>
    <w:div w:id="1993830027">
      <w:bodyDiv w:val="1"/>
      <w:marLeft w:val="0"/>
      <w:marRight w:val="0"/>
      <w:marTop w:val="0"/>
      <w:marBottom w:val="0"/>
      <w:divBdr>
        <w:top w:val="none" w:sz="0" w:space="0" w:color="auto"/>
        <w:left w:val="none" w:sz="0" w:space="0" w:color="auto"/>
        <w:bottom w:val="none" w:sz="0" w:space="0" w:color="auto"/>
        <w:right w:val="none" w:sz="0" w:space="0" w:color="auto"/>
      </w:divBdr>
    </w:div>
    <w:div w:id="2007440200">
      <w:bodyDiv w:val="1"/>
      <w:marLeft w:val="0"/>
      <w:marRight w:val="0"/>
      <w:marTop w:val="0"/>
      <w:marBottom w:val="0"/>
      <w:divBdr>
        <w:top w:val="none" w:sz="0" w:space="0" w:color="auto"/>
        <w:left w:val="none" w:sz="0" w:space="0" w:color="auto"/>
        <w:bottom w:val="none" w:sz="0" w:space="0" w:color="auto"/>
        <w:right w:val="none" w:sz="0" w:space="0" w:color="auto"/>
      </w:divBdr>
    </w:div>
    <w:div w:id="20350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5AIRPNAIUNRU-1916262822-2825</_dlc_DocId>
    <_dlc_DocIdUrl xmlns="71c5aaf6-e6ce-465b-b873-5148d2a4c105">
      <Url>https://nokia.sharepoint.com/sites/c5g/_layouts/15/DocIdRedir.aspx?ID=5AIRPNAIUNRU-1916262822-2825</Url>
      <Description>5AIRPNAIUNRU-1916262822-2825</Description>
    </_dlc_DocIdUrl>
    <TaxCatchAll xmlns="71c5aaf6-e6ce-465b-b873-5148d2a4c105" xsi:nil="true"/>
    <lcf76f155ced4ddcb4097134ff3c332f xmlns="610ccbe2-d8cc-4d3a-b40d-a16ab8d3b403">
      <Terms xmlns="http://schemas.microsoft.com/office/infopath/2007/PartnerControls"/>
    </lcf76f155ced4ddcb4097134ff3c332f>
    <SharedWithUsers xmlns="3b34c8f0-1ef5-4d1e-bb66-517ce7fe7356">
      <UserInfo>
        <DisplayName>Mads Lauridsen (Nokia)</DisplayName>
        <AccountId>5232</AccountId>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50F0A-7CF2-4B79-98FA-D32F97A47936}">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purl.org/dc/terms/"/>
    <ds:schemaRef ds:uri="http://schemas.openxmlformats.org/package/2006/metadata/core-properties"/>
    <ds:schemaRef ds:uri="3b34c8f0-1ef5-4d1e-bb66-517ce7fe7356"/>
    <ds:schemaRef ds:uri="http://purl.org/dc/elements/1.1/"/>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610ccbe2-d8cc-4d3a-b40d-a16ab8d3b403"/>
    <ds:schemaRef ds:uri="71c5aaf6-e6ce-465b-b873-5148d2a4c105"/>
  </ds:schemaRefs>
</ds:datastoreItem>
</file>

<file path=customXml/itemProps5.xml><?xml version="1.0" encoding="utf-8"?>
<ds:datastoreItem xmlns:ds="http://schemas.openxmlformats.org/officeDocument/2006/customXml" ds:itemID="{A547401E-0668-47F1-A66A-869E2B3F8803}">
  <ds:schemaRefs>
    <ds:schemaRef ds:uri="http://schemas.openxmlformats.org/officeDocument/2006/bibliography"/>
  </ds:schemaRefs>
</ds:datastoreItem>
</file>

<file path=customXml/itemProps6.xml><?xml version="1.0" encoding="utf-8"?>
<ds:datastoreItem xmlns:ds="http://schemas.openxmlformats.org/officeDocument/2006/customXml" ds:itemID="{BF94C814-9170-48C7-8253-932D6E544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3</Pages>
  <Words>1250</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Matthew Baker</cp:lastModifiedBy>
  <cp:revision>239</cp:revision>
  <dcterms:created xsi:type="dcterms:W3CDTF">2022-12-05T17:16:00Z</dcterms:created>
  <dcterms:modified xsi:type="dcterms:W3CDTF">2023-12-04T17:59:00Z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MediaServiceImageTags">
    <vt:lpwstr/>
  </property>
  <property fmtid="{D5CDD505-2E9C-101B-9397-08002B2CF9AE}" pid="4" name="_dlc_DocIdItemGuid">
    <vt:lpwstr>5e9fe0fc-c226-47d7-8f86-d1a5e7df9b22</vt:lpwstr>
  </property>
</Properties>
</file>