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AAFBBF6" w:rsidR="00EE013E" w:rsidRPr="00EE013E" w:rsidRDefault="00A209D6" w:rsidP="00A209D6">
      <w:pPr>
        <w:pStyle w:val="a3"/>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B46E85">
        <w:rPr>
          <w:bCs/>
          <w:noProof w:val="0"/>
          <w:sz w:val="24"/>
          <w:szCs w:val="24"/>
        </w:rPr>
        <w:t>1</w:t>
      </w:r>
      <w:r w:rsidR="002F7956">
        <w:rPr>
          <w:bCs/>
          <w:noProof w:val="0"/>
          <w:sz w:val="24"/>
          <w:szCs w:val="24"/>
        </w:rPr>
        <w:t>02</w:t>
      </w:r>
      <w:r w:rsidRPr="00B266B0">
        <w:rPr>
          <w:bCs/>
          <w:noProof w:val="0"/>
          <w:sz w:val="24"/>
          <w:szCs w:val="24"/>
        </w:rPr>
        <w:tab/>
      </w:r>
      <w:r w:rsidR="00B50369">
        <w:rPr>
          <w:bCs/>
          <w:noProof w:val="0"/>
          <w:sz w:val="24"/>
          <w:szCs w:val="24"/>
        </w:rPr>
        <w:t>R</w:t>
      </w:r>
      <w:r w:rsidR="002F7956">
        <w:rPr>
          <w:bCs/>
          <w:noProof w:val="0"/>
          <w:sz w:val="24"/>
          <w:szCs w:val="24"/>
        </w:rPr>
        <w:t>P</w:t>
      </w:r>
      <w:r w:rsidR="00B50369">
        <w:rPr>
          <w:bCs/>
          <w:noProof w:val="0"/>
          <w:sz w:val="24"/>
          <w:szCs w:val="24"/>
        </w:rPr>
        <w:t>-</w:t>
      </w:r>
      <w:r w:rsidR="00A0175F" w:rsidRPr="00A0175F">
        <w:rPr>
          <w:bCs/>
          <w:noProof w:val="0"/>
          <w:sz w:val="24"/>
          <w:szCs w:val="24"/>
        </w:rPr>
        <w:t>233139</w:t>
      </w:r>
    </w:p>
    <w:p w14:paraId="11776FA6" w14:textId="669A6DF1" w:rsidR="00A209D6" w:rsidRPr="00465587" w:rsidRDefault="002F7956" w:rsidP="00A209D6">
      <w:pPr>
        <w:pStyle w:val="a3"/>
        <w:tabs>
          <w:tab w:val="right" w:pos="9639"/>
        </w:tabs>
        <w:rPr>
          <w:bCs/>
          <w:sz w:val="24"/>
          <w:szCs w:val="24"/>
          <w:lang w:eastAsia="zh-CN"/>
        </w:rPr>
      </w:pPr>
      <w:r>
        <w:rPr>
          <w:bCs/>
          <w:sz w:val="24"/>
          <w:szCs w:val="24"/>
          <w:lang w:eastAsia="zh-CN"/>
        </w:rPr>
        <w:t xml:space="preserve">Edinburgh, </w:t>
      </w:r>
      <w:r w:rsidR="00391F25" w:rsidRPr="00391F25">
        <w:rPr>
          <w:bCs/>
          <w:sz w:val="24"/>
          <w:szCs w:val="24"/>
          <w:lang w:eastAsia="zh-CN"/>
        </w:rPr>
        <w:t>Scotland</w:t>
      </w:r>
      <w:bookmarkStart w:id="0" w:name="_GoBack"/>
      <w:bookmarkEnd w:id="0"/>
      <w:r w:rsidR="003C2C5D">
        <w:rPr>
          <w:bCs/>
          <w:sz w:val="24"/>
          <w:szCs w:val="24"/>
          <w:lang w:eastAsia="zh-CN"/>
        </w:rPr>
        <w:t xml:space="preserve">, </w:t>
      </w:r>
      <w:r>
        <w:rPr>
          <w:bCs/>
          <w:sz w:val="24"/>
          <w:szCs w:val="24"/>
          <w:lang w:eastAsia="zh-CN"/>
        </w:rPr>
        <w:t>11</w:t>
      </w:r>
      <w:r w:rsidR="0088643C">
        <w:rPr>
          <w:bCs/>
          <w:sz w:val="24"/>
          <w:szCs w:val="24"/>
          <w:vertAlign w:val="superscript"/>
          <w:lang w:eastAsia="zh-CN"/>
        </w:rPr>
        <w:t>th</w:t>
      </w:r>
      <w:r w:rsidR="004624C7">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88643C">
        <w:rPr>
          <w:bCs/>
          <w:sz w:val="24"/>
          <w:szCs w:val="24"/>
          <w:lang w:eastAsia="zh-CN"/>
        </w:rPr>
        <w:t>1</w:t>
      </w:r>
      <w:r>
        <w:rPr>
          <w:bCs/>
          <w:sz w:val="24"/>
          <w:szCs w:val="24"/>
          <w:lang w:eastAsia="zh-CN"/>
        </w:rPr>
        <w:t>5</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December</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2A5B87B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956">
        <w:rPr>
          <w:rFonts w:cs="Arial"/>
          <w:b/>
          <w:bCs/>
          <w:sz w:val="24"/>
        </w:rPr>
        <w:t>9.3.3.3</w:t>
      </w:r>
    </w:p>
    <w:p w14:paraId="73188B46" w14:textId="223677F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0E57C3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D77F3E">
        <w:rPr>
          <w:rFonts w:eastAsia="SimSun"/>
          <w:b/>
          <w:bCs/>
          <w:sz w:val="24"/>
          <w:szCs w:val="20"/>
          <w:lang w:val="en-GB" w:eastAsia="en-US"/>
        </w:rPr>
        <w:t>Way forward on support</w:t>
      </w:r>
      <w:r w:rsidR="00A418D7">
        <w:rPr>
          <w:rFonts w:eastAsia="SimSun"/>
          <w:b/>
          <w:bCs/>
          <w:sz w:val="24"/>
          <w:szCs w:val="20"/>
          <w:lang w:val="en-GB" w:eastAsia="en-US"/>
        </w:rPr>
        <w:t xml:space="preserve"> of</w:t>
      </w:r>
      <w:r w:rsidR="003504A4">
        <w:rPr>
          <w:rFonts w:eastAsia="SimSun"/>
          <w:b/>
          <w:bCs/>
          <w:sz w:val="24"/>
          <w:szCs w:val="20"/>
          <w:lang w:val="en-GB" w:eastAsia="en-US"/>
        </w:rPr>
        <w:t xml:space="preserve"> LTE to NR</w:t>
      </w:r>
      <w:r w:rsidR="0039412F">
        <w:rPr>
          <w:rFonts w:eastAsia="SimSun"/>
          <w:b/>
          <w:bCs/>
          <w:sz w:val="24"/>
          <w:szCs w:val="20"/>
          <w:lang w:val="en-GB" w:eastAsia="en-US"/>
        </w:rPr>
        <w:t xml:space="preserve"> Inter-RAT mIAB cell reselection</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1A697110" w14:textId="7AD95D6C" w:rsidR="00F61EF6" w:rsidRDefault="00F61EF6" w:rsidP="00F61EF6">
      <w:r>
        <w:t>In RAN#</w:t>
      </w:r>
      <w:r w:rsidR="00204CAF">
        <w:t>101</w:t>
      </w:r>
      <w:r>
        <w:t xml:space="preserv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ad"/>
        <w:tblW w:w="0" w:type="auto"/>
        <w:tblLook w:val="04A0" w:firstRow="1" w:lastRow="0" w:firstColumn="1" w:lastColumn="0" w:noHBand="0" w:noVBand="1"/>
      </w:tblPr>
      <w:tblGrid>
        <w:gridCol w:w="9631"/>
      </w:tblGrid>
      <w:tr w:rsidR="00F61EF6" w14:paraId="1C50FE01" w14:textId="77777777" w:rsidTr="00BE4724">
        <w:tc>
          <w:tcPr>
            <w:tcW w:w="9631" w:type="dxa"/>
          </w:tcPr>
          <w:p w14:paraId="271DB091" w14:textId="36D660CC" w:rsidR="00204CAF" w:rsidRPr="00204CAF" w:rsidRDefault="00204CAF" w:rsidP="00204CAF">
            <w:pPr>
              <w:pStyle w:val="maintext"/>
              <w:spacing w:before="0" w:after="0" w:line="240" w:lineRule="auto"/>
              <w:ind w:firstLineChars="0" w:firstLine="0"/>
              <w:rPr>
                <w:rFonts w:eastAsia="Times New Roman" w:cs="Times New Roman"/>
                <w:sz w:val="18"/>
                <w:lang w:eastAsia="en-US"/>
              </w:rPr>
            </w:pPr>
            <w:r w:rsidRPr="00204CAF">
              <w:rPr>
                <w:rFonts w:eastAsia="Times New Roman" w:cs="Times New Roman"/>
                <w:sz w:val="18"/>
                <w:lang w:eastAsia="en-US"/>
              </w:rPr>
              <w:t>The detailed objectives of the WI are listed as follows:</w:t>
            </w:r>
          </w:p>
          <w:p w14:paraId="390B723C" w14:textId="77777777" w:rsidR="00204CAF" w:rsidRPr="00204CAF" w:rsidRDefault="00204CAF" w:rsidP="00204CAF">
            <w:pPr>
              <w:pStyle w:val="maintext"/>
              <w:numPr>
                <w:ilvl w:val="0"/>
                <w:numId w:val="21"/>
              </w:numPr>
              <w:spacing w:before="0" w:after="0" w:line="240" w:lineRule="auto"/>
              <w:ind w:firstLineChars="0"/>
              <w:rPr>
                <w:rFonts w:eastAsia="Times New Roman" w:cs="Times New Roman"/>
                <w:sz w:val="18"/>
                <w:lang w:eastAsia="en-US"/>
              </w:rPr>
            </w:pPr>
            <w:r w:rsidRPr="00204CAF">
              <w:rPr>
                <w:rFonts w:eastAsia="Times New Roman" w:cs="Times New Roman"/>
                <w:sz w:val="18"/>
                <w:lang w:eastAsia="en-US"/>
              </w:rPr>
              <w:t>Define Procedures for migration/topology adaptation to enable IAB-node mobility, including inter-donor migration of the entire mobile IAB-node (full migration) [RAN3, RAN2]</w:t>
            </w:r>
          </w:p>
          <w:p w14:paraId="072A2D2F" w14:textId="77777777" w:rsidR="00204CAF" w:rsidRPr="00204CAF" w:rsidRDefault="00204CAF" w:rsidP="00204CAF">
            <w:pPr>
              <w:pStyle w:val="maintext"/>
              <w:numPr>
                <w:ilvl w:val="1"/>
                <w:numId w:val="21"/>
              </w:numPr>
              <w:spacing w:before="0" w:after="0" w:line="240" w:lineRule="auto"/>
              <w:ind w:firstLineChars="0"/>
              <w:rPr>
                <w:rFonts w:eastAsia="Times New Roman" w:cs="Times New Roman"/>
                <w:sz w:val="18"/>
                <w:lang w:eastAsia="en-US"/>
              </w:rPr>
            </w:pPr>
            <w:r w:rsidRPr="00204CAF">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6FD80B4" w14:textId="75057303" w:rsidR="00204CAF" w:rsidRPr="00342688" w:rsidRDefault="00204CAF" w:rsidP="00342688">
            <w:pPr>
              <w:pStyle w:val="maintext"/>
              <w:numPr>
                <w:ilvl w:val="1"/>
                <w:numId w:val="21"/>
              </w:numPr>
              <w:spacing w:before="0" w:after="0" w:line="240" w:lineRule="auto"/>
              <w:ind w:firstLineChars="0"/>
              <w:rPr>
                <w:rFonts w:eastAsia="Times New Roman" w:cs="Times New Roman"/>
                <w:sz w:val="18"/>
                <w:lang w:eastAsia="en-US"/>
              </w:rPr>
            </w:pPr>
            <w:r w:rsidRPr="00204CAF">
              <w:rPr>
                <w:rFonts w:eastAsia="Times New Roman" w:cs="Times New Roman"/>
                <w:sz w:val="18"/>
                <w:lang w:eastAsia="en-US"/>
              </w:rPr>
              <w:t>The mobility of dual-connected IAB-nodes is down-prioritized.</w:t>
            </w:r>
          </w:p>
          <w:p w14:paraId="363F546E" w14:textId="77777777" w:rsidR="00204CAF" w:rsidRPr="00204CAF" w:rsidRDefault="00204CAF" w:rsidP="00204CAF">
            <w:pPr>
              <w:pStyle w:val="maintext"/>
              <w:numPr>
                <w:ilvl w:val="0"/>
                <w:numId w:val="21"/>
              </w:numPr>
              <w:spacing w:before="0" w:after="0" w:line="240" w:lineRule="auto"/>
              <w:ind w:firstLineChars="0"/>
              <w:rPr>
                <w:rFonts w:eastAsia="Times New Roman" w:cs="Times New Roman"/>
                <w:sz w:val="18"/>
                <w:lang w:eastAsia="en-US"/>
              </w:rPr>
            </w:pPr>
            <w:r w:rsidRPr="00204CAF">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696CE0A" w14:textId="77777777" w:rsidR="00204CAF" w:rsidRPr="00204CAF" w:rsidRDefault="00204CAF" w:rsidP="00204CAF">
            <w:pPr>
              <w:pStyle w:val="maintext"/>
              <w:spacing w:before="0" w:after="0" w:line="240" w:lineRule="auto"/>
              <w:ind w:left="720" w:firstLineChars="0" w:firstLine="0"/>
              <w:rPr>
                <w:rFonts w:eastAsia="Times New Roman" w:cs="Times New Roman"/>
                <w:i/>
                <w:iCs/>
                <w:sz w:val="18"/>
                <w:lang w:eastAsia="en-US"/>
              </w:rPr>
            </w:pPr>
            <w:r w:rsidRPr="00204CAF">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526B1373" w14:textId="77777777" w:rsidR="00204CAF" w:rsidRPr="00204CAF" w:rsidRDefault="00204CAF" w:rsidP="00204CAF">
            <w:pPr>
              <w:pStyle w:val="maintext"/>
              <w:numPr>
                <w:ilvl w:val="0"/>
                <w:numId w:val="21"/>
              </w:numPr>
              <w:spacing w:before="0" w:after="0" w:line="240" w:lineRule="auto"/>
              <w:ind w:firstLineChars="0"/>
              <w:rPr>
                <w:rFonts w:eastAsia="Times New Roman" w:cs="Times New Roman"/>
                <w:sz w:val="18"/>
                <w:lang w:eastAsia="en-US"/>
              </w:rPr>
            </w:pPr>
            <w:r w:rsidRPr="00204CAF">
              <w:rPr>
                <w:rFonts w:eastAsia="Times New Roman" w:cs="Times New Roman"/>
                <w:sz w:val="18"/>
                <w:lang w:eastAsia="en-US"/>
              </w:rPr>
              <w:t>Mitigation of interference due to IAB-node mobility, including the avoidance of potential reference and control signal collisions (e.g. PCI, RACH). [RAN3, RAN2]</w:t>
            </w:r>
          </w:p>
          <w:p w14:paraId="70D5F6FE" w14:textId="77777777" w:rsidR="00204CAF" w:rsidRPr="00204CAF" w:rsidRDefault="00204CAF" w:rsidP="00204CAF">
            <w:pPr>
              <w:pStyle w:val="maintext"/>
              <w:spacing w:before="0" w:after="0" w:line="240" w:lineRule="auto"/>
              <w:ind w:firstLineChars="0" w:firstLine="0"/>
              <w:rPr>
                <w:rFonts w:eastAsia="Times New Roman" w:cs="Times New Roman"/>
                <w:sz w:val="18"/>
                <w:lang w:eastAsia="en-US"/>
              </w:rPr>
            </w:pPr>
            <w:r w:rsidRPr="00204CAF">
              <w:rPr>
                <w:sz w:val="18"/>
              </w:rPr>
              <w:t xml:space="preserve"> </w:t>
            </w:r>
          </w:p>
          <w:p w14:paraId="5B7174C5" w14:textId="77777777" w:rsidR="00204CAF" w:rsidRPr="00204CAF" w:rsidRDefault="00204CAF" w:rsidP="00204CAF">
            <w:pPr>
              <w:pStyle w:val="maintext"/>
              <w:spacing w:before="0" w:after="0" w:line="240" w:lineRule="auto"/>
              <w:ind w:firstLineChars="0" w:firstLine="0"/>
              <w:rPr>
                <w:rFonts w:eastAsia="Times New Roman" w:cs="Times New Roman"/>
                <w:sz w:val="18"/>
                <w:lang w:eastAsia="en-US"/>
              </w:rPr>
            </w:pPr>
            <w:r w:rsidRPr="00204CAF">
              <w:rPr>
                <w:rFonts w:eastAsia="Times New Roman" w:cs="Times New Roman"/>
                <w:sz w:val="18"/>
                <w:lang w:eastAsia="en-US"/>
              </w:rPr>
              <w:t>The following principles should be respected:</w:t>
            </w:r>
          </w:p>
          <w:p w14:paraId="2A998535" w14:textId="77777777" w:rsidR="00204CAF" w:rsidRPr="00204CAF" w:rsidRDefault="00204CAF" w:rsidP="00204CAF">
            <w:pPr>
              <w:pStyle w:val="maintext"/>
              <w:numPr>
                <w:ilvl w:val="0"/>
                <w:numId w:val="22"/>
              </w:numPr>
              <w:spacing w:before="0" w:after="0" w:line="240" w:lineRule="auto"/>
              <w:ind w:firstLineChars="0"/>
              <w:jc w:val="left"/>
              <w:rPr>
                <w:rFonts w:eastAsia="Times New Roman" w:cs="Times New Roman"/>
                <w:sz w:val="18"/>
                <w:lang w:eastAsia="en-US"/>
              </w:rPr>
            </w:pPr>
            <w:r w:rsidRPr="00204CAF">
              <w:rPr>
                <w:rFonts w:eastAsia="Times New Roman" w:cs="Times New Roman"/>
                <w:sz w:val="18"/>
                <w:lang w:eastAsia="en-US"/>
              </w:rPr>
              <w:t>Mobile IAB-nodes should be able to serve legacy UEs.</w:t>
            </w:r>
          </w:p>
          <w:p w14:paraId="5E97FB59" w14:textId="77777777" w:rsidR="00204CAF" w:rsidRPr="00204CAF" w:rsidRDefault="00204CAF" w:rsidP="00204CAF">
            <w:pPr>
              <w:pStyle w:val="maintext"/>
              <w:numPr>
                <w:ilvl w:val="0"/>
                <w:numId w:val="22"/>
              </w:numPr>
              <w:spacing w:before="0" w:after="0" w:line="240" w:lineRule="auto"/>
              <w:ind w:firstLineChars="0"/>
              <w:jc w:val="left"/>
              <w:rPr>
                <w:rFonts w:eastAsia="Times New Roman" w:cs="Times New Roman"/>
                <w:sz w:val="18"/>
                <w:lang w:eastAsia="en-US"/>
              </w:rPr>
            </w:pPr>
            <w:r w:rsidRPr="00204CAF">
              <w:rPr>
                <w:rFonts w:eastAsia="Times New Roman" w:cs="Times New Roman"/>
                <w:sz w:val="18"/>
                <w:lang w:eastAsia="en-US"/>
              </w:rPr>
              <w:t>Solutions providing optimization for Mobile IAB may entail Rel-18 UE enhancements, provided that such enhancements are backwards compatible</w:t>
            </w:r>
          </w:p>
          <w:p w14:paraId="07926EE9" w14:textId="77777777" w:rsidR="00204CAF" w:rsidRPr="00204CAF" w:rsidRDefault="00204CAF" w:rsidP="00204CAF">
            <w:pPr>
              <w:pStyle w:val="maintext"/>
              <w:spacing w:before="0" w:after="0" w:line="240" w:lineRule="auto"/>
              <w:ind w:firstLineChars="0" w:firstLine="0"/>
              <w:rPr>
                <w:rFonts w:eastAsia="Times New Roman" w:cs="Times New Roman"/>
                <w:sz w:val="18"/>
                <w:lang w:eastAsia="en-US"/>
              </w:rPr>
            </w:pPr>
          </w:p>
          <w:p w14:paraId="17B59180" w14:textId="77777777" w:rsidR="00204CAF" w:rsidRPr="00204CAF" w:rsidRDefault="00204CAF" w:rsidP="00204CAF">
            <w:pPr>
              <w:pStyle w:val="maintext"/>
              <w:spacing w:before="0" w:after="0" w:line="240" w:lineRule="auto"/>
              <w:ind w:firstLineChars="0" w:firstLine="0"/>
              <w:jc w:val="left"/>
              <w:rPr>
                <w:rFonts w:eastAsia="Times New Roman" w:cs="Times New Roman"/>
                <w:sz w:val="18"/>
                <w:lang w:eastAsia="en-US"/>
              </w:rPr>
            </w:pPr>
            <w:r w:rsidRPr="00204CAF">
              <w:rPr>
                <w:rFonts w:eastAsia="Times New Roman" w:cs="Times New Roman"/>
                <w:sz w:val="18"/>
                <w:lang w:eastAsia="en-US"/>
              </w:rPr>
              <w:t>RAN4 is expected to study impact on RF and RRM requirements:</w:t>
            </w:r>
          </w:p>
          <w:p w14:paraId="2B9B9F76" w14:textId="77777777" w:rsidR="00204CAF" w:rsidRPr="00204CAF" w:rsidRDefault="00204CAF" w:rsidP="00204CAF">
            <w:pPr>
              <w:pStyle w:val="maintext"/>
              <w:numPr>
                <w:ilvl w:val="0"/>
                <w:numId w:val="22"/>
              </w:numPr>
              <w:spacing w:before="0" w:after="0" w:line="240" w:lineRule="auto"/>
              <w:ind w:firstLineChars="0"/>
              <w:jc w:val="left"/>
              <w:rPr>
                <w:rFonts w:eastAsia="Times New Roman" w:cs="Times New Roman"/>
                <w:sz w:val="18"/>
                <w:lang w:eastAsia="en-US"/>
              </w:rPr>
            </w:pPr>
            <w:r w:rsidRPr="00204CAF">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0C41420B" w14:textId="77777777" w:rsidR="00204CAF" w:rsidRPr="00204CAF" w:rsidRDefault="00204CAF" w:rsidP="00204CAF">
            <w:pPr>
              <w:pStyle w:val="maintext"/>
              <w:numPr>
                <w:ilvl w:val="0"/>
                <w:numId w:val="22"/>
              </w:numPr>
              <w:spacing w:before="0" w:after="0" w:line="240" w:lineRule="auto"/>
              <w:ind w:firstLineChars="0"/>
              <w:jc w:val="left"/>
              <w:rPr>
                <w:rFonts w:eastAsia="Times New Roman" w:cs="Times New Roman"/>
                <w:sz w:val="18"/>
                <w:lang w:eastAsia="en-US"/>
              </w:rPr>
            </w:pPr>
            <w:r w:rsidRPr="00204CAF">
              <w:rPr>
                <w:rFonts w:eastAsia="Times New Roman" w:cs="Times New Roman"/>
                <w:sz w:val="18"/>
                <w:lang w:eastAsia="en-US"/>
              </w:rPr>
              <w:t>Specify RRM requirements for the mobile IAB-node to enable IAB-node mobility, if needed.</w:t>
            </w:r>
          </w:p>
          <w:p w14:paraId="3E8F611C" w14:textId="77777777" w:rsidR="00204CAF" w:rsidRPr="00204CAF" w:rsidRDefault="00204CAF" w:rsidP="00204CAF">
            <w:pPr>
              <w:spacing w:after="0"/>
              <w:rPr>
                <w:rFonts w:asciiTheme="minorHAnsi" w:hAnsiTheme="minorHAnsi" w:cstheme="minorHAnsi"/>
                <w:iCs/>
                <w:sz w:val="18"/>
                <w:szCs w:val="22"/>
                <w:u w:val="single"/>
              </w:rPr>
            </w:pPr>
          </w:p>
          <w:p w14:paraId="3F5AE005" w14:textId="592C69DE" w:rsidR="00F61EF6" w:rsidRPr="00647513" w:rsidRDefault="00204CAF" w:rsidP="00204CAF">
            <w:pPr>
              <w:pStyle w:val="maintext"/>
              <w:spacing w:before="0" w:after="0" w:line="240" w:lineRule="auto"/>
              <w:ind w:firstLineChars="0" w:firstLine="0"/>
              <w:rPr>
                <w:rFonts w:eastAsia="Times New Roman" w:cs="Times New Roman"/>
                <w:lang w:eastAsia="en-US"/>
              </w:rPr>
            </w:pPr>
            <w:r w:rsidRPr="00204CAF">
              <w:rPr>
                <w:rFonts w:eastAsia="Times New Roman" w:cs="Times New Roman"/>
                <w:sz w:val="18"/>
                <w:lang w:eastAsia="en-US"/>
              </w:rPr>
              <w:t>The involvement of RAN1 may be needed, depending on work progress.</w:t>
            </w:r>
          </w:p>
        </w:tc>
      </w:tr>
    </w:tbl>
    <w:p w14:paraId="18BAB75C" w14:textId="2F758B22" w:rsidR="002F7956" w:rsidRDefault="002F7956" w:rsidP="00F00A10"/>
    <w:p w14:paraId="7A548F75" w14:textId="6BDBF6D4" w:rsidR="00A7595B" w:rsidRDefault="00A7595B" w:rsidP="00A7595B">
      <w:pPr>
        <w:rPr>
          <w:rFonts w:eastAsia="DengXian"/>
          <w:lang w:val="en-GB" w:eastAsia="zh-CN"/>
        </w:rPr>
      </w:pPr>
      <w:r>
        <w:rPr>
          <w:rFonts w:eastAsia="DengXian"/>
          <w:lang w:val="en-GB" w:eastAsia="zh-CN"/>
        </w:rPr>
        <w:t>I</w:t>
      </w:r>
      <w:r w:rsidR="0039412F">
        <w:rPr>
          <w:rFonts w:eastAsia="DengXian"/>
          <w:lang w:val="en-GB" w:eastAsia="zh-CN"/>
        </w:rPr>
        <w:t>n this contribution, we discuss aspects on inter</w:t>
      </w:r>
      <w:r w:rsidR="00204CAF">
        <w:rPr>
          <w:rFonts w:eastAsia="DengXian"/>
          <w:lang w:val="en-GB" w:eastAsia="zh-CN"/>
        </w:rPr>
        <w:t xml:space="preserve">-RAT cell reselection for mIAB that was discussed in RAN2. </w:t>
      </w:r>
    </w:p>
    <w:p w14:paraId="51ABF603" w14:textId="1A6738F0" w:rsidR="00DC6A61" w:rsidRPr="006E13D1" w:rsidRDefault="0039412F" w:rsidP="00B7538C">
      <w:pPr>
        <w:pStyle w:val="1"/>
      </w:pPr>
      <w:r>
        <w:t>Discussion</w:t>
      </w:r>
    </w:p>
    <w:p w14:paraId="00460653" w14:textId="2D1062EA" w:rsidR="00F56DD6" w:rsidRDefault="002F7956" w:rsidP="0039412F">
      <w:pPr>
        <w:rPr>
          <w:lang w:val="en-GB" w:eastAsia="en-US"/>
        </w:rPr>
      </w:pPr>
      <w:r>
        <w:rPr>
          <w:lang w:val="en-GB" w:eastAsia="en-US"/>
        </w:rPr>
        <w:t xml:space="preserve">In </w:t>
      </w:r>
      <w:r w:rsidR="00000F31">
        <w:rPr>
          <w:lang w:val="en-GB" w:eastAsia="en-US"/>
        </w:rPr>
        <w:t xml:space="preserve">the Release 18 Work Item </w:t>
      </w:r>
      <w:r>
        <w:rPr>
          <w:lang w:val="en-GB" w:eastAsia="en-US"/>
        </w:rPr>
        <w:t>mIAB, RAN2 has agreed cell reselection enhancements to enable a UE to further prioritize a frequency if the UE is on-board and detects</w:t>
      </w:r>
      <w:r w:rsidR="003504A4">
        <w:rPr>
          <w:lang w:val="en-GB" w:eastAsia="en-US"/>
        </w:rPr>
        <w:t xml:space="preserve"> an mIAB cell on the frequency. The signaling and the methods are introduced in NR specifications as the mIAB cell can only be an NR cell. However, most modern cellular network both 4G and 5G networks deployed tightly,</w:t>
      </w:r>
      <w:r w:rsidR="00F56DD6">
        <w:rPr>
          <w:lang w:val="en-GB" w:eastAsia="en-US"/>
        </w:rPr>
        <w:t xml:space="preserve"> thus cell reselection</w:t>
      </w:r>
      <w:r w:rsidR="003504A4">
        <w:rPr>
          <w:lang w:val="en-GB" w:eastAsia="en-US"/>
        </w:rPr>
        <w:t xml:space="preserve"> between</w:t>
      </w:r>
      <w:r w:rsidR="00F56DD6">
        <w:rPr>
          <w:lang w:val="en-GB" w:eastAsia="en-US"/>
        </w:rPr>
        <w:t xml:space="preserve"> LTE and NR are equally as important as NR to NR mIAB cell reselection. </w:t>
      </w:r>
    </w:p>
    <w:p w14:paraId="53F0ECFC" w14:textId="40FFD316" w:rsidR="00F56DD6" w:rsidRPr="00F56DD6" w:rsidRDefault="00F56DD6" w:rsidP="0039412F">
      <w:pPr>
        <w:rPr>
          <w:b/>
          <w:lang w:val="en-GB" w:eastAsia="en-US"/>
        </w:rPr>
      </w:pPr>
      <w:r w:rsidRPr="002565ED">
        <w:rPr>
          <w:b/>
          <w:lang w:val="en-GB" w:eastAsia="en-US"/>
        </w:rPr>
        <w:t xml:space="preserve">Observation 1: </w:t>
      </w:r>
      <w:r>
        <w:rPr>
          <w:b/>
          <w:lang w:val="en-GB" w:eastAsia="en-US"/>
        </w:rPr>
        <w:t xml:space="preserve">   In current modern deployment</w:t>
      </w:r>
      <w:r w:rsidR="007C680A">
        <w:rPr>
          <w:b/>
          <w:lang w:val="en-GB" w:eastAsia="en-US"/>
        </w:rPr>
        <w:t xml:space="preserve">, E-UTRAN to NR mIAB cell idle mode mobility would be </w:t>
      </w:r>
      <w:r w:rsidRPr="002565ED">
        <w:rPr>
          <w:b/>
          <w:lang w:val="en-GB" w:eastAsia="en-US"/>
        </w:rPr>
        <w:t>equally as</w:t>
      </w:r>
      <w:r w:rsidR="007C680A">
        <w:rPr>
          <w:b/>
          <w:lang w:val="en-GB" w:eastAsia="en-US"/>
        </w:rPr>
        <w:t xml:space="preserve"> important as NR to NR mIAB cell idle mode</w:t>
      </w:r>
      <w:r w:rsidRPr="002565ED">
        <w:rPr>
          <w:b/>
          <w:lang w:val="en-GB" w:eastAsia="en-US"/>
        </w:rPr>
        <w:t xml:space="preserve"> mobility. </w:t>
      </w:r>
    </w:p>
    <w:p w14:paraId="723FDDB0" w14:textId="0C8909B4" w:rsidR="003504A4" w:rsidRDefault="003504A4" w:rsidP="0039412F">
      <w:pPr>
        <w:rPr>
          <w:lang w:val="en-GB" w:eastAsia="en-US"/>
        </w:rPr>
      </w:pPr>
      <w:r>
        <w:rPr>
          <w:lang w:val="en-GB" w:eastAsia="en-US"/>
        </w:rPr>
        <w:lastRenderedPageBreak/>
        <w:t>Thus in RAN2#123bis and RAN2#124 it was proposed to introduce the same cell reselection enhancements for inter-RAT cell reselection for mIAB. In other words, allow for prioritization from a legacy LTE cell to an NR mIAB cell. In RAN2#124, it was discussed and the following was captured</w:t>
      </w:r>
      <w:r w:rsidR="00204CAF">
        <w:rPr>
          <w:lang w:val="en-GB" w:eastAsia="en-US"/>
        </w:rPr>
        <w:t xml:space="preserve"> [</w:t>
      </w:r>
      <w:r w:rsidR="00F56DD6">
        <w:rPr>
          <w:lang w:val="en-GB" w:eastAsia="en-US"/>
        </w:rPr>
        <w:t>2</w:t>
      </w:r>
      <w:r w:rsidR="00204CAF">
        <w:rPr>
          <w:lang w:val="en-GB" w:eastAsia="en-US"/>
        </w:rPr>
        <w:t>]</w:t>
      </w:r>
      <w:r>
        <w:rPr>
          <w:lang w:val="en-GB" w:eastAsia="en-US"/>
        </w:rPr>
        <w:t xml:space="preserve">: </w:t>
      </w:r>
    </w:p>
    <w:p w14:paraId="23AB1E23" w14:textId="77777777" w:rsidR="00204CAF" w:rsidRPr="00D77F3E" w:rsidRDefault="00204CAF" w:rsidP="00D77F3E">
      <w:pPr>
        <w:spacing w:after="0"/>
        <w:rPr>
          <w:b/>
        </w:rPr>
      </w:pPr>
      <w:r w:rsidRPr="00D77F3E">
        <w:rPr>
          <w:b/>
        </w:rPr>
        <w:t>IRAT</w:t>
      </w:r>
    </w:p>
    <w:p w14:paraId="76AFEC7E" w14:textId="62AF630D" w:rsidR="00204CAF" w:rsidRDefault="000F3E43" w:rsidP="00204CAF">
      <w:pPr>
        <w:pStyle w:val="Doc-title"/>
      </w:pPr>
      <w:hyperlink r:id="rId8" w:history="1">
        <w:r w:rsidR="00204CAF" w:rsidRPr="00A93B73">
          <w:rPr>
            <w:rStyle w:val="a5"/>
          </w:rPr>
          <w:t>R2-2313013</w:t>
        </w:r>
      </w:hyperlink>
      <w:r w:rsidR="00204CAF" w:rsidRPr="007E3CE9">
        <w:tab/>
        <w:t>On support of inter-RAT mIAB cell reselection</w:t>
      </w:r>
      <w:r w:rsidR="00204CAF" w:rsidRPr="007E3CE9">
        <w:tab/>
        <w:t>Samsung, AT&amp;T</w:t>
      </w:r>
      <w:r w:rsidR="00204CAF" w:rsidRPr="007E3CE9">
        <w:tab/>
        <w:t>discussion</w:t>
      </w:r>
      <w:r w:rsidR="00204CAF" w:rsidRPr="007E3CE9">
        <w:tab/>
        <w:t>Rel-18</w:t>
      </w:r>
      <w:r w:rsidR="00204CAF" w:rsidRPr="007E3CE9">
        <w:tab/>
        <w:t>NR_mobile_IAB-Core</w:t>
      </w:r>
    </w:p>
    <w:p w14:paraId="56109E6D" w14:textId="77777777" w:rsidR="00204CAF" w:rsidRDefault="00204CAF" w:rsidP="00204CAF">
      <w:pPr>
        <w:pStyle w:val="Doc-text2"/>
      </w:pPr>
      <w:r>
        <w:t>-</w:t>
      </w:r>
      <w:r>
        <w:tab/>
        <w:t xml:space="preserve">LGE think the risk is high, impact may be more than indicated. </w:t>
      </w:r>
    </w:p>
    <w:p w14:paraId="569A90CA" w14:textId="77777777" w:rsidR="00204CAF" w:rsidRDefault="00204CAF" w:rsidP="00204CAF">
      <w:pPr>
        <w:pStyle w:val="Doc-text2"/>
      </w:pPr>
      <w:r>
        <w:t>-</w:t>
      </w:r>
      <w:r>
        <w:tab/>
        <w:t xml:space="preserve">Ericsson think it is quite late. </w:t>
      </w:r>
    </w:p>
    <w:p w14:paraId="02B18362" w14:textId="77777777" w:rsidR="00204CAF" w:rsidRDefault="00204CAF" w:rsidP="00204CAF">
      <w:pPr>
        <w:pStyle w:val="Doc-text2"/>
      </w:pPr>
      <w:r>
        <w:t>-</w:t>
      </w:r>
      <w:r>
        <w:tab/>
        <w:t>QC point out this is not in the WID</w:t>
      </w:r>
    </w:p>
    <w:p w14:paraId="6F09EC96" w14:textId="77777777" w:rsidR="00204CAF" w:rsidRDefault="00204CAF" w:rsidP="00204CAF">
      <w:pPr>
        <w:pStyle w:val="Doc-text2"/>
      </w:pPr>
      <w:r>
        <w:t>-</w:t>
      </w:r>
      <w:r>
        <w:tab/>
        <w:t xml:space="preserve">Samsung think EUTRA will be in deployments for long time. </w:t>
      </w:r>
    </w:p>
    <w:p w14:paraId="6AC63A37" w14:textId="77777777" w:rsidR="00204CAF" w:rsidRPr="00657677" w:rsidRDefault="00204CAF" w:rsidP="00204CAF">
      <w:pPr>
        <w:pStyle w:val="Doc-text2"/>
      </w:pPr>
      <w:r>
        <w:t>-</w:t>
      </w:r>
      <w:r>
        <w:tab/>
        <w:t xml:space="preserve">Session Chair: Recommend endorsement from TSG RAN. </w:t>
      </w:r>
    </w:p>
    <w:p w14:paraId="51B44D56" w14:textId="77777777" w:rsidR="00204CAF" w:rsidRPr="00657677" w:rsidRDefault="00204CAF" w:rsidP="00204CAF">
      <w:pPr>
        <w:pStyle w:val="Agreement"/>
      </w:pPr>
      <w:r>
        <w:t>noted</w:t>
      </w:r>
    </w:p>
    <w:p w14:paraId="7B3A5CCC" w14:textId="77777777" w:rsidR="00204CAF" w:rsidRDefault="00204CAF" w:rsidP="0039412F">
      <w:pPr>
        <w:rPr>
          <w:lang w:val="en-GB" w:eastAsia="en-US"/>
        </w:rPr>
      </w:pPr>
    </w:p>
    <w:p w14:paraId="2D38A3DC" w14:textId="3E87D4FB" w:rsidR="003504A4" w:rsidRDefault="003504A4" w:rsidP="0039412F">
      <w:pPr>
        <w:rPr>
          <w:lang w:val="en-GB" w:eastAsia="en-US"/>
        </w:rPr>
      </w:pPr>
      <w:r>
        <w:rPr>
          <w:lang w:val="en-GB" w:eastAsia="en-US"/>
        </w:rPr>
        <w:t>The reason why it should be discussed in RAN plenary</w:t>
      </w:r>
      <w:r w:rsidR="00402F98">
        <w:rPr>
          <w:lang w:val="en-GB" w:eastAsia="en-US"/>
        </w:rPr>
        <w:t xml:space="preserve"> is that the suggested enhancement, while important,</w:t>
      </w:r>
      <w:r>
        <w:rPr>
          <w:lang w:val="en-GB" w:eastAsia="en-US"/>
        </w:rPr>
        <w:t xml:space="preserve"> would affect LTE specs (36.331 and 36.304), whi</w:t>
      </w:r>
      <w:r w:rsidR="00204CAF">
        <w:rPr>
          <w:lang w:val="en-GB" w:eastAsia="en-US"/>
        </w:rPr>
        <w:t xml:space="preserve">ch are not part of the </w:t>
      </w:r>
      <w:r>
        <w:rPr>
          <w:lang w:val="en-GB" w:eastAsia="en-US"/>
        </w:rPr>
        <w:t>WID</w:t>
      </w:r>
      <w:r w:rsidR="00204CAF">
        <w:rPr>
          <w:lang w:val="en-GB" w:eastAsia="en-US"/>
        </w:rPr>
        <w:t xml:space="preserve"> [1]</w:t>
      </w:r>
      <w:r>
        <w:rPr>
          <w:lang w:val="en-GB" w:eastAsia="en-US"/>
        </w:rPr>
        <w:t xml:space="preserve">. </w:t>
      </w:r>
      <w:r w:rsidR="00D77F3E">
        <w:rPr>
          <w:lang w:val="en-GB" w:eastAsia="en-US"/>
        </w:rPr>
        <w:t xml:space="preserve">As it is important that there is seamless mobility between LTE and NR, it is not advisable to postpone the support of LTE to NR mIAB inter-RAT cell re-selection. </w:t>
      </w:r>
      <w:r>
        <w:rPr>
          <w:lang w:val="en-GB" w:eastAsia="en-US"/>
        </w:rPr>
        <w:t xml:space="preserve">  </w:t>
      </w:r>
    </w:p>
    <w:p w14:paraId="7017482D" w14:textId="16731003" w:rsidR="00F56DD6" w:rsidRPr="00F56DD6" w:rsidRDefault="00F56DD6" w:rsidP="00F56DD6">
      <w:pPr>
        <w:rPr>
          <w:b/>
          <w:lang w:val="en-GB" w:eastAsia="en-US"/>
        </w:rPr>
      </w:pPr>
      <w:r w:rsidRPr="002565ED">
        <w:rPr>
          <w:b/>
          <w:lang w:val="en-GB" w:eastAsia="en-US"/>
        </w:rPr>
        <w:t xml:space="preserve">Observation </w:t>
      </w:r>
      <w:r>
        <w:rPr>
          <w:b/>
          <w:lang w:val="en-GB" w:eastAsia="en-US"/>
        </w:rPr>
        <w:t>2</w:t>
      </w:r>
      <w:r w:rsidRPr="002565ED">
        <w:rPr>
          <w:b/>
          <w:lang w:val="en-GB" w:eastAsia="en-US"/>
        </w:rPr>
        <w:t xml:space="preserve">: </w:t>
      </w:r>
      <w:r>
        <w:rPr>
          <w:b/>
          <w:lang w:val="en-GB" w:eastAsia="en-US"/>
        </w:rPr>
        <w:t xml:space="preserve">   It is not advisable to postpone the support of LTE to NR mIAB inter-RAT cell re-selection</w:t>
      </w:r>
      <w:r w:rsidRPr="002565ED">
        <w:rPr>
          <w:b/>
          <w:lang w:val="en-GB" w:eastAsia="en-US"/>
        </w:rPr>
        <w:t xml:space="preserve">. </w:t>
      </w:r>
    </w:p>
    <w:p w14:paraId="34A72967" w14:textId="5739FC1C" w:rsidR="003504A4" w:rsidRDefault="00D77F3E" w:rsidP="0039412F">
      <w:pPr>
        <w:rPr>
          <w:lang w:val="en-GB" w:eastAsia="en-US"/>
        </w:rPr>
      </w:pPr>
      <w:r>
        <w:rPr>
          <w:lang w:val="en-GB" w:eastAsia="en-US"/>
        </w:rPr>
        <w:t>As the above enhancement is important for deployments with mIAB, but it is not advisable to extend or create a new work item in Rel-19 specifically to introduce this in LTE. Thus we think that the way forward could be that RAN plenary endorses RAN2 to discuss</w:t>
      </w:r>
      <w:r w:rsidR="00F56DD6">
        <w:rPr>
          <w:lang w:val="en-GB" w:eastAsia="en-US"/>
        </w:rPr>
        <w:t>, based on CRs,</w:t>
      </w:r>
      <w:r>
        <w:rPr>
          <w:lang w:val="en-GB" w:eastAsia="en-US"/>
        </w:rPr>
        <w:t xml:space="preserve"> the LTE to NR mIAB inter-RAT cell re-selection as part of RAN2 TEI18 in RAN2#125. </w:t>
      </w:r>
    </w:p>
    <w:p w14:paraId="65293EEF" w14:textId="3A68F661" w:rsidR="00334493" w:rsidRDefault="002506A4" w:rsidP="00334493">
      <w:pPr>
        <w:rPr>
          <w:rFonts w:eastAsia="맑은 고딕"/>
          <w:b/>
          <w:lang w:eastAsia="ko-KR"/>
        </w:rPr>
      </w:pPr>
      <w:r>
        <w:rPr>
          <w:rFonts w:eastAsia="맑은 고딕"/>
          <w:b/>
          <w:lang w:eastAsia="ko-KR"/>
        </w:rPr>
        <w:t>Proposal</w:t>
      </w:r>
      <w:r w:rsidRPr="00A67A85">
        <w:rPr>
          <w:rFonts w:eastAsia="맑은 고딕"/>
          <w:b/>
          <w:lang w:eastAsia="ko-KR"/>
        </w:rPr>
        <w:t xml:space="preserve"> </w:t>
      </w:r>
      <w:r>
        <w:rPr>
          <w:rFonts w:eastAsia="맑은 고딕"/>
          <w:b/>
          <w:lang w:eastAsia="ko-KR"/>
        </w:rPr>
        <w:t>1</w:t>
      </w:r>
      <w:r w:rsidRPr="00A67A85">
        <w:rPr>
          <w:rFonts w:eastAsia="맑은 고딕"/>
          <w:b/>
          <w:lang w:eastAsia="ko-KR"/>
        </w:rPr>
        <w:t xml:space="preserve">. </w:t>
      </w:r>
      <w:r w:rsidR="00791273">
        <w:rPr>
          <w:rFonts w:eastAsia="맑은 고딕"/>
          <w:b/>
          <w:lang w:eastAsia="ko-KR"/>
        </w:rPr>
        <w:t xml:space="preserve">RAN endorses RAN2 to discuss LTE to NR mIAB inter-RAT cell reselection as part of RAN2 TEI18. </w:t>
      </w:r>
      <w:r>
        <w:rPr>
          <w:rFonts w:eastAsia="맑은 고딕"/>
          <w:b/>
          <w:lang w:eastAsia="ko-KR"/>
        </w:rPr>
        <w:t xml:space="preserve"> </w:t>
      </w:r>
    </w:p>
    <w:p w14:paraId="5FF2457F" w14:textId="72E1A9E3" w:rsidR="00A209D6" w:rsidRPr="006E13D1" w:rsidRDefault="008C3057" w:rsidP="003F11FC">
      <w:pPr>
        <w:pStyle w:val="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12C16545" w14:textId="77777777" w:rsidR="00361CDD" w:rsidRPr="00F56DD6" w:rsidRDefault="00361CDD" w:rsidP="00361CDD">
      <w:pPr>
        <w:rPr>
          <w:b/>
          <w:lang w:val="en-GB" w:eastAsia="en-US"/>
        </w:rPr>
      </w:pPr>
      <w:r w:rsidRPr="002565ED">
        <w:rPr>
          <w:b/>
          <w:lang w:val="en-GB" w:eastAsia="en-US"/>
        </w:rPr>
        <w:t xml:space="preserve">Observation 1: </w:t>
      </w:r>
      <w:r>
        <w:rPr>
          <w:b/>
          <w:lang w:val="en-GB" w:eastAsia="en-US"/>
        </w:rPr>
        <w:t xml:space="preserve">   In current modern deployment, E-UTRAN to NR mIAB cell idle mode mobility would be </w:t>
      </w:r>
      <w:r w:rsidRPr="002565ED">
        <w:rPr>
          <w:b/>
          <w:lang w:val="en-GB" w:eastAsia="en-US"/>
        </w:rPr>
        <w:t>equally as</w:t>
      </w:r>
      <w:r>
        <w:rPr>
          <w:b/>
          <w:lang w:val="en-GB" w:eastAsia="en-US"/>
        </w:rPr>
        <w:t xml:space="preserve"> important as NR to NR mIAB cell idle mode</w:t>
      </w:r>
      <w:r w:rsidRPr="002565ED">
        <w:rPr>
          <w:b/>
          <w:lang w:val="en-GB" w:eastAsia="en-US"/>
        </w:rPr>
        <w:t xml:space="preserve"> mobility. </w:t>
      </w:r>
    </w:p>
    <w:p w14:paraId="119F1B5C" w14:textId="3153404A" w:rsidR="007217A0" w:rsidRPr="00361CDD" w:rsidRDefault="00361CDD" w:rsidP="00361CDD">
      <w:pPr>
        <w:rPr>
          <w:b/>
          <w:lang w:val="en-GB" w:eastAsia="en-US"/>
        </w:rPr>
      </w:pPr>
      <w:r w:rsidRPr="002565ED">
        <w:rPr>
          <w:b/>
          <w:lang w:val="en-GB" w:eastAsia="en-US"/>
        </w:rPr>
        <w:t xml:space="preserve">Observation </w:t>
      </w:r>
      <w:r>
        <w:rPr>
          <w:b/>
          <w:lang w:val="en-GB" w:eastAsia="en-US"/>
        </w:rPr>
        <w:t>2</w:t>
      </w:r>
      <w:r w:rsidRPr="002565ED">
        <w:rPr>
          <w:b/>
          <w:lang w:val="en-GB" w:eastAsia="en-US"/>
        </w:rPr>
        <w:t xml:space="preserve">: </w:t>
      </w:r>
      <w:r>
        <w:rPr>
          <w:b/>
          <w:lang w:val="en-GB" w:eastAsia="en-US"/>
        </w:rPr>
        <w:t xml:space="preserve">   It is not advisable to postpone the support of LTE to NR mIAB inter-RAT cell re-selection</w:t>
      </w:r>
      <w:r w:rsidRPr="002565ED">
        <w:rPr>
          <w:b/>
          <w:lang w:val="en-GB" w:eastAsia="en-US"/>
        </w:rPr>
        <w:t xml:space="preserve">. </w:t>
      </w:r>
    </w:p>
    <w:p w14:paraId="676E7CF0" w14:textId="77777777" w:rsidR="00791273" w:rsidRDefault="00791273" w:rsidP="00791273">
      <w:pPr>
        <w:rPr>
          <w:rFonts w:eastAsia="맑은 고딕"/>
          <w:b/>
          <w:lang w:eastAsia="ko-KR"/>
        </w:rPr>
      </w:pPr>
      <w:r>
        <w:rPr>
          <w:rFonts w:eastAsia="맑은 고딕"/>
          <w:b/>
          <w:lang w:eastAsia="ko-KR"/>
        </w:rPr>
        <w:t>Proposal</w:t>
      </w:r>
      <w:r w:rsidRPr="00A67A85">
        <w:rPr>
          <w:rFonts w:eastAsia="맑은 고딕"/>
          <w:b/>
          <w:lang w:eastAsia="ko-KR"/>
        </w:rPr>
        <w:t xml:space="preserve"> </w:t>
      </w:r>
      <w:r>
        <w:rPr>
          <w:rFonts w:eastAsia="맑은 고딕"/>
          <w:b/>
          <w:lang w:eastAsia="ko-KR"/>
        </w:rPr>
        <w:t>1</w:t>
      </w:r>
      <w:r w:rsidRPr="00A67A85">
        <w:rPr>
          <w:rFonts w:eastAsia="맑은 고딕"/>
          <w:b/>
          <w:lang w:eastAsia="ko-KR"/>
        </w:rPr>
        <w:t xml:space="preserve">. </w:t>
      </w:r>
      <w:r>
        <w:rPr>
          <w:rFonts w:eastAsia="맑은 고딕"/>
          <w:b/>
          <w:lang w:eastAsia="ko-KR"/>
        </w:rPr>
        <w:t xml:space="preserve">RAN endorses RAN2 to discuss LTE to NR mIAB inter-RAT cell reselection as part of RAN2 TEI18.  </w:t>
      </w:r>
    </w:p>
    <w:p w14:paraId="6408D72B" w14:textId="59651DF4" w:rsidR="0083484D" w:rsidRPr="00FF7C4E" w:rsidRDefault="00051DF8" w:rsidP="0083484D">
      <w:pPr>
        <w:pStyle w:val="1"/>
      </w:pPr>
      <w:r>
        <w:t>Reference</w:t>
      </w:r>
      <w:r w:rsidR="0083484D" w:rsidRPr="00001886">
        <w:t xml:space="preserve"> </w:t>
      </w:r>
    </w:p>
    <w:p w14:paraId="46E7E010" w14:textId="77777777" w:rsidR="00204CAF" w:rsidRPr="00204CAF" w:rsidRDefault="00D32165" w:rsidP="00405079">
      <w:pPr>
        <w:pStyle w:val="references"/>
        <w:spacing w:after="180" w:line="240" w:lineRule="auto"/>
        <w:rPr>
          <w:szCs w:val="20"/>
        </w:rPr>
      </w:pPr>
      <w:r>
        <w:rPr>
          <w:rFonts w:ascii="Arial" w:hAnsi="Arial" w:cs="Arial"/>
          <w:szCs w:val="20"/>
        </w:rPr>
        <w:t>RP-</w:t>
      </w:r>
      <w:r w:rsidR="00204CAF">
        <w:rPr>
          <w:rFonts w:ascii="Arial" w:hAnsi="Arial" w:cs="Arial"/>
          <w:szCs w:val="20"/>
        </w:rPr>
        <w:t>232643</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sidR="00204CAF">
        <w:rPr>
          <w:rFonts w:ascii="Arial" w:hAnsi="Arial" w:cs="Arial"/>
          <w:szCs w:val="20"/>
        </w:rPr>
        <w:t>, RAN#101</w:t>
      </w:r>
      <w:r>
        <w:rPr>
          <w:rFonts w:ascii="Arial" w:hAnsi="Arial" w:cs="Arial"/>
          <w:szCs w:val="20"/>
        </w:rPr>
        <w:t xml:space="preserve">, </w:t>
      </w:r>
      <w:r w:rsidR="00204CAF">
        <w:rPr>
          <w:rFonts w:ascii="Arial" w:hAnsi="Arial" w:cs="Arial"/>
          <w:szCs w:val="20"/>
        </w:rPr>
        <w:t>September 2023</w:t>
      </w:r>
      <w:r w:rsidR="00007FA1">
        <w:rPr>
          <w:rFonts w:ascii="Arial" w:hAnsi="Arial" w:cs="Arial"/>
          <w:szCs w:val="20"/>
        </w:rPr>
        <w:t>.</w:t>
      </w:r>
    </w:p>
    <w:p w14:paraId="69C535A8" w14:textId="644F9BC8" w:rsidR="00D32165" w:rsidRPr="00007FA1" w:rsidRDefault="00D77F3E" w:rsidP="00405079">
      <w:pPr>
        <w:pStyle w:val="references"/>
        <w:spacing w:after="180" w:line="240" w:lineRule="auto"/>
        <w:rPr>
          <w:szCs w:val="20"/>
        </w:rPr>
      </w:pPr>
      <w:r>
        <w:rPr>
          <w:rFonts w:ascii="Arial" w:hAnsi="Arial" w:cs="Arial"/>
          <w:szCs w:val="20"/>
        </w:rPr>
        <w:t>R2-2313565</w:t>
      </w:r>
      <w:r w:rsidR="00204CAF">
        <w:rPr>
          <w:rFonts w:ascii="Arial" w:hAnsi="Arial" w:cs="Arial"/>
          <w:szCs w:val="20"/>
        </w:rPr>
        <w:t xml:space="preserve">, Report from breakout </w:t>
      </w:r>
      <w:r w:rsidR="00A008FA">
        <w:rPr>
          <w:rFonts w:ascii="Arial" w:hAnsi="Arial" w:cs="Arial"/>
          <w:szCs w:val="20"/>
        </w:rPr>
        <w:t xml:space="preserve">session on feMob, mIAB, LP-WUS, Mediatek, RAN2#124, November 2023.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54A00" w14:textId="77777777" w:rsidR="000F3E43" w:rsidRDefault="000F3E43" w:rsidP="00051DF8">
      <w:r>
        <w:separator/>
      </w:r>
    </w:p>
  </w:endnote>
  <w:endnote w:type="continuationSeparator" w:id="0">
    <w:p w14:paraId="5547AF65" w14:textId="77777777" w:rsidR="000F3E43" w:rsidRDefault="000F3E43" w:rsidP="00051DF8">
      <w:r>
        <w:continuationSeparator/>
      </w:r>
    </w:p>
  </w:endnote>
  <w:endnote w:type="continuationNotice" w:id="1">
    <w:p w14:paraId="0F123BDD" w14:textId="77777777" w:rsidR="000F3E43" w:rsidRDefault="000F3E4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08360" w14:textId="77777777" w:rsidR="000F3E43" w:rsidRDefault="000F3E43" w:rsidP="00051DF8">
      <w:r>
        <w:separator/>
      </w:r>
    </w:p>
  </w:footnote>
  <w:footnote w:type="continuationSeparator" w:id="0">
    <w:p w14:paraId="3DD7D7A5" w14:textId="77777777" w:rsidR="000F3E43" w:rsidRDefault="000F3E43" w:rsidP="00051DF8">
      <w:r>
        <w:continuationSeparator/>
      </w:r>
    </w:p>
  </w:footnote>
  <w:footnote w:type="continuationNotice" w:id="1">
    <w:p w14:paraId="5EDB690C" w14:textId="77777777" w:rsidR="000F3E43" w:rsidRDefault="000F3E4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2"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3"/>
  </w:num>
  <w:num w:numId="3">
    <w:abstractNumId w:val="22"/>
  </w:num>
  <w:num w:numId="4">
    <w:abstractNumId w:val="17"/>
  </w:num>
  <w:num w:numId="5">
    <w:abstractNumId w:val="18"/>
  </w:num>
  <w:num w:numId="6">
    <w:abstractNumId w:val="12"/>
  </w:num>
  <w:num w:numId="7">
    <w:abstractNumId w:val="7"/>
  </w:num>
  <w:num w:numId="8">
    <w:abstractNumId w:val="19"/>
  </w:num>
  <w:num w:numId="9">
    <w:abstractNumId w:val="9"/>
  </w:num>
  <w:num w:numId="10">
    <w:abstractNumId w:val="16"/>
  </w:num>
  <w:num w:numId="11">
    <w:abstractNumId w:val="2"/>
  </w:num>
  <w:num w:numId="12">
    <w:abstractNumId w:val="3"/>
  </w:num>
  <w:num w:numId="13">
    <w:abstractNumId w:val="23"/>
  </w:num>
  <w:num w:numId="14">
    <w:abstractNumId w:val="1"/>
  </w:num>
  <w:num w:numId="15">
    <w:abstractNumId w:val="21"/>
  </w:num>
  <w:num w:numId="16">
    <w:abstractNumId w:val="24"/>
  </w:num>
  <w:num w:numId="17">
    <w:abstractNumId w:val="30"/>
  </w:num>
  <w:num w:numId="18">
    <w:abstractNumId w:val="36"/>
  </w:num>
  <w:num w:numId="19">
    <w:abstractNumId w:val="37"/>
  </w:num>
  <w:num w:numId="20">
    <w:abstractNumId w:val="25"/>
  </w:num>
  <w:num w:numId="21">
    <w:abstractNumId w:val="28"/>
  </w:num>
  <w:num w:numId="22">
    <w:abstractNumId w:val="29"/>
  </w:num>
  <w:num w:numId="23">
    <w:abstractNumId w:val="35"/>
  </w:num>
  <w:num w:numId="24">
    <w:abstractNumId w:val="8"/>
  </w:num>
  <w:num w:numId="25">
    <w:abstractNumId w:val="13"/>
  </w:num>
  <w:num w:numId="26">
    <w:abstractNumId w:val="5"/>
  </w:num>
  <w:num w:numId="27">
    <w:abstractNumId w:val="0"/>
  </w:num>
  <w:num w:numId="28">
    <w:abstractNumId w:val="27"/>
  </w:num>
  <w:num w:numId="29">
    <w:abstractNumId w:val="14"/>
  </w:num>
  <w:num w:numId="30">
    <w:abstractNumId w:val="32"/>
  </w:num>
  <w:num w:numId="31">
    <w:abstractNumId w:val="15"/>
  </w:num>
  <w:num w:numId="32">
    <w:abstractNumId w:val="10"/>
  </w:num>
  <w:num w:numId="33">
    <w:abstractNumId w:val="4"/>
  </w:num>
  <w:num w:numId="34">
    <w:abstractNumId w:val="6"/>
  </w:num>
  <w:num w:numId="35">
    <w:abstractNumId w:val="34"/>
  </w:num>
  <w:num w:numId="36">
    <w:abstractNumId w:val="26"/>
  </w:num>
  <w:num w:numId="37">
    <w:abstractNumId w:val="11"/>
  </w:num>
  <w:num w:numId="3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0F31"/>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0CBA"/>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3E43"/>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46FA7"/>
    <w:rsid w:val="0015006E"/>
    <w:rsid w:val="001500B8"/>
    <w:rsid w:val="00151570"/>
    <w:rsid w:val="0015511D"/>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4CAF"/>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4AF3"/>
    <w:rsid w:val="002455B8"/>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51AF"/>
    <w:rsid w:val="00275223"/>
    <w:rsid w:val="002772A6"/>
    <w:rsid w:val="002815C0"/>
    <w:rsid w:val="00281AB7"/>
    <w:rsid w:val="00283F62"/>
    <w:rsid w:val="002840C7"/>
    <w:rsid w:val="002845F9"/>
    <w:rsid w:val="00284E78"/>
    <w:rsid w:val="002855BF"/>
    <w:rsid w:val="00287326"/>
    <w:rsid w:val="00287C9C"/>
    <w:rsid w:val="00290336"/>
    <w:rsid w:val="00292EB4"/>
    <w:rsid w:val="00292FC9"/>
    <w:rsid w:val="0029454D"/>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2F7956"/>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2688"/>
    <w:rsid w:val="00343806"/>
    <w:rsid w:val="003463C4"/>
    <w:rsid w:val="00347221"/>
    <w:rsid w:val="00347B20"/>
    <w:rsid w:val="003504A4"/>
    <w:rsid w:val="00350D7C"/>
    <w:rsid w:val="00351CAD"/>
    <w:rsid w:val="00353629"/>
    <w:rsid w:val="0035462D"/>
    <w:rsid w:val="00354B33"/>
    <w:rsid w:val="00361A4A"/>
    <w:rsid w:val="00361CDD"/>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1F25"/>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13B6"/>
    <w:rsid w:val="003F24B6"/>
    <w:rsid w:val="003F2920"/>
    <w:rsid w:val="003F3214"/>
    <w:rsid w:val="003F4E28"/>
    <w:rsid w:val="003F7C7B"/>
    <w:rsid w:val="003F7CC9"/>
    <w:rsid w:val="004006E8"/>
    <w:rsid w:val="00401855"/>
    <w:rsid w:val="0040228D"/>
    <w:rsid w:val="00402F98"/>
    <w:rsid w:val="0040702D"/>
    <w:rsid w:val="0041304C"/>
    <w:rsid w:val="00413F2F"/>
    <w:rsid w:val="00414017"/>
    <w:rsid w:val="0041434A"/>
    <w:rsid w:val="004174EF"/>
    <w:rsid w:val="00421EB6"/>
    <w:rsid w:val="0042280C"/>
    <w:rsid w:val="00427D3B"/>
    <w:rsid w:val="00430993"/>
    <w:rsid w:val="00431669"/>
    <w:rsid w:val="00431B30"/>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4EFD"/>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84B59"/>
    <w:rsid w:val="0058678E"/>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3366"/>
    <w:rsid w:val="006148EC"/>
    <w:rsid w:val="006150D4"/>
    <w:rsid w:val="006160D7"/>
    <w:rsid w:val="00622FDA"/>
    <w:rsid w:val="00624813"/>
    <w:rsid w:val="00624C07"/>
    <w:rsid w:val="00624F54"/>
    <w:rsid w:val="0062582C"/>
    <w:rsid w:val="00625B0A"/>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1273"/>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3FAE"/>
    <w:rsid w:val="007C563E"/>
    <w:rsid w:val="007C58AC"/>
    <w:rsid w:val="007C680A"/>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49F5"/>
    <w:rsid w:val="0088643C"/>
    <w:rsid w:val="00890D75"/>
    <w:rsid w:val="00892166"/>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0852"/>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502D"/>
    <w:rsid w:val="00947FC8"/>
    <w:rsid w:val="009504CA"/>
    <w:rsid w:val="009505D8"/>
    <w:rsid w:val="009508D2"/>
    <w:rsid w:val="00950B99"/>
    <w:rsid w:val="00952941"/>
    <w:rsid w:val="00952D55"/>
    <w:rsid w:val="0095343C"/>
    <w:rsid w:val="00955E64"/>
    <w:rsid w:val="00955FB6"/>
    <w:rsid w:val="0095778B"/>
    <w:rsid w:val="00957BAD"/>
    <w:rsid w:val="00961B32"/>
    <w:rsid w:val="00962455"/>
    <w:rsid w:val="00962509"/>
    <w:rsid w:val="00965C7D"/>
    <w:rsid w:val="00965E6D"/>
    <w:rsid w:val="00970666"/>
    <w:rsid w:val="00970DB3"/>
    <w:rsid w:val="00971A5C"/>
    <w:rsid w:val="0097280A"/>
    <w:rsid w:val="00972FBD"/>
    <w:rsid w:val="00973D04"/>
    <w:rsid w:val="00974BB0"/>
    <w:rsid w:val="00974CF6"/>
    <w:rsid w:val="009755A4"/>
    <w:rsid w:val="00975942"/>
    <w:rsid w:val="00975BCD"/>
    <w:rsid w:val="00975FF0"/>
    <w:rsid w:val="0097603C"/>
    <w:rsid w:val="00976735"/>
    <w:rsid w:val="00977122"/>
    <w:rsid w:val="00977609"/>
    <w:rsid w:val="00977EAC"/>
    <w:rsid w:val="00980130"/>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08FA"/>
    <w:rsid w:val="00A0175F"/>
    <w:rsid w:val="00A025EC"/>
    <w:rsid w:val="00A027CA"/>
    <w:rsid w:val="00A03496"/>
    <w:rsid w:val="00A10516"/>
    <w:rsid w:val="00A10F02"/>
    <w:rsid w:val="00A10F2C"/>
    <w:rsid w:val="00A12E91"/>
    <w:rsid w:val="00A13227"/>
    <w:rsid w:val="00A16D8A"/>
    <w:rsid w:val="00A204CA"/>
    <w:rsid w:val="00A209D6"/>
    <w:rsid w:val="00A22738"/>
    <w:rsid w:val="00A247E3"/>
    <w:rsid w:val="00A255A1"/>
    <w:rsid w:val="00A26924"/>
    <w:rsid w:val="00A27DC6"/>
    <w:rsid w:val="00A31B24"/>
    <w:rsid w:val="00A33876"/>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3B73"/>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4044"/>
    <w:rsid w:val="00B4636F"/>
    <w:rsid w:val="00B46E85"/>
    <w:rsid w:val="00B47C49"/>
    <w:rsid w:val="00B47FD1"/>
    <w:rsid w:val="00B50369"/>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63F"/>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55D2"/>
    <w:rsid w:val="00C060FE"/>
    <w:rsid w:val="00C11561"/>
    <w:rsid w:val="00C12B51"/>
    <w:rsid w:val="00C1493D"/>
    <w:rsid w:val="00C151D4"/>
    <w:rsid w:val="00C15466"/>
    <w:rsid w:val="00C157B9"/>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3828"/>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6A70"/>
    <w:rsid w:val="00CA7092"/>
    <w:rsid w:val="00CA7DE5"/>
    <w:rsid w:val="00CB3154"/>
    <w:rsid w:val="00CB40C7"/>
    <w:rsid w:val="00CB4772"/>
    <w:rsid w:val="00CB72B8"/>
    <w:rsid w:val="00CC3C7A"/>
    <w:rsid w:val="00CC4132"/>
    <w:rsid w:val="00CC4645"/>
    <w:rsid w:val="00CC56CB"/>
    <w:rsid w:val="00CC70E9"/>
    <w:rsid w:val="00CD0963"/>
    <w:rsid w:val="00CD0BA8"/>
    <w:rsid w:val="00CD131D"/>
    <w:rsid w:val="00CD14F3"/>
    <w:rsid w:val="00CD2DBB"/>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5E"/>
    <w:rsid w:val="00D76809"/>
    <w:rsid w:val="00D77F3E"/>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53"/>
    <w:rsid w:val="00DD766F"/>
    <w:rsid w:val="00DE001F"/>
    <w:rsid w:val="00DE03D3"/>
    <w:rsid w:val="00DE0B51"/>
    <w:rsid w:val="00DE22A8"/>
    <w:rsid w:val="00DE25D2"/>
    <w:rsid w:val="00DE292B"/>
    <w:rsid w:val="00DE491C"/>
    <w:rsid w:val="00DF0B46"/>
    <w:rsid w:val="00DF1647"/>
    <w:rsid w:val="00DF218F"/>
    <w:rsid w:val="00DF4645"/>
    <w:rsid w:val="00DF6B31"/>
    <w:rsid w:val="00DF7834"/>
    <w:rsid w:val="00E00D16"/>
    <w:rsid w:val="00E0193F"/>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37EB0"/>
    <w:rsid w:val="00F40A33"/>
    <w:rsid w:val="00F41159"/>
    <w:rsid w:val="00F43651"/>
    <w:rsid w:val="00F43661"/>
    <w:rsid w:val="00F44DF5"/>
    <w:rsid w:val="00F463C0"/>
    <w:rsid w:val="00F46B11"/>
    <w:rsid w:val="00F46F23"/>
    <w:rsid w:val="00F521FD"/>
    <w:rsid w:val="00F52DE9"/>
    <w:rsid w:val="00F53A6F"/>
    <w:rsid w:val="00F54A3D"/>
    <w:rsid w:val="00F54CB0"/>
    <w:rsid w:val="00F55286"/>
    <w:rsid w:val="00F56DD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E79D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aliases w:val="- Bullets,リスト段落,列出段落,Lista1,?? ??,?????,????"/>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메모 텍스트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맑은 고딕" w:hAnsiTheme="minorHAnsi" w:cs="바탕"/>
      <w:sz w:val="22"/>
      <w:szCs w:val="22"/>
      <w:lang w:eastAsia="ko-KR"/>
    </w:rPr>
  </w:style>
  <w:style w:type="paragraph" w:customStyle="1" w:styleId="maintext">
    <w:name w:val="main text"/>
    <w:basedOn w:val="a"/>
    <w:link w:val="maintextChar"/>
    <w:qFormat/>
    <w:rsid w:val="00647513"/>
    <w:pPr>
      <w:spacing w:before="60" w:after="60" w:line="288" w:lineRule="auto"/>
      <w:ind w:firstLineChars="200" w:firstLine="200"/>
      <w:jc w:val="both"/>
    </w:pPr>
    <w:rPr>
      <w:rFonts w:asciiTheme="minorHAnsi" w:eastAsia="맑은 고딕" w:hAnsiTheme="minorHAnsi" w:cs="바탕"/>
      <w:sz w:val="22"/>
      <w:szCs w:val="22"/>
      <w:lang w:val="en-GB" w:eastAsia="ko-KR"/>
    </w:rPr>
  </w:style>
  <w:style w:type="paragraph" w:customStyle="1" w:styleId="Agreement">
    <w:name w:val="Agreement"/>
    <w:basedOn w:val="a"/>
    <w:next w:val="Doc-text2"/>
    <w:uiPriority w:val="99"/>
    <w:qFormat/>
    <w:rsid w:val="00F223D0"/>
    <w:pPr>
      <w:numPr>
        <w:numId w:val="23"/>
      </w:numPr>
      <w:spacing w:before="60" w:after="0"/>
    </w:pPr>
    <w:rPr>
      <w:rFonts w:cs="Times New Roman"/>
      <w:b/>
      <w:lang w:val="en-GB"/>
    </w:rPr>
  </w:style>
  <w:style w:type="paragraph" w:customStyle="1" w:styleId="Observation">
    <w:name w:val="Observation"/>
    <w:basedOn w:val="a"/>
    <w:qFormat/>
    <w:rsid w:val="003504A4"/>
    <w:pPr>
      <w:numPr>
        <w:numId w:val="38"/>
      </w:numPr>
      <w:tabs>
        <w:tab w:val="left" w:pos="1701"/>
      </w:tabs>
      <w:overflowPunct w:val="0"/>
      <w:autoSpaceDE w:val="0"/>
      <w:autoSpaceDN w:val="0"/>
      <w:adjustRightInd w:val="0"/>
      <w:spacing w:after="120"/>
      <w:jc w:val="both"/>
      <w:textAlignment w:val="baseline"/>
    </w:pPr>
    <w:rPr>
      <w:rFonts w:eastAsia="SimSun" w:cs="Times New Roman"/>
      <w:b/>
      <w:bCs/>
      <w:szCs w:val="20"/>
      <w:lang w:eastAsia="zh-CN"/>
    </w:rPr>
  </w:style>
  <w:style w:type="paragraph" w:customStyle="1" w:styleId="Doc-title">
    <w:name w:val="Doc-title"/>
    <w:basedOn w:val="a"/>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a"/>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4/Docs/R2-23130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8898C-5FF3-4D02-9179-8B4C8EF0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2023-11-29T14:09:00Z</dcterms:created>
  <dcterms:modified xsi:type="dcterms:W3CDTF">2023-12-01T09:54:00Z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