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6593" w:rsidRPr="00F346A8" w:rsidRDefault="002D6593" w:rsidP="00F346A8">
      <w:pPr>
        <w:tabs>
          <w:tab w:val="right" w:pos="9639"/>
        </w:tabs>
        <w:spacing w:after="0" w:line="240" w:lineRule="auto"/>
        <w:ind w:left="360"/>
        <w:rPr>
          <w:rFonts w:ascii="Verdana" w:eastAsia="Times New Roman" w:hAnsi="Verdana" w:cs="Times New Roman"/>
          <w:b/>
          <w:bCs/>
          <w:sz w:val="20"/>
          <w:szCs w:val="20"/>
        </w:rPr>
      </w:pPr>
      <w:r w:rsidRPr="00F346A8">
        <w:rPr>
          <w:rFonts w:ascii="Verdana" w:eastAsia="Times New Roman" w:hAnsi="Verdana" w:cs="Times New Roman"/>
          <w:b/>
          <w:bCs/>
          <w:sz w:val="20"/>
          <w:szCs w:val="20"/>
        </w:rPr>
        <w:t>3GPP GERAN</w:t>
      </w:r>
      <w:r w:rsidR="000F096E">
        <w:rPr>
          <w:rFonts w:ascii="Verdana" w:eastAsia="Times New Roman" w:hAnsi="Verdana" w:cs="Times New Roman"/>
          <w:b/>
          <w:bCs/>
          <w:sz w:val="20"/>
          <w:szCs w:val="20"/>
        </w:rPr>
        <w:t>#46 WG2</w:t>
      </w:r>
      <w:r w:rsidRPr="00F346A8">
        <w:rPr>
          <w:rFonts w:ascii="Verdana" w:eastAsia="Times New Roman" w:hAnsi="Verdana" w:cs="Times New Roman"/>
          <w:b/>
          <w:bCs/>
          <w:sz w:val="20"/>
          <w:szCs w:val="20"/>
        </w:rPr>
        <w:t xml:space="preserve"> </w:t>
      </w:r>
      <w:r w:rsidR="00336798">
        <w:rPr>
          <w:rFonts w:ascii="Verdana" w:eastAsia="Times New Roman" w:hAnsi="Verdana" w:cs="Times New Roman"/>
          <w:b/>
          <w:bCs/>
          <w:sz w:val="20"/>
          <w:szCs w:val="20"/>
        </w:rPr>
        <w:t xml:space="preserve">      </w:t>
      </w:r>
    </w:p>
    <w:p w:rsidR="002D6593" w:rsidRPr="00F346A8" w:rsidRDefault="00823102" w:rsidP="00F346A8">
      <w:pPr>
        <w:tabs>
          <w:tab w:val="right" w:pos="9639"/>
        </w:tabs>
        <w:spacing w:after="0" w:line="240" w:lineRule="auto"/>
        <w:ind w:left="360"/>
        <w:rPr>
          <w:rFonts w:ascii="Verdana" w:eastAsia="Times New Roman" w:hAnsi="Verdana" w:cs="Times New Roman"/>
          <w:b/>
          <w:bCs/>
          <w:sz w:val="20"/>
          <w:szCs w:val="20"/>
        </w:rPr>
      </w:pPr>
      <w:r>
        <w:rPr>
          <w:rFonts w:ascii="Verdana" w:eastAsia="Times New Roman" w:hAnsi="Verdana" w:cs="Times New Roman"/>
          <w:b/>
          <w:bCs/>
          <w:sz w:val="20"/>
          <w:szCs w:val="20"/>
        </w:rPr>
        <w:t>18</w:t>
      </w:r>
      <w:r w:rsidRPr="00823102">
        <w:rPr>
          <w:rFonts w:ascii="Verdana" w:eastAsia="Times New Roman" w:hAnsi="Verdana" w:cs="Times New Roman"/>
          <w:b/>
          <w:bCs/>
          <w:sz w:val="20"/>
          <w:szCs w:val="20"/>
          <w:vertAlign w:val="superscript"/>
        </w:rPr>
        <w:t>th</w:t>
      </w:r>
      <w:r>
        <w:rPr>
          <w:rFonts w:ascii="Verdana" w:eastAsia="Times New Roman" w:hAnsi="Verdana" w:cs="Times New Roman"/>
          <w:b/>
          <w:bCs/>
          <w:sz w:val="20"/>
          <w:szCs w:val="20"/>
        </w:rPr>
        <w:t xml:space="preserve"> – 20</w:t>
      </w:r>
      <w:r w:rsidRPr="00823102">
        <w:rPr>
          <w:rFonts w:ascii="Verdana" w:eastAsia="Times New Roman" w:hAnsi="Verdana" w:cs="Times New Roman"/>
          <w:b/>
          <w:bCs/>
          <w:sz w:val="20"/>
          <w:szCs w:val="20"/>
          <w:vertAlign w:val="superscript"/>
        </w:rPr>
        <w:t>th</w:t>
      </w:r>
      <w:r>
        <w:rPr>
          <w:rFonts w:ascii="Verdana" w:eastAsia="Times New Roman" w:hAnsi="Verdana" w:cs="Times New Roman"/>
          <w:b/>
          <w:bCs/>
          <w:sz w:val="20"/>
          <w:szCs w:val="20"/>
        </w:rPr>
        <w:t xml:space="preserve"> May 2010</w:t>
      </w:r>
      <w:r w:rsidR="002D6593" w:rsidRPr="00F346A8">
        <w:rPr>
          <w:rFonts w:ascii="Verdana" w:eastAsia="Times New Roman" w:hAnsi="Verdana" w:cs="Times New Roman"/>
          <w:b/>
          <w:bCs/>
          <w:sz w:val="20"/>
          <w:szCs w:val="20"/>
        </w:rPr>
        <w:t xml:space="preserve">                                                            </w:t>
      </w:r>
      <w:r w:rsidR="00336798">
        <w:rPr>
          <w:rFonts w:ascii="Verdana" w:eastAsia="Times New Roman" w:hAnsi="Verdana" w:cs="Times New Roman"/>
          <w:b/>
          <w:bCs/>
          <w:sz w:val="20"/>
          <w:szCs w:val="20"/>
        </w:rPr>
        <w:t xml:space="preserve">      </w:t>
      </w:r>
      <w:r w:rsidR="002D6593" w:rsidRPr="00F346A8">
        <w:rPr>
          <w:rFonts w:ascii="Verdana" w:eastAsia="Times New Roman" w:hAnsi="Verdana" w:cs="Times New Roman"/>
          <w:b/>
          <w:bCs/>
          <w:sz w:val="20"/>
          <w:szCs w:val="20"/>
        </w:rPr>
        <w:t xml:space="preserve"> GP-100</w:t>
      </w:r>
      <w:r w:rsidR="00B57552">
        <w:rPr>
          <w:rFonts w:ascii="Verdana" w:eastAsia="Times New Roman" w:hAnsi="Verdana" w:cs="Times New Roman"/>
          <w:b/>
          <w:bCs/>
          <w:sz w:val="20"/>
          <w:szCs w:val="20"/>
        </w:rPr>
        <w:t>834</w:t>
      </w:r>
    </w:p>
    <w:p w:rsidR="002D6593" w:rsidRPr="00F346A8" w:rsidRDefault="00DC3F52" w:rsidP="00F346A8">
      <w:pPr>
        <w:tabs>
          <w:tab w:val="right" w:pos="9639"/>
        </w:tabs>
        <w:spacing w:after="0" w:line="240" w:lineRule="auto"/>
        <w:ind w:left="360"/>
        <w:rPr>
          <w:rFonts w:ascii="Verdana" w:eastAsia="Times New Roman" w:hAnsi="Verdana" w:cs="Times New Roman"/>
          <w:b/>
          <w:bCs/>
          <w:sz w:val="20"/>
          <w:szCs w:val="20"/>
        </w:rPr>
      </w:pPr>
      <w:proofErr w:type="spellStart"/>
      <w:r>
        <w:rPr>
          <w:rFonts w:ascii="Verdana" w:eastAsia="Times New Roman" w:hAnsi="Verdana" w:cs="Times New Roman"/>
          <w:b/>
          <w:bCs/>
          <w:sz w:val="20"/>
          <w:szCs w:val="20"/>
        </w:rPr>
        <w:t>Jeju</w:t>
      </w:r>
      <w:proofErr w:type="spellEnd"/>
      <w:r>
        <w:rPr>
          <w:rFonts w:ascii="Verdana" w:eastAsia="Times New Roman" w:hAnsi="Verdana" w:cs="Times New Roman"/>
          <w:b/>
          <w:bCs/>
          <w:sz w:val="20"/>
          <w:szCs w:val="20"/>
        </w:rPr>
        <w:t xml:space="preserve"> Island, South Korea</w:t>
      </w:r>
      <w:r w:rsidR="00F346A8">
        <w:rPr>
          <w:rFonts w:ascii="Verdana" w:eastAsia="Times New Roman" w:hAnsi="Verdana" w:cs="Times New Roman"/>
          <w:b/>
          <w:bCs/>
          <w:sz w:val="20"/>
          <w:szCs w:val="20"/>
        </w:rPr>
        <w:t xml:space="preserve">                                           </w:t>
      </w:r>
      <w:r w:rsidR="002D6593" w:rsidRPr="00F346A8">
        <w:rPr>
          <w:rFonts w:ascii="Verdana" w:eastAsia="Times New Roman" w:hAnsi="Verdana" w:cs="Times New Roman"/>
          <w:b/>
          <w:bCs/>
          <w:sz w:val="20"/>
          <w:szCs w:val="20"/>
        </w:rPr>
        <w:t xml:space="preserve">Agenda Item </w:t>
      </w:r>
      <w:r w:rsidR="00AB2D61">
        <w:rPr>
          <w:rFonts w:ascii="Verdana" w:eastAsia="Times New Roman" w:hAnsi="Verdana" w:cs="Times New Roman"/>
          <w:b/>
          <w:bCs/>
          <w:sz w:val="20"/>
          <w:szCs w:val="20"/>
        </w:rPr>
        <w:t>7.2.</w:t>
      </w:r>
      <w:r w:rsidR="002D6593" w:rsidRPr="00F346A8">
        <w:rPr>
          <w:rFonts w:ascii="Verdana" w:eastAsia="Times New Roman" w:hAnsi="Verdana" w:cs="Times New Roman"/>
          <w:b/>
          <w:bCs/>
          <w:sz w:val="20"/>
          <w:szCs w:val="20"/>
        </w:rPr>
        <w:t>5.2.</w:t>
      </w:r>
      <w:r w:rsidR="00AB2D61">
        <w:rPr>
          <w:rFonts w:ascii="Verdana" w:eastAsia="Times New Roman" w:hAnsi="Verdana" w:cs="Times New Roman"/>
          <w:b/>
          <w:bCs/>
          <w:sz w:val="20"/>
          <w:szCs w:val="20"/>
        </w:rPr>
        <w:t>2</w:t>
      </w:r>
    </w:p>
    <w:p w:rsidR="002D6593" w:rsidRPr="00F346A8" w:rsidRDefault="002D6593" w:rsidP="00F346A8">
      <w:pPr>
        <w:tabs>
          <w:tab w:val="right" w:pos="9639"/>
        </w:tabs>
        <w:spacing w:after="0" w:line="240" w:lineRule="auto"/>
        <w:ind w:left="360"/>
        <w:rPr>
          <w:rFonts w:ascii="Verdana" w:eastAsia="Times New Roman" w:hAnsi="Verdana" w:cs="Times New Roman"/>
          <w:b/>
          <w:bCs/>
          <w:sz w:val="20"/>
          <w:szCs w:val="20"/>
        </w:rPr>
      </w:pPr>
      <w:r w:rsidRPr="00F346A8">
        <w:rPr>
          <w:rFonts w:ascii="Verdana" w:eastAsia="Times New Roman" w:hAnsi="Verdana" w:cs="Times New Roman"/>
          <w:b/>
          <w:bCs/>
          <w:sz w:val="20"/>
          <w:szCs w:val="20"/>
        </w:rPr>
        <w:t>Source: Samsung</w:t>
      </w:r>
    </w:p>
    <w:p w:rsidR="002D6593" w:rsidRPr="00AB2D61" w:rsidRDefault="00D52057" w:rsidP="00AB2D61">
      <w:pPr>
        <w:pStyle w:val="11BodyText"/>
        <w:ind w:left="1658"/>
        <w:jc w:val="center"/>
        <w:rPr>
          <w:rFonts w:cs="Arial"/>
          <w:b/>
          <w:szCs w:val="22"/>
        </w:rPr>
      </w:pPr>
      <w:r>
        <w:rPr>
          <w:rFonts w:cs="Arial"/>
          <w:b/>
          <w:noProof/>
          <w:szCs w:val="22"/>
        </w:rPr>
        <w:pict>
          <v:shapetype id="_x0000_t32" coordsize="21600,21600" o:spt="32" o:oned="t" path="m,l21600,21600e" filled="f">
            <v:path arrowok="t" fillok="f" o:connecttype="none"/>
            <o:lock v:ext="edit" shapetype="t"/>
          </v:shapetype>
          <v:shape id="_x0000_s1026" type="#_x0000_t32" style="position:absolute;left:0;text-align:left;margin-left:1.5pt;margin-top:7.65pt;width:476.25pt;height:0;z-index:251658240" o:connectortype="straight"/>
        </w:pict>
      </w:r>
    </w:p>
    <w:p w:rsidR="00AB2D61" w:rsidRPr="00AB2D61" w:rsidRDefault="00B56B19" w:rsidP="00AB2D61">
      <w:pPr>
        <w:spacing w:before="120" w:after="120" w:line="240" w:lineRule="auto"/>
        <w:ind w:left="57" w:right="57"/>
        <w:jc w:val="center"/>
        <w:rPr>
          <w:rFonts w:ascii="Arial" w:eastAsia="Times New Roman" w:hAnsi="Arial" w:cs="Arial"/>
          <w:b/>
          <w:sz w:val="24"/>
          <w:szCs w:val="24"/>
        </w:rPr>
      </w:pPr>
      <w:r>
        <w:rPr>
          <w:rFonts w:ascii="Arial" w:eastAsia="Times New Roman" w:hAnsi="Arial" w:cs="Arial"/>
          <w:b/>
          <w:sz w:val="24"/>
          <w:szCs w:val="24"/>
        </w:rPr>
        <w:t>R</w:t>
      </w:r>
      <w:r w:rsidR="00AB2D61" w:rsidRPr="00AB2D61">
        <w:rPr>
          <w:rFonts w:ascii="Arial" w:eastAsia="Times New Roman" w:hAnsi="Arial" w:cs="Arial"/>
          <w:b/>
          <w:sz w:val="24"/>
          <w:szCs w:val="24"/>
        </w:rPr>
        <w:t>elax</w:t>
      </w:r>
      <w:r>
        <w:rPr>
          <w:rFonts w:ascii="Arial" w:eastAsia="Times New Roman" w:hAnsi="Arial" w:cs="Arial"/>
          <w:b/>
          <w:sz w:val="24"/>
          <w:szCs w:val="24"/>
        </w:rPr>
        <w:t xml:space="preserve">ing </w:t>
      </w:r>
      <w:r w:rsidR="006E0B10">
        <w:rPr>
          <w:rFonts w:ascii="Arial" w:eastAsia="Times New Roman" w:hAnsi="Arial" w:cs="Arial"/>
          <w:b/>
          <w:sz w:val="24"/>
          <w:szCs w:val="24"/>
        </w:rPr>
        <w:t xml:space="preserve">measurements to assist </w:t>
      </w:r>
      <w:r w:rsidR="00AB2D61" w:rsidRPr="00AB2D61">
        <w:rPr>
          <w:rFonts w:ascii="Arial" w:eastAsia="Times New Roman" w:hAnsi="Arial" w:cs="Arial"/>
          <w:b/>
          <w:sz w:val="24"/>
          <w:szCs w:val="24"/>
        </w:rPr>
        <w:t>CSG inbound mobility in connected mode</w:t>
      </w:r>
    </w:p>
    <w:p w:rsidR="005D3B00" w:rsidRDefault="005D3B00" w:rsidP="00742637">
      <w:pPr>
        <w:pStyle w:val="11BodyText"/>
        <w:ind w:left="0"/>
        <w:rPr>
          <w:rFonts w:cs="Arial"/>
          <w:b/>
          <w:szCs w:val="22"/>
        </w:rPr>
      </w:pPr>
    </w:p>
    <w:p w:rsidR="002D6593" w:rsidRDefault="00742637" w:rsidP="00742637">
      <w:pPr>
        <w:pStyle w:val="11BodyText"/>
        <w:ind w:left="0"/>
        <w:rPr>
          <w:rFonts w:cs="Arial"/>
          <w:b/>
          <w:szCs w:val="22"/>
        </w:rPr>
      </w:pPr>
      <w:r>
        <w:rPr>
          <w:rFonts w:cs="Arial"/>
          <w:b/>
          <w:szCs w:val="22"/>
        </w:rPr>
        <w:t>Introduction:</w:t>
      </w:r>
    </w:p>
    <w:p w:rsidR="000D0B56" w:rsidRDefault="000D0B56" w:rsidP="00CB0D7F">
      <w:pPr>
        <w:pStyle w:val="11BodyText"/>
        <w:ind w:left="0"/>
        <w:rPr>
          <w:rFonts w:cs="Arial"/>
          <w:szCs w:val="22"/>
        </w:rPr>
      </w:pPr>
      <w:r>
        <w:rPr>
          <w:rFonts w:cs="Arial"/>
          <w:szCs w:val="22"/>
        </w:rPr>
        <w:t xml:space="preserve">In the last GERAN meeting the following was </w:t>
      </w:r>
      <w:r w:rsidR="00052B5F">
        <w:rPr>
          <w:rFonts w:cs="Arial"/>
          <w:szCs w:val="22"/>
        </w:rPr>
        <w:t>one of the open issues concerning CS</w:t>
      </w:r>
      <w:r w:rsidR="00F763D9">
        <w:rPr>
          <w:rFonts w:cs="Arial"/>
          <w:szCs w:val="22"/>
        </w:rPr>
        <w:t>G</w:t>
      </w:r>
      <w:r w:rsidR="00052B5F">
        <w:rPr>
          <w:rFonts w:cs="Arial"/>
          <w:szCs w:val="22"/>
        </w:rPr>
        <w:t xml:space="preserve"> inbound mobility in connected mode.  </w:t>
      </w:r>
    </w:p>
    <w:p w:rsidR="00CF0051" w:rsidRPr="007A2218" w:rsidRDefault="000D0B56" w:rsidP="00CB0D7F">
      <w:pPr>
        <w:pStyle w:val="11BodyText"/>
        <w:ind w:left="0"/>
        <w:rPr>
          <w:b/>
          <w:szCs w:val="22"/>
        </w:rPr>
      </w:pPr>
      <w:r>
        <w:rPr>
          <w:rFonts w:cs="Arial"/>
          <w:szCs w:val="22"/>
        </w:rPr>
        <w:t>“</w:t>
      </w:r>
      <w:r w:rsidR="00CF0051" w:rsidRPr="007A2218">
        <w:rPr>
          <w:rFonts w:cs="Arial"/>
          <w:szCs w:val="22"/>
        </w:rPr>
        <w:t>To support “</w:t>
      </w:r>
      <w:r w:rsidR="00CF0051" w:rsidRPr="007A2218">
        <w:rPr>
          <w:rFonts w:cs="Arial"/>
          <w:i/>
          <w:szCs w:val="22"/>
        </w:rPr>
        <w:t>Inbound mobility to CSG cells in connected mode</w:t>
      </w:r>
      <w:r w:rsidR="00CF0051" w:rsidRPr="007A2218">
        <w:rPr>
          <w:rFonts w:cs="Arial"/>
          <w:szCs w:val="22"/>
        </w:rPr>
        <w:t xml:space="preserve">” the MS may autonomously determine when and how to perform MIB/SIB reading for one or more CSG cells. </w:t>
      </w:r>
      <w:r w:rsidR="00CF0051" w:rsidRPr="007A2218">
        <w:rPr>
          <w:rFonts w:cs="Arial"/>
          <w:color w:val="FF0000"/>
          <w:szCs w:val="22"/>
        </w:rPr>
        <w:t>It is FFS whether any relaxation of existing performance requirements is needed to achieve this.</w:t>
      </w:r>
      <w:r w:rsidR="00CF0051" w:rsidRPr="007A2218">
        <w:rPr>
          <w:rFonts w:cs="Arial"/>
          <w:szCs w:val="22"/>
        </w:rPr>
        <w:t xml:space="preserve"> Service interruption shall be minimized: </w:t>
      </w:r>
      <w:r w:rsidR="00CF0051" w:rsidRPr="007A2218">
        <w:rPr>
          <w:rFonts w:cs="Arial"/>
          <w:color w:val="FF0000"/>
          <w:szCs w:val="22"/>
        </w:rPr>
        <w:t xml:space="preserve">whether this would require additional </w:t>
      </w:r>
      <w:r w:rsidR="00F3494E" w:rsidRPr="007A2218">
        <w:rPr>
          <w:rFonts w:cs="Arial"/>
          <w:color w:val="FF0000"/>
          <w:szCs w:val="22"/>
        </w:rPr>
        <w:t>signaling</w:t>
      </w:r>
      <w:r w:rsidR="00CF0051" w:rsidRPr="007A2218">
        <w:rPr>
          <w:rFonts w:cs="Arial"/>
          <w:color w:val="FF0000"/>
          <w:szCs w:val="22"/>
        </w:rPr>
        <w:t xml:space="preserve"> between the network and the MS is FFS </w:t>
      </w:r>
      <w:r w:rsidR="00CF0051" w:rsidRPr="007A2218">
        <w:rPr>
          <w:rFonts w:cs="Arial"/>
          <w:szCs w:val="22"/>
        </w:rPr>
        <w:t>(e.g. the MS could notify the BSS about the start a</w:t>
      </w:r>
      <w:r>
        <w:rPr>
          <w:rFonts w:cs="Arial"/>
          <w:szCs w:val="22"/>
        </w:rPr>
        <w:t>nd duration of MIB/SIB reading)”</w:t>
      </w:r>
    </w:p>
    <w:p w:rsidR="00DC5F42" w:rsidRDefault="00DC5F42" w:rsidP="00DC5F42">
      <w:pPr>
        <w:pStyle w:val="11BodyText"/>
        <w:ind w:left="0"/>
        <w:rPr>
          <w:rFonts w:cs="Arial"/>
          <w:b/>
          <w:szCs w:val="22"/>
        </w:rPr>
      </w:pPr>
      <w:r>
        <w:rPr>
          <w:rFonts w:cs="Arial"/>
          <w:b/>
          <w:szCs w:val="22"/>
        </w:rPr>
        <w:t xml:space="preserve">The need for </w:t>
      </w:r>
      <w:r w:rsidR="000F41BE">
        <w:rPr>
          <w:rFonts w:cs="Arial"/>
          <w:b/>
          <w:szCs w:val="22"/>
        </w:rPr>
        <w:t xml:space="preserve">measurement </w:t>
      </w:r>
      <w:r>
        <w:rPr>
          <w:rFonts w:cs="Arial"/>
          <w:b/>
          <w:szCs w:val="22"/>
        </w:rPr>
        <w:t>relaxation:</w:t>
      </w:r>
    </w:p>
    <w:p w:rsidR="003D69AA" w:rsidRDefault="001E69DC" w:rsidP="003D69AA">
      <w:pPr>
        <w:spacing w:before="120" w:after="120"/>
        <w:jc w:val="both"/>
        <w:rPr>
          <w:rFonts w:ascii="Arial" w:hAnsi="Arial" w:cs="Arial"/>
        </w:rPr>
      </w:pPr>
      <w:r>
        <w:rPr>
          <w:rFonts w:ascii="Arial" w:hAnsi="Arial" w:cs="Arial"/>
        </w:rPr>
        <w:t>In [1]</w:t>
      </w:r>
      <w:r w:rsidR="003D69AA">
        <w:rPr>
          <w:rFonts w:ascii="Arial" w:hAnsi="Arial" w:cs="Arial"/>
        </w:rPr>
        <w:t xml:space="preserve"> it is indicated that the “</w:t>
      </w:r>
      <w:r w:rsidR="00212FA0" w:rsidRPr="008269F4">
        <w:rPr>
          <w:rFonts w:ascii="Arial" w:hAnsi="Arial" w:cs="Arial"/>
        </w:rPr>
        <w:t xml:space="preserve">MS in dedicated mode or packet transfer mode reading MIB/SIB3 </w:t>
      </w:r>
      <w:r w:rsidR="00212FA0">
        <w:rPr>
          <w:rFonts w:ascii="Arial" w:hAnsi="Arial" w:cs="Arial" w:hint="eastAsia"/>
        </w:rPr>
        <w:t xml:space="preserve">of HNB </w:t>
      </w:r>
      <w:r w:rsidR="00212FA0" w:rsidRPr="008269F4">
        <w:rPr>
          <w:rFonts w:ascii="Arial" w:hAnsi="Arial" w:cs="Arial"/>
        </w:rPr>
        <w:t>to resolve the PSC confusion by stealing frames is feasible</w:t>
      </w:r>
      <w:r w:rsidR="00212FA0">
        <w:rPr>
          <w:rFonts w:ascii="Arial" w:hAnsi="Arial" w:cs="Arial" w:hint="eastAsia"/>
        </w:rPr>
        <w:t xml:space="preserve"> because the longest time to read MIB/SIB3 is 80 ms, i.e. skipping four consecutive voice frames, whose impact on ongoing service is thought acceptable in RAN2</w:t>
      </w:r>
      <w:r w:rsidR="00E5367F">
        <w:rPr>
          <w:rFonts w:ascii="Arial" w:hAnsi="Arial" w:cs="Arial"/>
        </w:rPr>
        <w:t>”</w:t>
      </w:r>
      <w:r w:rsidR="00212FA0" w:rsidRPr="008269F4">
        <w:rPr>
          <w:rFonts w:ascii="Arial" w:hAnsi="Arial" w:cs="Arial"/>
        </w:rPr>
        <w:t xml:space="preserve">. </w:t>
      </w:r>
    </w:p>
    <w:p w:rsidR="002E57AD" w:rsidRDefault="00D02A28" w:rsidP="003D69AA">
      <w:pPr>
        <w:spacing w:before="120" w:after="120"/>
        <w:jc w:val="both"/>
        <w:rPr>
          <w:rFonts w:ascii="Arial" w:hAnsi="Arial" w:cs="Arial"/>
        </w:rPr>
      </w:pPr>
      <w:r>
        <w:rPr>
          <w:rFonts w:ascii="Arial" w:hAnsi="Arial" w:cs="Arial"/>
        </w:rPr>
        <w:t xml:space="preserve">The additional factors to be considered when </w:t>
      </w:r>
      <w:r w:rsidR="002E57AD">
        <w:rPr>
          <w:rFonts w:ascii="Arial" w:hAnsi="Arial" w:cs="Arial"/>
        </w:rPr>
        <w:t>calculating the time taken to measure MIB/SIB of CSG cells are the following:</w:t>
      </w:r>
    </w:p>
    <w:p w:rsidR="00212FA0" w:rsidRDefault="002E57AD" w:rsidP="002E57AD">
      <w:pPr>
        <w:pStyle w:val="ListParagraph"/>
        <w:numPr>
          <w:ilvl w:val="0"/>
          <w:numId w:val="2"/>
        </w:numPr>
        <w:spacing w:before="120" w:after="120"/>
        <w:jc w:val="both"/>
        <w:rPr>
          <w:rFonts w:ascii="Arial" w:hAnsi="Arial" w:cs="Arial"/>
          <w:lang w:val="en-GB"/>
        </w:rPr>
      </w:pPr>
      <w:r>
        <w:rPr>
          <w:rFonts w:ascii="Arial" w:hAnsi="Arial" w:cs="Arial"/>
        </w:rPr>
        <w:t>T</w:t>
      </w:r>
      <w:r w:rsidR="003D69AA" w:rsidRPr="002E57AD">
        <w:rPr>
          <w:rFonts w:ascii="Arial" w:hAnsi="Arial" w:cs="Arial"/>
        </w:rPr>
        <w:t xml:space="preserve">here is also a </w:t>
      </w:r>
      <w:r w:rsidR="002E2B10">
        <w:rPr>
          <w:rFonts w:ascii="Arial" w:hAnsi="Arial" w:cs="Arial"/>
        </w:rPr>
        <w:t xml:space="preserve">finite </w:t>
      </w:r>
      <w:r w:rsidR="003D69AA" w:rsidRPr="002E57AD">
        <w:rPr>
          <w:rFonts w:ascii="Arial" w:hAnsi="Arial" w:cs="Arial"/>
        </w:rPr>
        <w:t xml:space="preserve">“stability check time” where the </w:t>
      </w:r>
      <w:r w:rsidR="00212FA0" w:rsidRPr="002E57AD">
        <w:rPr>
          <w:rFonts w:ascii="Arial" w:hAnsi="Arial" w:cs="Arial"/>
          <w:lang w:val="en-GB"/>
        </w:rPr>
        <w:t xml:space="preserve">signal strength/quality of the CSG cell above a threshold </w:t>
      </w:r>
      <w:r w:rsidR="00E56830" w:rsidRPr="002E57AD">
        <w:rPr>
          <w:rFonts w:ascii="Arial" w:hAnsi="Arial" w:cs="Arial"/>
          <w:lang w:val="en-GB"/>
        </w:rPr>
        <w:t xml:space="preserve">is checked before </w:t>
      </w:r>
      <w:r w:rsidR="00212FA0" w:rsidRPr="002E57AD">
        <w:rPr>
          <w:rFonts w:ascii="Arial" w:hAnsi="Arial" w:cs="Arial"/>
          <w:lang w:val="en-GB"/>
        </w:rPr>
        <w:t>trigger</w:t>
      </w:r>
      <w:r w:rsidR="00E56830" w:rsidRPr="002E57AD">
        <w:rPr>
          <w:rFonts w:ascii="Arial" w:hAnsi="Arial" w:cs="Arial"/>
          <w:lang w:val="en-GB"/>
        </w:rPr>
        <w:t>ing</w:t>
      </w:r>
      <w:r w:rsidR="005E1D3C" w:rsidRPr="002E57AD">
        <w:rPr>
          <w:rFonts w:ascii="Arial" w:hAnsi="Arial" w:cs="Arial"/>
          <w:lang w:val="en-GB"/>
        </w:rPr>
        <w:t xml:space="preserve"> an</w:t>
      </w:r>
      <w:r w:rsidR="00212FA0" w:rsidRPr="002E57AD">
        <w:rPr>
          <w:rFonts w:ascii="Arial" w:hAnsi="Arial" w:cs="Arial"/>
          <w:lang w:val="en-GB"/>
        </w:rPr>
        <w:t xml:space="preserve"> MS to read MIB/SIB3</w:t>
      </w:r>
    </w:p>
    <w:p w:rsidR="00AB5B1C" w:rsidRDefault="00AB5B1C" w:rsidP="002E57AD">
      <w:pPr>
        <w:pStyle w:val="ListParagraph"/>
        <w:numPr>
          <w:ilvl w:val="0"/>
          <w:numId w:val="2"/>
        </w:numPr>
        <w:spacing w:before="120" w:after="120"/>
        <w:jc w:val="both"/>
        <w:rPr>
          <w:rFonts w:ascii="Arial" w:hAnsi="Arial" w:cs="Arial"/>
          <w:lang w:val="en-GB"/>
        </w:rPr>
      </w:pPr>
      <w:r>
        <w:rPr>
          <w:rFonts w:ascii="Arial" w:hAnsi="Arial" w:cs="Arial"/>
          <w:lang w:val="en-GB"/>
        </w:rPr>
        <w:t>There might be multiple CSG cells</w:t>
      </w:r>
      <w:r w:rsidR="00A42939">
        <w:rPr>
          <w:rFonts w:ascii="Arial" w:hAnsi="Arial" w:cs="Arial"/>
          <w:lang w:val="en-GB"/>
        </w:rPr>
        <w:t xml:space="preserve"> in an area </w:t>
      </w:r>
      <w:r w:rsidR="005E3548">
        <w:rPr>
          <w:rFonts w:ascii="Arial" w:hAnsi="Arial" w:cs="Arial"/>
          <w:lang w:val="en-GB"/>
        </w:rPr>
        <w:t xml:space="preserve">(??) </w:t>
      </w:r>
      <w:r w:rsidR="00A42939">
        <w:rPr>
          <w:rFonts w:ascii="Arial" w:hAnsi="Arial" w:cs="Arial"/>
          <w:lang w:val="en-GB"/>
        </w:rPr>
        <w:t xml:space="preserve">– </w:t>
      </w:r>
      <w:proofErr w:type="gramStart"/>
      <w:r w:rsidR="00A42939">
        <w:rPr>
          <w:rFonts w:ascii="Arial" w:hAnsi="Arial" w:cs="Arial"/>
          <w:lang w:val="en-GB"/>
        </w:rPr>
        <w:t>after</w:t>
      </w:r>
      <w:proofErr w:type="gramEnd"/>
      <w:r w:rsidR="00A42939">
        <w:rPr>
          <w:rFonts w:ascii="Arial" w:hAnsi="Arial" w:cs="Arial"/>
          <w:lang w:val="en-GB"/>
        </w:rPr>
        <w:t xml:space="preserve"> a finger print triggers a CSG cell search</w:t>
      </w:r>
      <w:r w:rsidR="00D02D5C">
        <w:rPr>
          <w:rFonts w:ascii="Arial" w:hAnsi="Arial" w:cs="Arial"/>
          <w:lang w:val="en-GB"/>
        </w:rPr>
        <w:t>, one can never be sure of how many CSG cells on an average that a UE might have to read.</w:t>
      </w:r>
    </w:p>
    <w:p w:rsidR="009B3FDA" w:rsidRDefault="000A6317" w:rsidP="002E57AD">
      <w:pPr>
        <w:pStyle w:val="ListParagraph"/>
        <w:numPr>
          <w:ilvl w:val="0"/>
          <w:numId w:val="2"/>
        </w:numPr>
        <w:spacing w:before="120" w:after="120"/>
        <w:jc w:val="both"/>
        <w:rPr>
          <w:rFonts w:ascii="Arial" w:hAnsi="Arial" w:cs="Arial"/>
          <w:lang w:val="en-GB"/>
        </w:rPr>
      </w:pPr>
      <w:r>
        <w:rPr>
          <w:rFonts w:ascii="Arial" w:hAnsi="Arial" w:cs="Arial"/>
          <w:lang w:val="en-GB"/>
        </w:rPr>
        <w:t xml:space="preserve">If there is any learning from the GAN experience, </w:t>
      </w:r>
      <w:r w:rsidR="007C4963">
        <w:rPr>
          <w:rFonts w:ascii="Arial" w:hAnsi="Arial" w:cs="Arial"/>
          <w:lang w:val="en-GB"/>
        </w:rPr>
        <w:t xml:space="preserve">one can expect </w:t>
      </w:r>
      <w:r>
        <w:rPr>
          <w:rFonts w:ascii="Arial" w:hAnsi="Arial" w:cs="Arial"/>
          <w:lang w:val="en-GB"/>
        </w:rPr>
        <w:t xml:space="preserve">signal </w:t>
      </w:r>
      <w:r w:rsidR="00A47EBF">
        <w:rPr>
          <w:rFonts w:ascii="Arial" w:hAnsi="Arial" w:cs="Arial"/>
          <w:lang w:val="en-GB"/>
        </w:rPr>
        <w:t xml:space="preserve">fluctuations </w:t>
      </w:r>
      <w:r w:rsidR="007C4963">
        <w:rPr>
          <w:rFonts w:ascii="Arial" w:hAnsi="Arial" w:cs="Arial"/>
          <w:lang w:val="en-GB"/>
        </w:rPr>
        <w:t>that can lead to delayed search</w:t>
      </w:r>
    </w:p>
    <w:p w:rsidR="007A0C72" w:rsidRPr="002E57AD" w:rsidRDefault="007A0C72" w:rsidP="002E57AD">
      <w:pPr>
        <w:pStyle w:val="ListParagraph"/>
        <w:numPr>
          <w:ilvl w:val="0"/>
          <w:numId w:val="2"/>
        </w:numPr>
        <w:spacing w:before="120" w:after="120"/>
        <w:jc w:val="both"/>
        <w:rPr>
          <w:rFonts w:ascii="Arial" w:hAnsi="Arial" w:cs="Arial"/>
          <w:lang w:val="en-GB"/>
        </w:rPr>
      </w:pPr>
      <w:r>
        <w:rPr>
          <w:rFonts w:ascii="Arial" w:hAnsi="Arial" w:cs="Arial"/>
          <w:lang w:val="en-GB"/>
        </w:rPr>
        <w:t xml:space="preserve">The UE has to do the </w:t>
      </w:r>
      <w:r w:rsidR="00A427BF">
        <w:rPr>
          <w:rFonts w:ascii="Arial" w:hAnsi="Arial" w:cs="Arial"/>
          <w:lang w:val="en-GB"/>
        </w:rPr>
        <w:t>mandatory</w:t>
      </w:r>
      <w:r>
        <w:rPr>
          <w:rFonts w:ascii="Arial" w:hAnsi="Arial" w:cs="Arial"/>
          <w:lang w:val="en-GB"/>
        </w:rPr>
        <w:t xml:space="preserve"> periodic measurement reporting and in an area where other </w:t>
      </w:r>
      <w:proofErr w:type="spellStart"/>
      <w:r>
        <w:rPr>
          <w:rFonts w:ascii="Arial" w:hAnsi="Arial" w:cs="Arial"/>
          <w:lang w:val="en-GB"/>
        </w:rPr>
        <w:t>RATs</w:t>
      </w:r>
      <w:proofErr w:type="spellEnd"/>
      <w:r>
        <w:rPr>
          <w:rFonts w:ascii="Arial" w:hAnsi="Arial" w:cs="Arial"/>
          <w:lang w:val="en-GB"/>
        </w:rPr>
        <w:t xml:space="preserve"> are available, this measurement time itself can be </w:t>
      </w:r>
      <w:r w:rsidR="00A427BF">
        <w:rPr>
          <w:rFonts w:ascii="Arial" w:hAnsi="Arial" w:cs="Arial"/>
          <w:lang w:val="en-GB"/>
        </w:rPr>
        <w:t>stretched</w:t>
      </w:r>
      <w:r>
        <w:rPr>
          <w:rFonts w:ascii="Arial" w:hAnsi="Arial" w:cs="Arial"/>
          <w:lang w:val="en-GB"/>
        </w:rPr>
        <w:t>.</w:t>
      </w:r>
    </w:p>
    <w:p w:rsidR="00552631" w:rsidRPr="00FE4E2A" w:rsidRDefault="00EA75DE" w:rsidP="00552631">
      <w:pPr>
        <w:spacing w:before="120" w:after="120"/>
        <w:jc w:val="both"/>
        <w:rPr>
          <w:rFonts w:ascii="Arial" w:eastAsia="Times New Roman" w:hAnsi="Arial" w:cs="Arial"/>
        </w:rPr>
      </w:pPr>
      <w:r>
        <w:rPr>
          <w:rFonts w:ascii="Arial" w:hAnsi="Arial" w:cs="Arial"/>
        </w:rPr>
        <w:t>As such</w:t>
      </w:r>
      <w:r w:rsidR="00D74241">
        <w:rPr>
          <w:rFonts w:ascii="Arial" w:hAnsi="Arial" w:cs="Arial"/>
        </w:rPr>
        <w:t xml:space="preserve"> it is hard to quantify the actual number of voice frames that might have to be skipped before a CSG cell is found. Under such circumstances, it is always good to provide for some redundancy or flexibility so that the UE can “on reasonable terms” be able to read MIB/SIBs</w:t>
      </w:r>
      <w:r w:rsidR="00DF347D">
        <w:rPr>
          <w:rFonts w:ascii="Arial" w:hAnsi="Arial" w:cs="Arial"/>
        </w:rPr>
        <w:t>.</w:t>
      </w:r>
      <w:r w:rsidR="00552631">
        <w:rPr>
          <w:rFonts w:ascii="Arial" w:hAnsi="Arial" w:cs="Arial"/>
        </w:rPr>
        <w:t xml:space="preserve"> </w:t>
      </w:r>
      <w:r w:rsidR="00552631" w:rsidRPr="00FE4E2A">
        <w:rPr>
          <w:rFonts w:ascii="Arial" w:eastAsia="Times New Roman" w:hAnsi="Arial" w:cs="Arial"/>
        </w:rPr>
        <w:t xml:space="preserve">Essentially the network should be able to provide some more </w:t>
      </w:r>
      <w:r w:rsidR="002302DE" w:rsidRPr="00FE4E2A">
        <w:rPr>
          <w:rFonts w:ascii="Arial" w:eastAsia="Times New Roman" w:hAnsi="Arial" w:cs="Arial"/>
        </w:rPr>
        <w:t xml:space="preserve">headroom for </w:t>
      </w:r>
      <w:r w:rsidR="00552631" w:rsidRPr="00FE4E2A">
        <w:rPr>
          <w:rFonts w:ascii="Arial" w:eastAsia="Times New Roman" w:hAnsi="Arial" w:cs="Arial"/>
        </w:rPr>
        <w:t xml:space="preserve">UE measurements. </w:t>
      </w:r>
    </w:p>
    <w:p w:rsidR="007A0C72" w:rsidRDefault="007A0C72" w:rsidP="007A0C72">
      <w:pPr>
        <w:pStyle w:val="11BodyText"/>
        <w:ind w:left="0"/>
        <w:rPr>
          <w:rFonts w:cs="Arial"/>
          <w:b/>
          <w:szCs w:val="22"/>
        </w:rPr>
      </w:pPr>
    </w:p>
    <w:p w:rsidR="005F5892" w:rsidRDefault="005F5892" w:rsidP="007A0C72">
      <w:pPr>
        <w:pStyle w:val="11BodyText"/>
        <w:ind w:left="0"/>
        <w:rPr>
          <w:rFonts w:cs="Arial"/>
          <w:b/>
          <w:szCs w:val="22"/>
        </w:rPr>
      </w:pPr>
    </w:p>
    <w:p w:rsidR="005F5892" w:rsidRDefault="005F5892" w:rsidP="007A0C72">
      <w:pPr>
        <w:pStyle w:val="11BodyText"/>
        <w:ind w:left="0"/>
        <w:rPr>
          <w:rFonts w:cs="Arial"/>
          <w:b/>
          <w:szCs w:val="22"/>
        </w:rPr>
      </w:pPr>
    </w:p>
    <w:p w:rsidR="007A0C72" w:rsidRDefault="007A0C72" w:rsidP="007A0C72">
      <w:pPr>
        <w:pStyle w:val="11BodyText"/>
        <w:ind w:left="0"/>
        <w:rPr>
          <w:rFonts w:cs="Arial"/>
          <w:b/>
          <w:szCs w:val="22"/>
        </w:rPr>
      </w:pPr>
      <w:r>
        <w:rPr>
          <w:rFonts w:cs="Arial"/>
          <w:b/>
          <w:szCs w:val="22"/>
        </w:rPr>
        <w:lastRenderedPageBreak/>
        <w:t>Measurement relaxation:</w:t>
      </w:r>
    </w:p>
    <w:p w:rsidR="00AC7C16" w:rsidRPr="00FE4E2A" w:rsidRDefault="007A0C72" w:rsidP="00552631">
      <w:pPr>
        <w:spacing w:before="120" w:after="120"/>
        <w:jc w:val="both"/>
        <w:rPr>
          <w:rFonts w:ascii="Arial" w:eastAsia="Times New Roman" w:hAnsi="Arial" w:cs="Arial"/>
        </w:rPr>
      </w:pPr>
      <w:r w:rsidRPr="00FE4E2A">
        <w:rPr>
          <w:rFonts w:ascii="Arial" w:eastAsia="Times New Roman" w:hAnsi="Arial" w:cs="Arial"/>
        </w:rPr>
        <w:t>One way of providing more measurement headroom to the UE is by rel</w:t>
      </w:r>
      <w:r w:rsidR="00AC7C16" w:rsidRPr="00FE4E2A">
        <w:rPr>
          <w:rFonts w:ascii="Arial" w:eastAsia="Times New Roman" w:hAnsi="Arial" w:cs="Arial"/>
        </w:rPr>
        <w:t>axing the number of neighbors that needs to be measured by a UE.</w:t>
      </w:r>
    </w:p>
    <w:p w:rsidR="0049449D" w:rsidRPr="00FE4E2A" w:rsidRDefault="00AC7C16" w:rsidP="00552631">
      <w:pPr>
        <w:spacing w:before="120" w:after="120"/>
        <w:jc w:val="both"/>
        <w:rPr>
          <w:rFonts w:ascii="Arial" w:eastAsia="Times New Roman" w:hAnsi="Arial" w:cs="Arial"/>
        </w:rPr>
      </w:pPr>
      <w:r w:rsidRPr="00FE4E2A">
        <w:rPr>
          <w:rFonts w:ascii="Arial" w:eastAsia="Times New Roman" w:hAnsi="Arial" w:cs="Arial"/>
        </w:rPr>
        <w:t>The way network can do this is when a UE can send a “proximity Indicator” to the network, triggered by  a</w:t>
      </w:r>
      <w:r w:rsidR="0049449D" w:rsidRPr="00FE4E2A">
        <w:rPr>
          <w:rFonts w:ascii="Arial" w:eastAsia="Times New Roman" w:hAnsi="Arial" w:cs="Arial"/>
        </w:rPr>
        <w:t xml:space="preserve"> </w:t>
      </w:r>
      <w:r w:rsidRPr="00FE4E2A">
        <w:rPr>
          <w:rFonts w:ascii="Arial" w:eastAsia="Times New Roman" w:hAnsi="Arial" w:cs="Arial"/>
        </w:rPr>
        <w:t xml:space="preserve">UE finger print, </w:t>
      </w:r>
      <w:r w:rsidR="0049449D" w:rsidRPr="00FE4E2A">
        <w:rPr>
          <w:rFonts w:ascii="Arial" w:eastAsia="Times New Roman" w:hAnsi="Arial" w:cs="Arial"/>
        </w:rPr>
        <w:t>subsequent to which the network can order a “relaxed” neighbor cell measurement to a UE so that the UE can use that headroom for CSG cell measurements.</w:t>
      </w:r>
    </w:p>
    <w:p w:rsidR="0049449D" w:rsidRPr="00FE4E2A" w:rsidRDefault="0049449D" w:rsidP="00552631">
      <w:pPr>
        <w:spacing w:before="120" w:after="120"/>
        <w:jc w:val="both"/>
        <w:rPr>
          <w:rFonts w:ascii="Arial" w:eastAsia="Times New Roman" w:hAnsi="Arial" w:cs="Arial"/>
        </w:rPr>
      </w:pPr>
      <w:r w:rsidRPr="00FE4E2A">
        <w:rPr>
          <w:rFonts w:ascii="Arial" w:eastAsia="Times New Roman" w:hAnsi="Arial" w:cs="Arial"/>
        </w:rPr>
        <w:t>The “Proximity Indicator”</w:t>
      </w:r>
      <w:r w:rsidR="00887E63" w:rsidRPr="00FE4E2A">
        <w:rPr>
          <w:rFonts w:ascii="Arial" w:eastAsia="Times New Roman" w:hAnsi="Arial" w:cs="Arial"/>
        </w:rPr>
        <w:t xml:space="preserve"> can be on the lines of what is already agreed in RAN2 or the nature of such an indicator to the network can be modified within GERAN. </w:t>
      </w:r>
    </w:p>
    <w:p w:rsidR="00645A51" w:rsidRPr="00FE4E2A" w:rsidRDefault="00CF0051">
      <w:pPr>
        <w:rPr>
          <w:rFonts w:ascii="Arial" w:eastAsia="Times New Roman" w:hAnsi="Arial" w:cs="Arial"/>
        </w:rPr>
      </w:pPr>
      <w:r w:rsidRPr="00FE4E2A">
        <w:rPr>
          <w:rFonts w:ascii="Arial" w:eastAsia="Times New Roman" w:hAnsi="Arial" w:cs="Arial"/>
        </w:rPr>
        <w:t>The other aspect is th</w:t>
      </w:r>
      <w:r w:rsidR="006A7EF7" w:rsidRPr="00FE4E2A">
        <w:rPr>
          <w:rFonts w:ascii="Arial" w:eastAsia="Times New Roman" w:hAnsi="Arial" w:cs="Arial"/>
        </w:rPr>
        <w:t xml:space="preserve">at once a </w:t>
      </w:r>
      <w:r w:rsidR="001671D7" w:rsidRPr="00FE4E2A">
        <w:rPr>
          <w:rFonts w:ascii="Arial" w:eastAsia="Times New Roman" w:hAnsi="Arial" w:cs="Arial"/>
        </w:rPr>
        <w:t>“proximity indicator”</w:t>
      </w:r>
      <w:r w:rsidR="004B6E0E" w:rsidRPr="00FE4E2A">
        <w:rPr>
          <w:rFonts w:ascii="Arial" w:eastAsia="Times New Roman" w:hAnsi="Arial" w:cs="Arial"/>
        </w:rPr>
        <w:t xml:space="preserve"> </w:t>
      </w:r>
      <w:r w:rsidR="006A7EF7" w:rsidRPr="00FE4E2A">
        <w:rPr>
          <w:rFonts w:ascii="Arial" w:eastAsia="Times New Roman" w:hAnsi="Arial" w:cs="Arial"/>
        </w:rPr>
        <w:t>is sent to a base</w:t>
      </w:r>
      <w:r w:rsidR="0052651F" w:rsidRPr="00FE4E2A">
        <w:rPr>
          <w:rFonts w:ascii="Arial" w:eastAsia="Times New Roman" w:hAnsi="Arial" w:cs="Arial"/>
        </w:rPr>
        <w:t xml:space="preserve"> </w:t>
      </w:r>
      <w:r w:rsidR="006A7EF7" w:rsidRPr="00FE4E2A">
        <w:rPr>
          <w:rFonts w:ascii="Arial" w:eastAsia="Times New Roman" w:hAnsi="Arial" w:cs="Arial"/>
        </w:rPr>
        <w:t xml:space="preserve">station, </w:t>
      </w:r>
      <w:r w:rsidR="004B6E0E" w:rsidRPr="00FE4E2A">
        <w:rPr>
          <w:rFonts w:ascii="Arial" w:eastAsia="Times New Roman" w:hAnsi="Arial" w:cs="Arial"/>
        </w:rPr>
        <w:t>the base</w:t>
      </w:r>
      <w:r w:rsidR="004E3C68" w:rsidRPr="00FE4E2A">
        <w:rPr>
          <w:rFonts w:ascii="Arial" w:eastAsia="Times New Roman" w:hAnsi="Arial" w:cs="Arial"/>
        </w:rPr>
        <w:t xml:space="preserve"> </w:t>
      </w:r>
      <w:r w:rsidR="004B6E0E" w:rsidRPr="00FE4E2A">
        <w:rPr>
          <w:rFonts w:ascii="Arial" w:eastAsia="Times New Roman" w:hAnsi="Arial" w:cs="Arial"/>
        </w:rPr>
        <w:t>station c</w:t>
      </w:r>
      <w:r w:rsidR="002179FD" w:rsidRPr="00FE4E2A">
        <w:rPr>
          <w:rFonts w:ascii="Arial" w:eastAsia="Times New Roman" w:hAnsi="Arial" w:cs="Arial"/>
        </w:rPr>
        <w:t xml:space="preserve">ould </w:t>
      </w:r>
      <w:r w:rsidR="004B6E0E" w:rsidRPr="00FE4E2A">
        <w:rPr>
          <w:rFonts w:ascii="Arial" w:eastAsia="Times New Roman" w:hAnsi="Arial" w:cs="Arial"/>
        </w:rPr>
        <w:t xml:space="preserve">cache the </w:t>
      </w:r>
      <w:r w:rsidR="007263C5" w:rsidRPr="00FE4E2A">
        <w:rPr>
          <w:rFonts w:ascii="Arial" w:eastAsia="Times New Roman" w:hAnsi="Arial" w:cs="Arial"/>
        </w:rPr>
        <w:t xml:space="preserve">finger print provided in the </w:t>
      </w:r>
      <w:r w:rsidR="004B6E0E" w:rsidRPr="00FE4E2A">
        <w:rPr>
          <w:rFonts w:ascii="Arial" w:eastAsia="Times New Roman" w:hAnsi="Arial" w:cs="Arial"/>
        </w:rPr>
        <w:t xml:space="preserve">proximity </w:t>
      </w:r>
      <w:r w:rsidR="00CF7166" w:rsidRPr="00FE4E2A">
        <w:rPr>
          <w:rFonts w:ascii="Arial" w:eastAsia="Times New Roman" w:hAnsi="Arial" w:cs="Arial"/>
        </w:rPr>
        <w:t xml:space="preserve">indicator and </w:t>
      </w:r>
      <w:r w:rsidR="00702288" w:rsidRPr="00FE4E2A">
        <w:rPr>
          <w:rFonts w:ascii="Arial" w:eastAsia="Times New Roman" w:hAnsi="Arial" w:cs="Arial"/>
        </w:rPr>
        <w:t xml:space="preserve">use it </w:t>
      </w:r>
      <w:r w:rsidR="007263C5" w:rsidRPr="00FE4E2A">
        <w:rPr>
          <w:rFonts w:ascii="Arial" w:eastAsia="Times New Roman" w:hAnsi="Arial" w:cs="Arial"/>
        </w:rPr>
        <w:t xml:space="preserve">to arrive at a UE specific neighbor cell list. </w:t>
      </w:r>
    </w:p>
    <w:p w:rsidR="00CF0051" w:rsidRPr="00FE4E2A" w:rsidRDefault="001D4412">
      <w:pPr>
        <w:rPr>
          <w:rFonts w:ascii="Arial" w:eastAsia="Times New Roman" w:hAnsi="Arial" w:cs="Arial"/>
        </w:rPr>
      </w:pPr>
      <w:r w:rsidRPr="00FE4E2A">
        <w:rPr>
          <w:rFonts w:ascii="Arial" w:eastAsia="Times New Roman" w:hAnsi="Arial" w:cs="Arial"/>
        </w:rPr>
        <w:t xml:space="preserve">The </w:t>
      </w:r>
      <w:r w:rsidR="007263C5" w:rsidRPr="00FE4E2A">
        <w:rPr>
          <w:rFonts w:ascii="Arial" w:eastAsia="Times New Roman" w:hAnsi="Arial" w:cs="Arial"/>
        </w:rPr>
        <w:t>essential proposal here is to introduce a “Proximity Indicator”</w:t>
      </w:r>
      <w:r w:rsidRPr="00FE4E2A">
        <w:rPr>
          <w:rFonts w:ascii="Arial" w:eastAsia="Times New Roman" w:hAnsi="Arial" w:cs="Arial"/>
        </w:rPr>
        <w:t xml:space="preserve"> in GERAN so that the network can provide a measurement relaxation for a UE.</w:t>
      </w:r>
      <w:r w:rsidR="00037D19" w:rsidRPr="00FE4E2A">
        <w:rPr>
          <w:rFonts w:ascii="Arial" w:eastAsia="Times New Roman" w:hAnsi="Arial" w:cs="Arial"/>
        </w:rPr>
        <w:t xml:space="preserve"> </w:t>
      </w:r>
    </w:p>
    <w:p w:rsidR="007649A8" w:rsidRDefault="007649A8"/>
    <w:p w:rsidR="007649A8" w:rsidRDefault="007649A8" w:rsidP="00797852">
      <w:pPr>
        <w:jc w:val="center"/>
      </w:pPr>
      <w:r>
        <w:rPr>
          <w:noProof/>
        </w:rPr>
        <w:drawing>
          <wp:inline distT="0" distB="0" distL="0" distR="0">
            <wp:extent cx="3086100" cy="30289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srcRect/>
                    <a:stretch>
                      <a:fillRect/>
                    </a:stretch>
                  </pic:blipFill>
                  <pic:spPr bwMode="auto">
                    <a:xfrm>
                      <a:off x="0" y="0"/>
                      <a:ext cx="3086100" cy="3028950"/>
                    </a:xfrm>
                    <a:prstGeom prst="rect">
                      <a:avLst/>
                    </a:prstGeom>
                    <a:noFill/>
                    <a:ln w="9525">
                      <a:noFill/>
                      <a:miter lim="800000"/>
                      <a:headEnd/>
                      <a:tailEnd/>
                    </a:ln>
                  </pic:spPr>
                </pic:pic>
              </a:graphicData>
            </a:graphic>
          </wp:inline>
        </w:drawing>
      </w:r>
    </w:p>
    <w:p w:rsidR="00797852" w:rsidRPr="00FE4E2A" w:rsidRDefault="00797852" w:rsidP="00FE4E2A">
      <w:pPr>
        <w:spacing w:before="120" w:after="120"/>
        <w:jc w:val="center"/>
        <w:rPr>
          <w:rFonts w:ascii="Arial" w:eastAsia="Times New Roman" w:hAnsi="Arial" w:cs="Arial"/>
        </w:rPr>
      </w:pPr>
      <w:r w:rsidRPr="00FE4E2A">
        <w:rPr>
          <w:rFonts w:ascii="Arial" w:eastAsia="Times New Roman" w:hAnsi="Arial" w:cs="Arial"/>
        </w:rPr>
        <w:t xml:space="preserve">Figure 1: Proposed introduction of “Proximity Indicator” </w:t>
      </w:r>
      <w:r w:rsidR="00993513" w:rsidRPr="00FE4E2A">
        <w:rPr>
          <w:rFonts w:ascii="Arial" w:eastAsia="Times New Roman" w:hAnsi="Arial" w:cs="Arial"/>
        </w:rPr>
        <w:t>for CSG inbound mobility</w:t>
      </w:r>
    </w:p>
    <w:p w:rsidR="0080530E" w:rsidRDefault="0080530E" w:rsidP="00797852">
      <w:pPr>
        <w:jc w:val="center"/>
      </w:pPr>
    </w:p>
    <w:p w:rsidR="0080530E" w:rsidRDefault="0080530E" w:rsidP="00797852">
      <w:pPr>
        <w:jc w:val="center"/>
      </w:pPr>
    </w:p>
    <w:p w:rsidR="00FE4E2A" w:rsidRDefault="00FE4E2A" w:rsidP="00797852">
      <w:pPr>
        <w:jc w:val="center"/>
      </w:pPr>
    </w:p>
    <w:p w:rsidR="0080530E" w:rsidRDefault="0080530E" w:rsidP="00797852">
      <w:pPr>
        <w:jc w:val="center"/>
      </w:pPr>
    </w:p>
    <w:p w:rsidR="0080530E" w:rsidRDefault="0080530E" w:rsidP="00797852">
      <w:pPr>
        <w:jc w:val="center"/>
      </w:pPr>
    </w:p>
    <w:p w:rsidR="00CB69ED" w:rsidRDefault="00CB69ED" w:rsidP="00CB69ED">
      <w:pPr>
        <w:pStyle w:val="11BodyText"/>
        <w:ind w:left="0"/>
        <w:rPr>
          <w:rFonts w:cs="Arial"/>
          <w:b/>
          <w:szCs w:val="22"/>
        </w:rPr>
      </w:pPr>
      <w:r>
        <w:rPr>
          <w:rFonts w:cs="Arial"/>
          <w:b/>
          <w:szCs w:val="22"/>
        </w:rPr>
        <w:lastRenderedPageBreak/>
        <w:t>Conclusion:</w:t>
      </w:r>
    </w:p>
    <w:p w:rsidR="00FD0902" w:rsidRPr="00FE4E2A" w:rsidRDefault="005F0684" w:rsidP="00FD0902">
      <w:pPr>
        <w:rPr>
          <w:rFonts w:ascii="Arial" w:eastAsia="Times New Roman" w:hAnsi="Arial" w:cs="Arial"/>
        </w:rPr>
      </w:pPr>
      <w:r w:rsidRPr="00FE4E2A">
        <w:rPr>
          <w:rFonts w:ascii="Arial" w:eastAsia="Times New Roman" w:hAnsi="Arial" w:cs="Arial"/>
        </w:rPr>
        <w:t xml:space="preserve">It is proposed to </w:t>
      </w:r>
      <w:r w:rsidR="00751382" w:rsidRPr="00FE4E2A">
        <w:rPr>
          <w:rFonts w:ascii="Arial" w:eastAsia="Times New Roman" w:hAnsi="Arial" w:cs="Arial"/>
        </w:rPr>
        <w:t xml:space="preserve">introduce a </w:t>
      </w:r>
      <w:r w:rsidR="00FD0902" w:rsidRPr="00FE4E2A">
        <w:rPr>
          <w:rFonts w:ascii="Arial" w:eastAsia="Times New Roman" w:hAnsi="Arial" w:cs="Arial"/>
        </w:rPr>
        <w:t xml:space="preserve">“Proximity Indicator” in GERAN so that the network can </w:t>
      </w:r>
      <w:r w:rsidR="00B372AC" w:rsidRPr="00FE4E2A">
        <w:rPr>
          <w:rFonts w:ascii="Arial" w:eastAsia="Times New Roman" w:hAnsi="Arial" w:cs="Arial"/>
        </w:rPr>
        <w:t xml:space="preserve">use this to </w:t>
      </w:r>
      <w:r w:rsidR="00FD0902" w:rsidRPr="00FE4E2A">
        <w:rPr>
          <w:rFonts w:ascii="Arial" w:eastAsia="Times New Roman" w:hAnsi="Arial" w:cs="Arial"/>
        </w:rPr>
        <w:t>provide a measurement relaxati</w:t>
      </w:r>
      <w:r w:rsidR="001F76B7" w:rsidRPr="00FE4E2A">
        <w:rPr>
          <w:rFonts w:ascii="Arial" w:eastAsia="Times New Roman" w:hAnsi="Arial" w:cs="Arial"/>
        </w:rPr>
        <w:t xml:space="preserve">on for a UE or use the same for any other </w:t>
      </w:r>
      <w:r w:rsidR="002B0F5C" w:rsidRPr="00FE4E2A">
        <w:rPr>
          <w:rFonts w:ascii="Arial" w:eastAsia="Times New Roman" w:hAnsi="Arial" w:cs="Arial"/>
        </w:rPr>
        <w:t xml:space="preserve">implementation dependent </w:t>
      </w:r>
      <w:r w:rsidR="001F76B7" w:rsidRPr="00FE4E2A">
        <w:rPr>
          <w:rFonts w:ascii="Arial" w:eastAsia="Times New Roman" w:hAnsi="Arial" w:cs="Arial"/>
        </w:rPr>
        <w:t>optimization</w:t>
      </w:r>
      <w:r w:rsidR="002B0F5C" w:rsidRPr="00FE4E2A">
        <w:rPr>
          <w:rFonts w:ascii="Arial" w:eastAsia="Times New Roman" w:hAnsi="Arial" w:cs="Arial"/>
        </w:rPr>
        <w:t>s.</w:t>
      </w:r>
      <w:r w:rsidR="001F76B7" w:rsidRPr="00FE4E2A">
        <w:rPr>
          <w:rFonts w:ascii="Arial" w:eastAsia="Times New Roman" w:hAnsi="Arial" w:cs="Arial"/>
        </w:rPr>
        <w:t xml:space="preserve"> </w:t>
      </w:r>
    </w:p>
    <w:p w:rsidR="003A35FB" w:rsidRDefault="003A35FB" w:rsidP="00FD0902"/>
    <w:p w:rsidR="003A35FB" w:rsidRDefault="003A35FB" w:rsidP="00FD0902"/>
    <w:p w:rsidR="00CB69ED" w:rsidRDefault="00CB69ED" w:rsidP="00CB69ED">
      <w:pPr>
        <w:pStyle w:val="11BodyText"/>
        <w:ind w:left="0"/>
        <w:rPr>
          <w:rFonts w:cs="Arial"/>
          <w:b/>
          <w:szCs w:val="22"/>
        </w:rPr>
      </w:pPr>
      <w:r>
        <w:rPr>
          <w:rFonts w:cs="Arial"/>
          <w:b/>
          <w:szCs w:val="22"/>
        </w:rPr>
        <w:t>References:</w:t>
      </w:r>
    </w:p>
    <w:p w:rsidR="00AE1BD9" w:rsidRDefault="00E76E6F" w:rsidP="00AE1BD9">
      <w:pPr>
        <w:pStyle w:val="Reference"/>
        <w:numPr>
          <w:ilvl w:val="0"/>
          <w:numId w:val="1"/>
        </w:numPr>
        <w:tabs>
          <w:tab w:val="num" w:pos="360"/>
        </w:tabs>
        <w:autoSpaceDE w:val="0"/>
        <w:autoSpaceDN w:val="0"/>
        <w:adjustRightInd w:val="0"/>
        <w:spacing w:after="0"/>
        <w:ind w:left="359" w:hangingChars="171" w:hanging="359"/>
        <w:rPr>
          <w:snapToGrid w:val="0"/>
          <w:sz w:val="21"/>
          <w:szCs w:val="21"/>
        </w:rPr>
      </w:pPr>
      <w:r w:rsidRPr="00AE1BD9">
        <w:rPr>
          <w:snapToGrid w:val="0"/>
          <w:sz w:val="21"/>
          <w:szCs w:val="21"/>
        </w:rPr>
        <w:t>GP-091192, Inbound Mobility from GERAN to HNB, Huawei Technologies Co. Ltd, GERAN #43, Vancouver, Canada.</w:t>
      </w:r>
    </w:p>
    <w:p w:rsidR="00AE1BD9" w:rsidRDefault="00356D6C" w:rsidP="00356D6C">
      <w:pPr>
        <w:pStyle w:val="Reference"/>
        <w:numPr>
          <w:ilvl w:val="0"/>
          <w:numId w:val="1"/>
        </w:numPr>
        <w:tabs>
          <w:tab w:val="num" w:pos="360"/>
        </w:tabs>
        <w:autoSpaceDE w:val="0"/>
        <w:autoSpaceDN w:val="0"/>
        <w:adjustRightInd w:val="0"/>
        <w:spacing w:after="0"/>
        <w:ind w:left="359" w:hangingChars="171" w:hanging="359"/>
        <w:rPr>
          <w:snapToGrid w:val="0"/>
          <w:sz w:val="21"/>
          <w:szCs w:val="21"/>
        </w:rPr>
      </w:pPr>
      <w:r w:rsidRPr="00AE1BD9">
        <w:rPr>
          <w:snapToGrid w:val="0"/>
          <w:sz w:val="21"/>
          <w:szCs w:val="21"/>
        </w:rPr>
        <w:t>GP-100604</w:t>
      </w:r>
      <w:r w:rsidR="002F659A">
        <w:rPr>
          <w:snapToGrid w:val="0"/>
          <w:sz w:val="21"/>
          <w:szCs w:val="21"/>
        </w:rPr>
        <w:t xml:space="preserve">, Chairman’s summary </w:t>
      </w:r>
      <w:r w:rsidR="00622E1D">
        <w:rPr>
          <w:snapToGrid w:val="0"/>
          <w:sz w:val="21"/>
          <w:szCs w:val="21"/>
        </w:rPr>
        <w:t>on pending CSG issues</w:t>
      </w:r>
      <w:r w:rsidR="002F659A">
        <w:rPr>
          <w:snapToGrid w:val="0"/>
          <w:sz w:val="21"/>
          <w:szCs w:val="21"/>
        </w:rPr>
        <w:t>, GERAN#45</w:t>
      </w:r>
      <w:r w:rsidR="00187AE9">
        <w:rPr>
          <w:snapToGrid w:val="0"/>
          <w:sz w:val="21"/>
          <w:szCs w:val="21"/>
        </w:rPr>
        <w:t>, Berlin, Germany</w:t>
      </w:r>
      <w:r w:rsidR="00741ED7">
        <w:rPr>
          <w:snapToGrid w:val="0"/>
          <w:sz w:val="21"/>
          <w:szCs w:val="21"/>
        </w:rPr>
        <w:t>.</w:t>
      </w:r>
    </w:p>
    <w:p w:rsidR="00E76E6F" w:rsidRPr="00AE1BD9" w:rsidRDefault="00356D6C" w:rsidP="00E76E6F">
      <w:pPr>
        <w:pStyle w:val="Reference"/>
        <w:numPr>
          <w:ilvl w:val="0"/>
          <w:numId w:val="1"/>
        </w:numPr>
        <w:tabs>
          <w:tab w:val="num" w:pos="360"/>
        </w:tabs>
        <w:autoSpaceDE w:val="0"/>
        <w:autoSpaceDN w:val="0"/>
        <w:adjustRightInd w:val="0"/>
        <w:spacing w:after="0"/>
        <w:ind w:left="359" w:hangingChars="171" w:hanging="359"/>
        <w:rPr>
          <w:rFonts w:hint="eastAsia"/>
          <w:snapToGrid w:val="0"/>
          <w:sz w:val="21"/>
          <w:szCs w:val="21"/>
        </w:rPr>
      </w:pPr>
      <w:r w:rsidRPr="00AE1BD9">
        <w:rPr>
          <w:snapToGrid w:val="0"/>
          <w:sz w:val="21"/>
          <w:szCs w:val="21"/>
        </w:rPr>
        <w:t>GP-012503, “Speech Quality &amp; Frame Stealing”, Nokia. GERAN #7, 26 - 30 November 2001, Cancun, Mexico</w:t>
      </w:r>
    </w:p>
    <w:p w:rsidR="00CB69ED" w:rsidRDefault="00CB69ED"/>
    <w:p w:rsidR="00A0334D" w:rsidRDefault="00A0334D"/>
    <w:p w:rsidR="00A0334D" w:rsidRDefault="00A0334D"/>
    <w:sectPr w:rsidR="00A0334D" w:rsidSect="007A62A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altName w:val="Helvetica"/>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987"/>
        </w:tabs>
        <w:ind w:left="987" w:hanging="567"/>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57EC4C86"/>
    <w:multiLevelType w:val="hybridMultilevel"/>
    <w:tmpl w:val="28D24A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CF0051"/>
    <w:rsid w:val="00037D19"/>
    <w:rsid w:val="00052B5F"/>
    <w:rsid w:val="000603B5"/>
    <w:rsid w:val="00072E51"/>
    <w:rsid w:val="0009424C"/>
    <w:rsid w:val="000A4E1F"/>
    <w:rsid w:val="000A6317"/>
    <w:rsid w:val="000D0B56"/>
    <w:rsid w:val="000E27AB"/>
    <w:rsid w:val="000E3C69"/>
    <w:rsid w:val="000F096E"/>
    <w:rsid w:val="000F41BE"/>
    <w:rsid w:val="001671D7"/>
    <w:rsid w:val="00187AE9"/>
    <w:rsid w:val="001B7E69"/>
    <w:rsid w:val="001C4C18"/>
    <w:rsid w:val="001D4412"/>
    <w:rsid w:val="001E3530"/>
    <w:rsid w:val="001E69DC"/>
    <w:rsid w:val="001F76B7"/>
    <w:rsid w:val="00201495"/>
    <w:rsid w:val="00212FA0"/>
    <w:rsid w:val="002179FD"/>
    <w:rsid w:val="002302DE"/>
    <w:rsid w:val="00246381"/>
    <w:rsid w:val="00265700"/>
    <w:rsid w:val="00286F2D"/>
    <w:rsid w:val="002B0F5C"/>
    <w:rsid w:val="002B202B"/>
    <w:rsid w:val="002D6593"/>
    <w:rsid w:val="002E2B10"/>
    <w:rsid w:val="002E57AD"/>
    <w:rsid w:val="002F659A"/>
    <w:rsid w:val="00304248"/>
    <w:rsid w:val="0033356B"/>
    <w:rsid w:val="00336798"/>
    <w:rsid w:val="00352311"/>
    <w:rsid w:val="00356D6C"/>
    <w:rsid w:val="003755E7"/>
    <w:rsid w:val="003A35FB"/>
    <w:rsid w:val="003D23D6"/>
    <w:rsid w:val="003D69AA"/>
    <w:rsid w:val="003F798D"/>
    <w:rsid w:val="004037F7"/>
    <w:rsid w:val="00411A76"/>
    <w:rsid w:val="004140BE"/>
    <w:rsid w:val="0045311F"/>
    <w:rsid w:val="004902FB"/>
    <w:rsid w:val="00493086"/>
    <w:rsid w:val="0049449D"/>
    <w:rsid w:val="004B6E0E"/>
    <w:rsid w:val="004E1EC8"/>
    <w:rsid w:val="004E3C68"/>
    <w:rsid w:val="004E7A3C"/>
    <w:rsid w:val="00511DD2"/>
    <w:rsid w:val="00516AE2"/>
    <w:rsid w:val="0052651F"/>
    <w:rsid w:val="005304D7"/>
    <w:rsid w:val="00543A77"/>
    <w:rsid w:val="00546C24"/>
    <w:rsid w:val="00552631"/>
    <w:rsid w:val="005D3B00"/>
    <w:rsid w:val="005E1C5A"/>
    <w:rsid w:val="005E1D3C"/>
    <w:rsid w:val="005E3548"/>
    <w:rsid w:val="005E5723"/>
    <w:rsid w:val="005F0684"/>
    <w:rsid w:val="005F5892"/>
    <w:rsid w:val="00622E1D"/>
    <w:rsid w:val="00645A51"/>
    <w:rsid w:val="006A7EF7"/>
    <w:rsid w:val="006C0073"/>
    <w:rsid w:val="006C3617"/>
    <w:rsid w:val="006E0B10"/>
    <w:rsid w:val="006F0685"/>
    <w:rsid w:val="00702288"/>
    <w:rsid w:val="007056A3"/>
    <w:rsid w:val="00705E8B"/>
    <w:rsid w:val="00724709"/>
    <w:rsid w:val="007263C5"/>
    <w:rsid w:val="00741ED7"/>
    <w:rsid w:val="00742637"/>
    <w:rsid w:val="00751382"/>
    <w:rsid w:val="007649A8"/>
    <w:rsid w:val="0077310E"/>
    <w:rsid w:val="0077674A"/>
    <w:rsid w:val="00797852"/>
    <w:rsid w:val="007A0C72"/>
    <w:rsid w:val="007A62AA"/>
    <w:rsid w:val="007C4963"/>
    <w:rsid w:val="0080530E"/>
    <w:rsid w:val="008223BA"/>
    <w:rsid w:val="00823102"/>
    <w:rsid w:val="0083515C"/>
    <w:rsid w:val="00860688"/>
    <w:rsid w:val="00874853"/>
    <w:rsid w:val="00887E63"/>
    <w:rsid w:val="008B40FD"/>
    <w:rsid w:val="008C362F"/>
    <w:rsid w:val="008E730A"/>
    <w:rsid w:val="00970B17"/>
    <w:rsid w:val="00993513"/>
    <w:rsid w:val="00994D85"/>
    <w:rsid w:val="009A6A6B"/>
    <w:rsid w:val="009B3FDA"/>
    <w:rsid w:val="009D5FBE"/>
    <w:rsid w:val="00A01E1C"/>
    <w:rsid w:val="00A0258C"/>
    <w:rsid w:val="00A0334D"/>
    <w:rsid w:val="00A427BF"/>
    <w:rsid w:val="00A42939"/>
    <w:rsid w:val="00A47EBF"/>
    <w:rsid w:val="00A54549"/>
    <w:rsid w:val="00A56FA6"/>
    <w:rsid w:val="00A73CA2"/>
    <w:rsid w:val="00A9273A"/>
    <w:rsid w:val="00AB2D61"/>
    <w:rsid w:val="00AB5B1C"/>
    <w:rsid w:val="00AC7C16"/>
    <w:rsid w:val="00AE1BD9"/>
    <w:rsid w:val="00B1502F"/>
    <w:rsid w:val="00B372AC"/>
    <w:rsid w:val="00B56B19"/>
    <w:rsid w:val="00B57552"/>
    <w:rsid w:val="00B60045"/>
    <w:rsid w:val="00B9382D"/>
    <w:rsid w:val="00BF1362"/>
    <w:rsid w:val="00C512CF"/>
    <w:rsid w:val="00C669E1"/>
    <w:rsid w:val="00C91703"/>
    <w:rsid w:val="00CB0D7F"/>
    <w:rsid w:val="00CB1B64"/>
    <w:rsid w:val="00CB69ED"/>
    <w:rsid w:val="00CD4B30"/>
    <w:rsid w:val="00CF0051"/>
    <w:rsid w:val="00CF7166"/>
    <w:rsid w:val="00D02A28"/>
    <w:rsid w:val="00D02D5C"/>
    <w:rsid w:val="00D52057"/>
    <w:rsid w:val="00D6017E"/>
    <w:rsid w:val="00D6117D"/>
    <w:rsid w:val="00D74241"/>
    <w:rsid w:val="00D7473E"/>
    <w:rsid w:val="00D87A2D"/>
    <w:rsid w:val="00DB00C7"/>
    <w:rsid w:val="00DB2A4C"/>
    <w:rsid w:val="00DC3F52"/>
    <w:rsid w:val="00DC5F42"/>
    <w:rsid w:val="00DF1BEC"/>
    <w:rsid w:val="00DF347D"/>
    <w:rsid w:val="00E02091"/>
    <w:rsid w:val="00E103E8"/>
    <w:rsid w:val="00E5367F"/>
    <w:rsid w:val="00E56830"/>
    <w:rsid w:val="00E727BD"/>
    <w:rsid w:val="00E76E6F"/>
    <w:rsid w:val="00E91FE7"/>
    <w:rsid w:val="00EA75DE"/>
    <w:rsid w:val="00EB1967"/>
    <w:rsid w:val="00EC09A7"/>
    <w:rsid w:val="00EC62E8"/>
    <w:rsid w:val="00EE275D"/>
    <w:rsid w:val="00F00CC6"/>
    <w:rsid w:val="00F346A8"/>
    <w:rsid w:val="00F3494E"/>
    <w:rsid w:val="00F763D9"/>
    <w:rsid w:val="00F94767"/>
    <w:rsid w:val="00FB4D86"/>
    <w:rsid w:val="00FD0902"/>
    <w:rsid w:val="00FD32F3"/>
    <w:rsid w:val="00FD6889"/>
    <w:rsid w:val="00FE1203"/>
    <w:rsid w:val="00FE4E2A"/>
    <w:rsid w:val="00FF73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62A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rsid w:val="00CF0051"/>
    <w:pPr>
      <w:spacing w:after="220" w:line="240" w:lineRule="auto"/>
      <w:ind w:left="1298"/>
    </w:pPr>
    <w:rPr>
      <w:rFonts w:ascii="Arial" w:eastAsia="Times New Roman" w:hAnsi="Arial" w:cs="Times New Roman"/>
      <w:szCs w:val="20"/>
    </w:rPr>
  </w:style>
  <w:style w:type="paragraph" w:customStyle="1" w:styleId="Normal0">
    <w:name w:val="Normal_"/>
    <w:basedOn w:val="Normal"/>
    <w:semiHidden/>
    <w:rsid w:val="0077674A"/>
    <w:pPr>
      <w:spacing w:after="160" w:line="240" w:lineRule="exact"/>
    </w:pPr>
    <w:rPr>
      <w:rFonts w:ascii="Arial" w:eastAsia="SimSun" w:hAnsi="Arial" w:cs="Arial"/>
      <w:sz w:val="20"/>
      <w:szCs w:val="20"/>
    </w:rPr>
  </w:style>
  <w:style w:type="paragraph" w:customStyle="1" w:styleId="Reference">
    <w:name w:val="Reference"/>
    <w:basedOn w:val="Normal"/>
    <w:rsid w:val="00E76E6F"/>
    <w:pPr>
      <w:numPr>
        <w:ilvl w:val="1"/>
        <w:numId w:val="1"/>
      </w:numPr>
      <w:spacing w:before="156" w:after="156" w:line="240" w:lineRule="auto"/>
      <w:jc w:val="both"/>
    </w:pPr>
    <w:rPr>
      <w:rFonts w:ascii="Arial" w:eastAsia="SimSun" w:hAnsi="Arial" w:cs="Arial"/>
      <w:sz w:val="24"/>
      <w:szCs w:val="24"/>
      <w:lang w:eastAsia="zh-CN"/>
    </w:rPr>
  </w:style>
  <w:style w:type="paragraph" w:styleId="ListParagraph">
    <w:name w:val="List Paragraph"/>
    <w:basedOn w:val="Normal"/>
    <w:uiPriority w:val="34"/>
    <w:qFormat/>
    <w:rsid w:val="002E57AD"/>
    <w:pPr>
      <w:ind w:left="720"/>
      <w:contextualSpacing/>
    </w:pPr>
  </w:style>
  <w:style w:type="paragraph" w:styleId="BalloonText">
    <w:name w:val="Balloon Text"/>
    <w:basedOn w:val="Normal"/>
    <w:link w:val="BalloonTextChar"/>
    <w:uiPriority w:val="99"/>
    <w:semiHidden/>
    <w:unhideWhenUsed/>
    <w:rsid w:val="007649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649A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1524</TotalTime>
  <Pages>3</Pages>
  <Words>591</Words>
  <Characters>3375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SISO</Company>
  <LinksUpToDate>false</LinksUpToDate>
  <CharactersWithSpaces>3959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Satish Jamadagni</dc:creator>
  <cp:keywords/>
  <dc:description/>
  <cp:lastModifiedBy>Satish Jamadagni</cp:lastModifiedBy>
  <cp:revision>196</cp:revision>
  <dcterms:created xsi:type="dcterms:W3CDTF">2010-04-30T14:19:00Z</dcterms:created>
  <dcterms:modified xsi:type="dcterms:W3CDTF">2010-05-14T02:17:00Z</dcterms:modified>
</cp:coreProperties>
</file>