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C53" w:rsidRPr="00661C65" w:rsidRDefault="00825C53" w:rsidP="001C4703">
      <w:pPr>
        <w:tabs>
          <w:tab w:val="left" w:pos="1800"/>
        </w:tabs>
        <w:rPr>
          <w:sz w:val="22"/>
          <w:szCs w:val="22"/>
        </w:rPr>
      </w:pPr>
      <w:bookmarkStart w:id="0" w:name="_GoBack"/>
      <w:bookmarkEnd w:id="0"/>
      <w:r w:rsidRPr="00661C65">
        <w:rPr>
          <w:b/>
          <w:sz w:val="22"/>
          <w:szCs w:val="22"/>
        </w:rPr>
        <w:t>Source: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42320C" w:rsidRPr="00661C65">
        <w:rPr>
          <w:sz w:val="22"/>
          <w:szCs w:val="22"/>
        </w:rPr>
        <w:t>Qualcomm</w:t>
      </w:r>
      <w:r w:rsidR="000905B4">
        <w:rPr>
          <w:sz w:val="22"/>
          <w:szCs w:val="22"/>
        </w:rPr>
        <w:t xml:space="preserve"> </w:t>
      </w:r>
      <w:r w:rsidR="00F70802">
        <w:rPr>
          <w:sz w:val="22"/>
          <w:szCs w:val="22"/>
        </w:rPr>
        <w:t>Incorporated</w:t>
      </w:r>
    </w:p>
    <w:p w:rsidR="009C00A9" w:rsidRDefault="00825C53" w:rsidP="001C4703">
      <w:pPr>
        <w:tabs>
          <w:tab w:val="left" w:pos="1800"/>
        </w:tabs>
        <w:ind w:left="658" w:hangingChars="298" w:hanging="658"/>
        <w:rPr>
          <w:sz w:val="22"/>
          <w:szCs w:val="22"/>
        </w:rPr>
      </w:pPr>
      <w:r w:rsidRPr="00661C65">
        <w:rPr>
          <w:b/>
          <w:sz w:val="22"/>
          <w:szCs w:val="22"/>
        </w:rPr>
        <w:t xml:space="preserve">Title:   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1A11CB">
        <w:rPr>
          <w:sz w:val="22"/>
          <w:szCs w:val="22"/>
        </w:rPr>
        <w:t>E</w:t>
      </w:r>
      <w:r w:rsidR="00E30703">
        <w:rPr>
          <w:sz w:val="22"/>
          <w:szCs w:val="22"/>
        </w:rPr>
        <w:t>ffective SINR f</w:t>
      </w:r>
      <w:r w:rsidR="001A11CB">
        <w:rPr>
          <w:sz w:val="22"/>
          <w:szCs w:val="22"/>
        </w:rPr>
        <w:t xml:space="preserve">or </w:t>
      </w:r>
      <w:r w:rsidR="009C00A9">
        <w:rPr>
          <w:sz w:val="22"/>
          <w:szCs w:val="22"/>
        </w:rPr>
        <w:t xml:space="preserve">Coexistence Study of </w:t>
      </w:r>
      <w:r w:rsidR="00F86A69">
        <w:rPr>
          <w:sz w:val="22"/>
          <w:szCs w:val="22"/>
        </w:rPr>
        <w:t xml:space="preserve">Narrowband </w:t>
      </w:r>
      <w:r w:rsidR="00601ABA">
        <w:rPr>
          <w:sz w:val="22"/>
          <w:szCs w:val="22"/>
        </w:rPr>
        <w:t>Systems</w:t>
      </w:r>
      <w:r w:rsidR="00F86A69">
        <w:rPr>
          <w:sz w:val="22"/>
          <w:szCs w:val="22"/>
        </w:rPr>
        <w:t xml:space="preserve"> </w:t>
      </w:r>
      <w:r w:rsidR="00B413DE">
        <w:rPr>
          <w:sz w:val="22"/>
          <w:szCs w:val="22"/>
        </w:rPr>
        <w:t>and</w:t>
      </w:r>
      <w:r w:rsidR="009C00A9">
        <w:rPr>
          <w:sz w:val="22"/>
          <w:szCs w:val="22"/>
        </w:rPr>
        <w:t xml:space="preserve"> GSM</w:t>
      </w:r>
    </w:p>
    <w:p w:rsidR="0098008C" w:rsidRPr="0098008C" w:rsidRDefault="0098008C" w:rsidP="001C4703">
      <w:pPr>
        <w:tabs>
          <w:tab w:val="left" w:pos="1800"/>
        </w:tabs>
        <w:ind w:left="658" w:hangingChars="298" w:hanging="658"/>
        <w:rPr>
          <w:sz w:val="22"/>
          <w:szCs w:val="22"/>
        </w:rPr>
      </w:pPr>
      <w:r w:rsidRPr="00014384">
        <w:rPr>
          <w:b/>
          <w:sz w:val="22"/>
          <w:szCs w:val="22"/>
        </w:rPr>
        <w:t>Agenda:</w:t>
      </w:r>
      <w:r w:rsidRPr="00014384">
        <w:rPr>
          <w:sz w:val="22"/>
          <w:szCs w:val="22"/>
        </w:rPr>
        <w:tab/>
      </w:r>
      <w:r w:rsidR="00842B1E">
        <w:rPr>
          <w:sz w:val="22"/>
          <w:szCs w:val="22"/>
        </w:rPr>
        <w:t>1.4.1</w:t>
      </w:r>
      <w:r w:rsidR="009D3080">
        <w:rPr>
          <w:sz w:val="22"/>
          <w:szCs w:val="22"/>
        </w:rPr>
        <w:t>, 1.4.2.4</w:t>
      </w:r>
    </w:p>
    <w:p w:rsidR="009A2998" w:rsidRPr="0044681B" w:rsidRDefault="00825C53" w:rsidP="0044681B">
      <w:pPr>
        <w:tabs>
          <w:tab w:val="left" w:pos="1800"/>
        </w:tabs>
        <w:rPr>
          <w:sz w:val="22"/>
          <w:szCs w:val="22"/>
        </w:rPr>
      </w:pPr>
      <w:r w:rsidRPr="00661C65">
        <w:t>Document for:</w:t>
      </w:r>
      <w:r w:rsidRPr="00661C65">
        <w:tab/>
      </w:r>
      <w:bookmarkStart w:id="1" w:name="DocumentFor"/>
      <w:bookmarkEnd w:id="1"/>
      <w:r w:rsidR="00BF0D6B">
        <w:t xml:space="preserve">Decision and </w:t>
      </w:r>
      <w:r w:rsidR="00F70802">
        <w:t>Discussion</w:t>
      </w:r>
    </w:p>
    <w:p w:rsidR="0044681B" w:rsidRDefault="0005379D" w:rsidP="0005379D">
      <w:pPr>
        <w:pStyle w:val="Heading1"/>
      </w:pPr>
      <w:r>
        <w:t>Introduction</w:t>
      </w:r>
    </w:p>
    <w:p w:rsidR="002A7E17" w:rsidRDefault="00BF0D6B" w:rsidP="00114E8A">
      <w:pPr>
        <w:rPr>
          <w:sz w:val="22"/>
          <w:szCs w:val="22"/>
        </w:rPr>
      </w:pPr>
      <w:r>
        <w:t>Evaluation methodology and simulation assumptions for coexistence of cellular IoT with GSM is proposed in [1]. It</w:t>
      </w:r>
      <w:r w:rsidR="002A7E17">
        <w:t xml:space="preserve"> is agreed that </w:t>
      </w:r>
      <w:r w:rsidR="002A7E17">
        <w:rPr>
          <w:sz w:val="22"/>
          <w:szCs w:val="22"/>
        </w:rPr>
        <w:t>the 5</w:t>
      </w:r>
      <w:r w:rsidR="002A7E17">
        <w:rPr>
          <w:sz w:val="22"/>
          <w:szCs w:val="22"/>
          <w:vertAlign w:val="superscript"/>
        </w:rPr>
        <w:t>th</w:t>
      </w:r>
      <w:r w:rsidR="002A7E17">
        <w:rPr>
          <w:sz w:val="22"/>
          <w:szCs w:val="22"/>
        </w:rPr>
        <w:t>, 50</w:t>
      </w:r>
      <w:r w:rsidR="002A7E17">
        <w:rPr>
          <w:sz w:val="22"/>
          <w:szCs w:val="22"/>
          <w:vertAlign w:val="superscript"/>
        </w:rPr>
        <w:t>th</w:t>
      </w:r>
      <w:r w:rsidR="002A7E17">
        <w:rPr>
          <w:sz w:val="22"/>
          <w:szCs w:val="22"/>
        </w:rPr>
        <w:t xml:space="preserve"> and 90</w:t>
      </w:r>
      <w:r w:rsidR="002A7E17">
        <w:rPr>
          <w:sz w:val="22"/>
          <w:szCs w:val="22"/>
          <w:vertAlign w:val="superscript"/>
        </w:rPr>
        <w:t>th</w:t>
      </w:r>
      <w:r w:rsidR="002A7E17">
        <w:rPr>
          <w:sz w:val="22"/>
          <w:szCs w:val="22"/>
        </w:rPr>
        <w:t xml:space="preserve"> percentile SINR reduction at the CIoT receiver is used to measure the impact of GSM to CIoT. </w:t>
      </w:r>
    </w:p>
    <w:p w:rsidR="002A7E17" w:rsidRDefault="002A7E17" w:rsidP="00114E8A">
      <w:pPr>
        <w:rPr>
          <w:sz w:val="22"/>
          <w:szCs w:val="22"/>
        </w:rPr>
      </w:pPr>
    </w:p>
    <w:p w:rsidR="00C43EC9" w:rsidRDefault="002A7E17" w:rsidP="00114E8A">
      <w:pPr>
        <w:rPr>
          <w:sz w:val="22"/>
          <w:szCs w:val="22"/>
        </w:rPr>
      </w:pPr>
      <w:r>
        <w:rPr>
          <w:sz w:val="22"/>
          <w:szCs w:val="22"/>
        </w:rPr>
        <w:t>In narrowband systems</w:t>
      </w:r>
      <w:r w:rsidR="00E30703">
        <w:rPr>
          <w:sz w:val="22"/>
          <w:szCs w:val="22"/>
        </w:rPr>
        <w:t xml:space="preserve"> such as NB-OFDMA and NB-FDMA</w:t>
      </w:r>
      <w:r w:rsidR="00C43EC9">
        <w:rPr>
          <w:sz w:val="22"/>
          <w:szCs w:val="22"/>
        </w:rPr>
        <w:t xml:space="preserve"> [2]</w:t>
      </w:r>
      <w:r>
        <w:rPr>
          <w:sz w:val="22"/>
          <w:szCs w:val="22"/>
        </w:rPr>
        <w:t xml:space="preserve">, frequency hopping is an effective tool for interference management. It is </w:t>
      </w:r>
      <w:r w:rsidR="009C0C71">
        <w:rPr>
          <w:sz w:val="22"/>
          <w:szCs w:val="22"/>
        </w:rPr>
        <w:t>important</w:t>
      </w:r>
      <w:r>
        <w:rPr>
          <w:sz w:val="22"/>
          <w:szCs w:val="22"/>
        </w:rPr>
        <w:t xml:space="preserve"> to consider frequen</w:t>
      </w:r>
      <w:r w:rsidR="009C0C71">
        <w:rPr>
          <w:sz w:val="22"/>
          <w:szCs w:val="22"/>
        </w:rPr>
        <w:t xml:space="preserve">cy hopping in the evaluation of </w:t>
      </w:r>
      <w:r w:rsidR="00FE7126">
        <w:rPr>
          <w:sz w:val="22"/>
          <w:szCs w:val="22"/>
        </w:rPr>
        <w:t xml:space="preserve">coexistence of </w:t>
      </w:r>
      <w:r>
        <w:rPr>
          <w:sz w:val="22"/>
          <w:szCs w:val="22"/>
        </w:rPr>
        <w:t xml:space="preserve">a narrowband system with other legacy cellular systems. </w:t>
      </w:r>
    </w:p>
    <w:p w:rsidR="00C43EC9" w:rsidRDefault="00C43EC9" w:rsidP="00114E8A">
      <w:pPr>
        <w:rPr>
          <w:sz w:val="22"/>
          <w:szCs w:val="22"/>
        </w:rPr>
      </w:pPr>
    </w:p>
    <w:p w:rsidR="00C43EC9" w:rsidRDefault="00C43EC9" w:rsidP="00C43EC9">
      <w:pPr>
        <w:rPr>
          <w:sz w:val="22"/>
          <w:szCs w:val="22"/>
        </w:rPr>
      </w:pPr>
      <w:r>
        <w:rPr>
          <w:sz w:val="22"/>
          <w:szCs w:val="22"/>
        </w:rPr>
        <w:t xml:space="preserve">In this study, the effective exponential SINR mapping is proposed for the performance evaluation when </w:t>
      </w:r>
      <w:r w:rsidR="00FE7126">
        <w:rPr>
          <w:sz w:val="22"/>
          <w:szCs w:val="22"/>
        </w:rPr>
        <w:t>frequency hopping</w:t>
      </w:r>
      <w:r>
        <w:rPr>
          <w:sz w:val="22"/>
          <w:szCs w:val="22"/>
        </w:rPr>
        <w:t xml:space="preserve"> is applied</w:t>
      </w:r>
      <w:r w:rsidR="00FE7126">
        <w:rPr>
          <w:sz w:val="22"/>
          <w:szCs w:val="22"/>
        </w:rPr>
        <w:t xml:space="preserve">. </w:t>
      </w:r>
      <w:r>
        <w:rPr>
          <w:sz w:val="22"/>
          <w:szCs w:val="22"/>
        </w:rPr>
        <w:t>In additi</w:t>
      </w:r>
      <w:r w:rsidR="009C0C71">
        <w:rPr>
          <w:sz w:val="22"/>
          <w:szCs w:val="22"/>
        </w:rPr>
        <w:t>on, CDF of the effective SINR in</w:t>
      </w:r>
      <w:r>
        <w:rPr>
          <w:sz w:val="22"/>
          <w:szCs w:val="22"/>
        </w:rPr>
        <w:t xml:space="preserve"> the NB-OFDMA uplink is presented based on the evaluation framework proposed in [1]. </w:t>
      </w:r>
    </w:p>
    <w:p w:rsidR="00FE7126" w:rsidRDefault="00FE7126" w:rsidP="00114E8A">
      <w:pPr>
        <w:rPr>
          <w:sz w:val="22"/>
          <w:szCs w:val="22"/>
        </w:rPr>
      </w:pPr>
    </w:p>
    <w:p w:rsidR="00BC09FA" w:rsidRPr="00E46B89" w:rsidRDefault="003963FA" w:rsidP="00BC09FA">
      <w:pPr>
        <w:pStyle w:val="Heading1"/>
        <w:tabs>
          <w:tab w:val="clear" w:pos="432"/>
        </w:tabs>
        <w:overflowPunct w:val="0"/>
        <w:autoSpaceDE w:val="0"/>
        <w:autoSpaceDN w:val="0"/>
        <w:adjustRightInd w:val="0"/>
        <w:textAlignment w:val="baseline"/>
        <w:rPr>
          <w:rFonts w:cs="Arial"/>
          <w:color w:val="000000"/>
        </w:rPr>
      </w:pPr>
      <w:r>
        <w:rPr>
          <w:rFonts w:cs="Arial"/>
          <w:color w:val="000000"/>
          <w:lang w:val="en-US" w:eastAsia="zh-CN"/>
        </w:rPr>
        <w:t xml:space="preserve">Effective </w:t>
      </w:r>
      <w:r w:rsidR="009D3080">
        <w:rPr>
          <w:rFonts w:cs="Arial"/>
          <w:color w:val="000000"/>
          <w:lang w:val="en-US" w:eastAsia="zh-CN"/>
        </w:rPr>
        <w:t>SINR u</w:t>
      </w:r>
      <w:r w:rsidR="00FE7126">
        <w:rPr>
          <w:rFonts w:cs="Arial"/>
          <w:color w:val="000000"/>
          <w:lang w:val="en-US" w:eastAsia="zh-CN"/>
        </w:rPr>
        <w:t>nder Frequency Hopping</w:t>
      </w:r>
    </w:p>
    <w:p w:rsidR="00FF4980" w:rsidRDefault="00FE7126" w:rsidP="00BC09FA">
      <w:pPr>
        <w:rPr>
          <w:rStyle w:val="StyleLatinBodyCalibri11pt"/>
          <w:rFonts w:ascii="Times New Roman" w:hAnsi="Times New Roman" w:cs="Times New Roman"/>
        </w:rPr>
      </w:pPr>
      <w:r>
        <w:rPr>
          <w:rStyle w:val="StyleLatinBodyCalibri11pt"/>
          <w:rFonts w:ascii="Times New Roman" w:hAnsi="Times New Roman" w:cs="Times New Roman"/>
        </w:rPr>
        <w:t xml:space="preserve">Frequency hopping is an effective tool for managing interference </w:t>
      </w:r>
      <w:r w:rsidR="000C20C1">
        <w:rPr>
          <w:rStyle w:val="StyleLatinBodyCalibri11pt"/>
          <w:rFonts w:ascii="Times New Roman" w:hAnsi="Times New Roman" w:cs="Times New Roman"/>
        </w:rPr>
        <w:t>with</w:t>
      </w:r>
      <w:r>
        <w:rPr>
          <w:rStyle w:val="StyleLatinBodyCalibri11pt"/>
          <w:rFonts w:ascii="Times New Roman" w:hAnsi="Times New Roman" w:cs="Times New Roman"/>
        </w:rPr>
        <w:t>in narrowband CIoT system</w:t>
      </w:r>
      <w:r w:rsidR="000C20C1">
        <w:rPr>
          <w:rStyle w:val="StyleLatinBodyCalibri11pt"/>
          <w:rFonts w:ascii="Times New Roman" w:hAnsi="Times New Roman" w:cs="Times New Roman"/>
        </w:rPr>
        <w:t>s</w:t>
      </w:r>
      <w:r>
        <w:rPr>
          <w:rStyle w:val="StyleLatinBodyCalibri11pt"/>
          <w:rFonts w:ascii="Times New Roman" w:hAnsi="Times New Roman" w:cs="Times New Roman"/>
        </w:rPr>
        <w:t xml:space="preserve"> and between narrowband CIoT and legacy Cellular systems with larger bandwidth.</w:t>
      </w:r>
      <w:r w:rsidR="009C0C71">
        <w:rPr>
          <w:rStyle w:val="StyleLatinBodyCalibri11pt"/>
          <w:rFonts w:ascii="Times New Roman" w:hAnsi="Times New Roman" w:cs="Times New Roman"/>
        </w:rPr>
        <w:t xml:space="preserve"> It enables</w:t>
      </w:r>
      <w:r w:rsidR="001A188B">
        <w:rPr>
          <w:rStyle w:val="StyleLatinBodyCalibri11pt"/>
          <w:rFonts w:ascii="Times New Roman" w:hAnsi="Times New Roman" w:cs="Times New Roman"/>
        </w:rPr>
        <w:t xml:space="preserve"> narrowband transmission</w:t>
      </w:r>
      <w:r w:rsidR="009C0C71">
        <w:rPr>
          <w:rStyle w:val="StyleLatinBodyCalibri11pt"/>
          <w:rFonts w:ascii="Times New Roman" w:hAnsi="Times New Roman" w:cs="Times New Roman"/>
        </w:rPr>
        <w:t>s</w:t>
      </w:r>
      <w:r w:rsidR="001A188B">
        <w:rPr>
          <w:rStyle w:val="StyleLatinBodyCalibri11pt"/>
          <w:rFonts w:ascii="Times New Roman" w:hAnsi="Times New Roman" w:cs="Times New Roman"/>
        </w:rPr>
        <w:t xml:space="preserve"> to see the </w:t>
      </w:r>
      <w:r w:rsidR="001A188B" w:rsidRPr="009C0C71">
        <w:rPr>
          <w:rStyle w:val="StyleLatinBodyCalibri11pt"/>
          <w:rFonts w:ascii="Times New Roman" w:hAnsi="Times New Roman" w:cs="Times New Roman"/>
          <w:i/>
        </w:rPr>
        <w:t>average</w:t>
      </w:r>
      <w:r w:rsidR="001A188B">
        <w:rPr>
          <w:rStyle w:val="StyleLatinBodyCalibri11pt"/>
          <w:rFonts w:ascii="Times New Roman" w:hAnsi="Times New Roman" w:cs="Times New Roman"/>
        </w:rPr>
        <w:t xml:space="preserve"> interference which may otherwise vary widely. For instance, </w:t>
      </w:r>
    </w:p>
    <w:p w:rsidR="00FF4980" w:rsidRPr="00FF4980" w:rsidRDefault="00DD3B3C" w:rsidP="00FF4980">
      <w:pPr>
        <w:pStyle w:val="ListParagraph"/>
        <w:numPr>
          <w:ilvl w:val="0"/>
          <w:numId w:val="26"/>
        </w:numPr>
        <w:rPr>
          <w:rStyle w:val="StyleLatinBodyCalibri11pt"/>
          <w:rFonts w:ascii="Times New Roman" w:hAnsi="Times New Roman" w:cs="Times New Roman"/>
        </w:rPr>
      </w:pPr>
      <w:r>
        <w:rPr>
          <w:rStyle w:val="StyleLatinBodyCalibri11pt"/>
          <w:rFonts w:ascii="Times New Roman" w:hAnsi="Times New Roman" w:cs="Times New Roman"/>
        </w:rPr>
        <w:t>S</w:t>
      </w:r>
      <w:r w:rsidR="001A188B" w:rsidRPr="00FF4980">
        <w:rPr>
          <w:rStyle w:val="StyleLatinBodyCalibri11pt"/>
          <w:rFonts w:ascii="Times New Roman" w:hAnsi="Times New Roman" w:cs="Times New Roman"/>
        </w:rPr>
        <w:t xml:space="preserve">ignal power levels at </w:t>
      </w:r>
      <w:r w:rsidR="009C0C71">
        <w:rPr>
          <w:rStyle w:val="StyleLatinBodyCalibri11pt"/>
          <w:rFonts w:ascii="Times New Roman" w:hAnsi="Times New Roman" w:cs="Times New Roman"/>
        </w:rPr>
        <w:t xml:space="preserve">a </w:t>
      </w:r>
      <w:r w:rsidR="00FF4980" w:rsidRPr="00FF4980">
        <w:rPr>
          <w:rStyle w:val="StyleLatinBodyCalibri11pt"/>
          <w:rFonts w:ascii="Times New Roman" w:hAnsi="Times New Roman" w:cs="Times New Roman"/>
        </w:rPr>
        <w:t>CIoT</w:t>
      </w:r>
      <w:r w:rsidR="001A188B" w:rsidRPr="00FF4980">
        <w:rPr>
          <w:rStyle w:val="StyleLatinBodyCalibri11pt"/>
          <w:rFonts w:ascii="Times New Roman" w:hAnsi="Times New Roman" w:cs="Times New Roman"/>
        </w:rPr>
        <w:t xml:space="preserve"> base station</w:t>
      </w:r>
      <w:r w:rsidR="00FF4980" w:rsidRPr="00FF4980">
        <w:rPr>
          <w:rStyle w:val="StyleLatinBodyCalibri11pt"/>
          <w:rFonts w:ascii="Times New Roman" w:hAnsi="Times New Roman" w:cs="Times New Roman"/>
        </w:rPr>
        <w:t xml:space="preserve"> receiver vary widely among different subchannels, and so do the interference levels from a neighbouring </w:t>
      </w:r>
      <w:r w:rsidR="009C0C71">
        <w:rPr>
          <w:rStyle w:val="StyleLatinBodyCalibri11pt"/>
          <w:rFonts w:ascii="Times New Roman" w:hAnsi="Times New Roman" w:cs="Times New Roman"/>
        </w:rPr>
        <w:t xml:space="preserve">CIoT </w:t>
      </w:r>
      <w:r w:rsidR="00FF4980" w:rsidRPr="00FF4980">
        <w:rPr>
          <w:rStyle w:val="StyleLatinBodyCalibri11pt"/>
          <w:rFonts w:ascii="Times New Roman" w:hAnsi="Times New Roman" w:cs="Times New Roman"/>
        </w:rPr>
        <w:t xml:space="preserve">cell. </w:t>
      </w:r>
    </w:p>
    <w:p w:rsidR="00865343" w:rsidRPr="009C0C71" w:rsidRDefault="00FF4980" w:rsidP="00BC09FA">
      <w:pPr>
        <w:pStyle w:val="ListParagraph"/>
        <w:numPr>
          <w:ilvl w:val="0"/>
          <w:numId w:val="26"/>
        </w:numPr>
        <w:rPr>
          <w:rStyle w:val="StyleLatinBodyCalibri11pt"/>
          <w:rFonts w:ascii="Times New Roman" w:hAnsi="Times New Roman" w:cs="Times New Roman"/>
        </w:rPr>
      </w:pPr>
      <w:r w:rsidRPr="00FF4980">
        <w:rPr>
          <w:rStyle w:val="StyleLatinBodyCalibri11pt"/>
          <w:rFonts w:ascii="Times New Roman" w:hAnsi="Times New Roman" w:cs="Times New Roman"/>
        </w:rPr>
        <w:t>Interference levels from GSM seen at different CIoT subchannels also vary widely due to the fast decay of out-of-band GSM power spectral density (PSD).</w:t>
      </w:r>
    </w:p>
    <w:p w:rsidR="00986494" w:rsidRDefault="00201FA9" w:rsidP="00BC09FA">
      <w:pPr>
        <w:rPr>
          <w:rStyle w:val="StyleLatinBodyCalibri11pt"/>
          <w:rFonts w:ascii="Times New Roman" w:hAnsi="Times New Roman" w:cs="Times New Roman"/>
        </w:rPr>
      </w:pPr>
      <w:r>
        <w:rPr>
          <w:rStyle w:val="StyleLatinBodyCalibri11pt"/>
          <w:rFonts w:ascii="Times New Roman" w:hAnsi="Times New Roman" w:cs="Times New Roman"/>
        </w:rPr>
        <w:t>When frequency hopping is applied, th</w:t>
      </w:r>
      <w:r w:rsidR="00BD0DCB">
        <w:rPr>
          <w:rStyle w:val="StyleLatinBodyCalibri11pt"/>
          <w:rFonts w:ascii="Times New Roman" w:hAnsi="Times New Roman" w:cs="Times New Roman"/>
        </w:rPr>
        <w:t>e transmission of a data packet</w:t>
      </w:r>
      <w:r>
        <w:rPr>
          <w:rStyle w:val="StyleLatinBodyCalibri11pt"/>
          <w:rFonts w:ascii="Times New Roman" w:hAnsi="Times New Roman" w:cs="Times New Roman"/>
        </w:rPr>
        <w:t xml:space="preserve"> experiences different levels of interference. </w:t>
      </w:r>
      <w:r w:rsidR="00076100">
        <w:rPr>
          <w:rStyle w:val="StyleLatinBodyCalibri11pt"/>
          <w:rFonts w:ascii="Times New Roman" w:hAnsi="Times New Roman" w:cs="Times New Roman"/>
        </w:rPr>
        <w:t>For the ease of evaluation, t</w:t>
      </w:r>
      <w:r>
        <w:rPr>
          <w:rStyle w:val="StyleLatinBodyCalibri11pt"/>
          <w:rFonts w:ascii="Times New Roman" w:hAnsi="Times New Roman" w:cs="Times New Roman"/>
        </w:rPr>
        <w:t xml:space="preserve">here is a need to map multiple SINRs during the transmission of a data packet to a single-valued </w:t>
      </w:r>
      <w:r w:rsidR="00076100">
        <w:rPr>
          <w:rStyle w:val="StyleLatinBodyCalibri11pt"/>
          <w:rFonts w:ascii="Times New Roman" w:hAnsi="Times New Roman" w:cs="Times New Roman"/>
        </w:rPr>
        <w:t xml:space="preserve">performance </w:t>
      </w:r>
      <w:r>
        <w:rPr>
          <w:rStyle w:val="StyleLatinBodyCalibri11pt"/>
          <w:rFonts w:ascii="Times New Roman" w:hAnsi="Times New Roman" w:cs="Times New Roman"/>
        </w:rPr>
        <w:t xml:space="preserve">metric. </w:t>
      </w:r>
      <w:r w:rsidR="00076100">
        <w:rPr>
          <w:rStyle w:val="StyleLatinBodyCalibri11pt"/>
          <w:rFonts w:ascii="Times New Roman" w:hAnsi="Times New Roman" w:cs="Times New Roman"/>
        </w:rPr>
        <w:t>The effective exponential S</w:t>
      </w:r>
      <w:r w:rsidR="00986494">
        <w:rPr>
          <w:rStyle w:val="StyleLatinBodyCalibri11pt"/>
          <w:rFonts w:ascii="Times New Roman" w:hAnsi="Times New Roman" w:cs="Times New Roman"/>
        </w:rPr>
        <w:t>I</w:t>
      </w:r>
      <w:r w:rsidR="00E30703">
        <w:rPr>
          <w:rStyle w:val="StyleLatinBodyCalibri11pt"/>
          <w:rFonts w:ascii="Times New Roman" w:hAnsi="Times New Roman" w:cs="Times New Roman"/>
        </w:rPr>
        <w:t>NR mapping (EESM) [3</w:t>
      </w:r>
      <w:r w:rsidR="00076100">
        <w:rPr>
          <w:rStyle w:val="StyleLatinBodyCalibri11pt"/>
          <w:rFonts w:ascii="Times New Roman" w:hAnsi="Times New Roman" w:cs="Times New Roman"/>
        </w:rPr>
        <w:t>]</w:t>
      </w:r>
      <w:r w:rsidR="00986494">
        <w:rPr>
          <w:rStyle w:val="StyleLatinBodyCalibri11pt"/>
          <w:rFonts w:ascii="Times New Roman" w:hAnsi="Times New Roman" w:cs="Times New Roman"/>
        </w:rPr>
        <w:t>,</w:t>
      </w:r>
      <w:r w:rsidR="00076100">
        <w:rPr>
          <w:rStyle w:val="StyleLatinBodyCalibri11pt"/>
          <w:rFonts w:ascii="Times New Roman" w:hAnsi="Times New Roman" w:cs="Times New Roman"/>
        </w:rPr>
        <w:t xml:space="preserve"> </w:t>
      </w:r>
      <w:r w:rsidR="00986494">
        <w:rPr>
          <w:rStyle w:val="StyleLatinBodyCalibri11pt"/>
          <w:rFonts w:ascii="Times New Roman" w:hAnsi="Times New Roman" w:cs="Times New Roman"/>
        </w:rPr>
        <w:t>which</w:t>
      </w:r>
      <w:r w:rsidR="00076100">
        <w:rPr>
          <w:rStyle w:val="StyleLatinBodyCalibri11pt"/>
          <w:rFonts w:ascii="Times New Roman" w:hAnsi="Times New Roman" w:cs="Times New Roman"/>
        </w:rPr>
        <w:t xml:space="preserve"> is used in LTE </w:t>
      </w:r>
      <w:r w:rsidR="00986494">
        <w:rPr>
          <w:rStyle w:val="StyleLatinBodyCalibri11pt"/>
          <w:rFonts w:ascii="Times New Roman" w:hAnsi="Times New Roman" w:cs="Times New Roman"/>
        </w:rPr>
        <w:t xml:space="preserve">to </w:t>
      </w:r>
      <w:r w:rsidR="00BD0DCB">
        <w:rPr>
          <w:rStyle w:val="StyleLatinBodyCalibri11pt"/>
          <w:rFonts w:ascii="Times New Roman" w:hAnsi="Times New Roman" w:cs="Times New Roman"/>
        </w:rPr>
        <w:t>map</w:t>
      </w:r>
      <w:r w:rsidR="00986494">
        <w:rPr>
          <w:rStyle w:val="StyleLatinBodyCalibri11pt"/>
          <w:rFonts w:ascii="Times New Roman" w:hAnsi="Times New Roman" w:cs="Times New Roman"/>
        </w:rPr>
        <w:t xml:space="preserve"> </w:t>
      </w:r>
      <w:r w:rsidR="00BD0DCB">
        <w:rPr>
          <w:rStyle w:val="StyleLatinBodyCalibri11pt"/>
          <w:rFonts w:ascii="Times New Roman" w:hAnsi="Times New Roman" w:cs="Times New Roman"/>
        </w:rPr>
        <w:t>multiple</w:t>
      </w:r>
      <w:r w:rsidR="00986494">
        <w:rPr>
          <w:rStyle w:val="StyleLatinBodyCalibri11pt"/>
          <w:rFonts w:ascii="Times New Roman" w:hAnsi="Times New Roman" w:cs="Times New Roman"/>
        </w:rPr>
        <w:t xml:space="preserve"> SINR values seen at different resource blocks </w:t>
      </w:r>
      <w:r w:rsidR="00BD0DCB">
        <w:rPr>
          <w:rStyle w:val="StyleLatinBodyCalibri11pt"/>
          <w:rFonts w:ascii="Times New Roman" w:hAnsi="Times New Roman" w:cs="Times New Roman"/>
        </w:rPr>
        <w:t>to a single value as</w:t>
      </w:r>
      <w:r w:rsidR="00986494">
        <w:rPr>
          <w:rStyle w:val="StyleLatinBodyCalibri11pt"/>
          <w:rFonts w:ascii="Times New Roman" w:hAnsi="Times New Roman" w:cs="Times New Roman"/>
        </w:rPr>
        <w:t xml:space="preserve"> channel quality indication </w:t>
      </w:r>
      <w:r w:rsidR="00BD0DCB">
        <w:rPr>
          <w:rStyle w:val="StyleLatinBodyCalibri11pt"/>
          <w:rFonts w:ascii="Times New Roman" w:hAnsi="Times New Roman" w:cs="Times New Roman"/>
        </w:rPr>
        <w:t>(CQI), can also be used here to average</w:t>
      </w:r>
      <w:r w:rsidR="00986494">
        <w:rPr>
          <w:rStyle w:val="StyleLatinBodyCalibri11pt"/>
          <w:rFonts w:ascii="Times New Roman" w:hAnsi="Times New Roman" w:cs="Times New Roman"/>
        </w:rPr>
        <w:t xml:space="preserve"> different SINR levels seen at different transmission time of a data packet.</w:t>
      </w:r>
    </w:p>
    <w:p w:rsidR="00986494" w:rsidRDefault="00986494" w:rsidP="00BC09FA">
      <w:pPr>
        <w:rPr>
          <w:rStyle w:val="StyleLatinBodyCalibri11pt"/>
          <w:rFonts w:ascii="Times New Roman" w:hAnsi="Times New Roman" w:cs="Times New Roman"/>
        </w:rPr>
      </w:pPr>
    </w:p>
    <w:p w:rsidR="00681CD0" w:rsidRDefault="00681CD0" w:rsidP="00BC09FA">
      <w:pPr>
        <w:rPr>
          <w:rStyle w:val="StyleLatinBodyCalibri11pt"/>
          <w:rFonts w:ascii="Times New Roman" w:hAnsi="Times New Roman" w:cs="Times New Roman"/>
        </w:rPr>
      </w:pPr>
      <w:r>
        <w:rPr>
          <w:rStyle w:val="StyleLatinBodyCalibri11pt"/>
          <w:rFonts w:ascii="Times New Roman" w:hAnsi="Times New Roman" w:cs="Times New Roman"/>
        </w:rPr>
        <w:t xml:space="preserve">Let the number of hops during the transmission of a data packet be N and the SINR </w:t>
      </w:r>
      <w:r w:rsidR="00285546">
        <w:rPr>
          <w:rStyle w:val="StyleLatinBodyCalibri11pt"/>
          <w:rFonts w:ascii="Times New Roman" w:hAnsi="Times New Roman" w:cs="Times New Roman"/>
        </w:rPr>
        <w:t>at a receive antenna during</w:t>
      </w:r>
      <w:r>
        <w:rPr>
          <w:rStyle w:val="StyleLatinBodyCalibri11pt"/>
          <w:rFonts w:ascii="Times New Roman" w:hAnsi="Times New Roman" w:cs="Times New Roman"/>
        </w:rPr>
        <w:t xml:space="preserve"> the n-th hopping period be SINR(n), </w:t>
      </w:r>
      <w:r w:rsidR="00DD3B3C">
        <w:rPr>
          <w:rStyle w:val="StyleLatinBodyCalibri11pt"/>
          <w:rFonts w:ascii="Times New Roman" w:hAnsi="Times New Roman" w:cs="Times New Roman"/>
        </w:rPr>
        <w:t>then the effective SINR using EESM is</w:t>
      </w:r>
      <w:r>
        <w:rPr>
          <w:rStyle w:val="StyleLatinBodyCalibri11pt"/>
          <w:rFonts w:ascii="Times New Roman" w:hAnsi="Times New Roman" w:cs="Times New Roman"/>
        </w:rPr>
        <w:t xml:space="preserve"> </w:t>
      </w:r>
    </w:p>
    <w:p w:rsidR="00681CD0" w:rsidRDefault="00681CD0" w:rsidP="00BC09FA">
      <w:pPr>
        <w:rPr>
          <w:rStyle w:val="StyleLatinBodyCalibri11pt"/>
          <w:rFonts w:ascii="Times New Roman" w:hAnsi="Times New Roman" w:cs="Times New Roman"/>
        </w:rPr>
      </w:pPr>
    </w:p>
    <w:p w:rsidR="00681CD0" w:rsidRDefault="002B41D8" w:rsidP="00681CD0">
      <w:pPr>
        <w:pStyle w:val="Caption"/>
        <w:rPr>
          <w:rStyle w:val="StyleLatinBodyCalibri11pt"/>
          <w:rFonts w:ascii="Times New Roman" w:hAnsi="Times New Roman" w:cs="Times New Roman"/>
        </w:rPr>
      </w:pPr>
      <m:oMath>
        <m:sSub>
          <m:sSubPr>
            <m:ctrlPr>
              <w:rPr>
                <w:rStyle w:val="StyleLatinBodyCalibri11pt"/>
                <w:rFonts w:ascii="Cambria Math" w:hAnsi="Cambria Math" w:cs="Times New Roman"/>
                <w:b w:val="0"/>
                <w:bCs w:val="0"/>
                <w:i/>
                <w:szCs w:val="24"/>
              </w:rPr>
            </m:ctrlPr>
          </m:sSubPr>
          <m:e>
            <m:r>
              <m:rPr>
                <m:sty m:val="bi"/>
              </m:rPr>
              <w:rPr>
                <w:rStyle w:val="StyleLatinBodyCalibri11pt"/>
                <w:rFonts w:ascii="Cambria Math" w:hAnsi="Cambria Math" w:cs="Times New Roman"/>
              </w:rPr>
              <m:t xml:space="preserve">                  SINR</m:t>
            </m:r>
          </m:e>
          <m:sub>
            <m:r>
              <m:rPr>
                <m:sty m:val="bi"/>
              </m:rPr>
              <w:rPr>
                <w:rStyle w:val="StyleLatinBodyCalibri11pt"/>
                <w:rFonts w:ascii="Cambria Math" w:hAnsi="Cambria Math" w:cs="Times New Roman"/>
              </w:rPr>
              <m:t>eff</m:t>
            </m:r>
          </m:sub>
        </m:sSub>
        <m:r>
          <m:rPr>
            <m:sty m:val="bi"/>
          </m:rPr>
          <w:rPr>
            <w:rStyle w:val="StyleLatinBodyCalibri11pt"/>
            <w:rFonts w:ascii="Cambria Math" w:hAnsi="Cambria Math" w:cs="Times New Roman"/>
          </w:rPr>
          <m:t>=-βlog</m:t>
        </m:r>
        <m:d>
          <m:dPr>
            <m:begChr m:val="["/>
            <m:endChr m:val="]"/>
            <m:ctrlPr>
              <w:rPr>
                <w:rStyle w:val="StyleLatinBodyCalibri11pt"/>
                <w:rFonts w:ascii="Cambria Math" w:hAnsi="Cambria Math" w:cs="Times New Roman"/>
                <w:b w:val="0"/>
                <w:bCs w:val="0"/>
                <w:i/>
                <w:szCs w:val="24"/>
              </w:rPr>
            </m:ctrlPr>
          </m:dPr>
          <m:e>
            <m:f>
              <m:fPr>
                <m:ctrlPr>
                  <w:rPr>
                    <w:rStyle w:val="StyleLatinBodyCalibri11pt"/>
                    <w:rFonts w:ascii="Cambria Math" w:hAnsi="Cambria Math" w:cs="Times New Roman"/>
                    <w:b w:val="0"/>
                    <w:bCs w:val="0"/>
                    <w:i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StyleLatinBodyCalibri11pt"/>
                    <w:rFonts w:ascii="Cambria Math" w:hAnsi="Cambria Math" w:cs="Times New Roman"/>
                    <w:szCs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Style w:val="StyleLatinBodyCalibri11pt"/>
                    <w:rFonts w:ascii="Cambria Math" w:hAnsi="Cambria Math" w:cs="Times New Roman"/>
                    <w:szCs w:val="24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Style w:val="StyleLatinBodyCalibri11pt"/>
                    <w:rFonts w:ascii="Cambria Math" w:hAnsi="Cambria Math" w:cs="Times New Roman"/>
                    <w:b w:val="0"/>
                    <w:bCs w:val="0"/>
                    <w:i/>
                    <w:szCs w:val="24"/>
                  </w:rPr>
                </m:ctrlPr>
              </m:naryPr>
              <m:sub>
                <m:r>
                  <m:rPr>
                    <m:sty m:val="bi"/>
                  </m:rPr>
                  <w:rPr>
                    <w:rStyle w:val="StyleLatinBodyCalibri11pt"/>
                    <w:rFonts w:ascii="Cambria Math" w:hAnsi="Cambria Math" w:cs="Times New Roman"/>
                    <w:szCs w:val="24"/>
                  </w:rPr>
                  <m:t>n=1</m:t>
                </m:r>
              </m:sub>
              <m:sup>
                <m:r>
                  <m:rPr>
                    <m:sty m:val="bi"/>
                  </m:rPr>
                  <w:rPr>
                    <w:rStyle w:val="StyleLatinBodyCalibri11pt"/>
                    <w:rFonts w:ascii="Cambria Math" w:hAnsi="Cambria Math" w:cs="Times New Roman"/>
                    <w:szCs w:val="24"/>
                  </w:rPr>
                  <m:t>N</m:t>
                </m:r>
              </m:sup>
              <m:e>
                <m:r>
                  <m:rPr>
                    <m:sty m:val="bi"/>
                  </m:rPr>
                  <w:rPr>
                    <w:rStyle w:val="StyleLatinBodyCalibri11pt"/>
                    <w:rFonts w:ascii="Cambria Math" w:hAnsi="Cambria Math" w:cs="Times New Roman"/>
                    <w:szCs w:val="24"/>
                  </w:rPr>
                  <m:t>exp</m:t>
                </m:r>
                <m:d>
                  <m:dPr>
                    <m:ctrlPr>
                      <w:rPr>
                        <w:rStyle w:val="StyleLatinBodyCalibri11pt"/>
                        <w:rFonts w:ascii="Cambria Math" w:hAnsi="Cambria Math" w:cs="Times New Roman"/>
                        <w:b w:val="0"/>
                        <w:bCs w:val="0"/>
                        <w:i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Style w:val="StyleLatinBodyCalibri11pt"/>
                            <w:rFonts w:ascii="Cambria Math" w:hAnsi="Cambria Math" w:cs="Times New Roman"/>
                            <w:b w:val="0"/>
                            <w:bCs w:val="0"/>
                            <w:i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Style w:val="StyleLatinBodyCalibri11pt"/>
                            <w:rFonts w:ascii="Cambria Math" w:hAnsi="Cambria Math" w:cs="Times New Roman"/>
                            <w:szCs w:val="24"/>
                          </w:rPr>
                          <m:t>-SINR(n)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Style w:val="StyleLatinBodyCalibri11pt"/>
                            <w:rFonts w:ascii="Cambria Math" w:hAnsi="Cambria Math" w:cs="Times New Roman"/>
                            <w:szCs w:val="24"/>
                          </w:rPr>
                          <m:t>β</m:t>
                        </m:r>
                      </m:den>
                    </m:f>
                  </m:e>
                </m:d>
              </m:e>
            </m:nary>
          </m:e>
        </m:d>
      </m:oMath>
      <w:r w:rsidR="00681CD0">
        <w:t xml:space="preserve">            (1)</w:t>
      </w:r>
    </w:p>
    <w:p w:rsidR="00681CD0" w:rsidRDefault="00681CD0" w:rsidP="00BC09FA">
      <w:pPr>
        <w:rPr>
          <w:rStyle w:val="StyleLatinBodyCalibri11pt"/>
          <w:rFonts w:ascii="Times New Roman" w:hAnsi="Times New Roman" w:cs="Times New Roman"/>
        </w:rPr>
      </w:pPr>
    </w:p>
    <w:p w:rsidR="00DD3B3C" w:rsidRDefault="00DD3B3C" w:rsidP="00BC09FA">
      <w:pPr>
        <w:rPr>
          <w:rStyle w:val="StyleLatinBodyCalibri11pt"/>
          <w:rFonts w:ascii="Times New Roman" w:hAnsi="Times New Roman" w:cs="Times New Roman"/>
        </w:rPr>
      </w:pPr>
      <w:r>
        <w:rPr>
          <w:rStyle w:val="StyleLatinBodyCalibri11pt"/>
          <w:rFonts w:ascii="Times New Roman" w:hAnsi="Times New Roman" w:cs="Times New Roman"/>
        </w:rPr>
        <w:t xml:space="preserve">where </w:t>
      </w:r>
      <w:r w:rsidRPr="00DD3B3C">
        <w:rPr>
          <w:rStyle w:val="StyleLatinBodyCalibri11pt"/>
          <w:rFonts w:ascii="Symbol" w:hAnsi="Symbol" w:cs="Times New Roman"/>
        </w:rPr>
        <w:t></w:t>
      </w:r>
      <w:r>
        <w:rPr>
          <w:rStyle w:val="StyleLatinBodyCalibri11pt"/>
          <w:rFonts w:ascii="Times New Roman" w:hAnsi="Times New Roman" w:cs="Times New Roman"/>
        </w:rPr>
        <w:t xml:space="preserve"> is a parameter to be optimized </w:t>
      </w:r>
      <w:r w:rsidR="000C20C1">
        <w:rPr>
          <w:rStyle w:val="StyleLatinBodyCalibri11pt"/>
          <w:rFonts w:ascii="Times New Roman" w:hAnsi="Times New Roman" w:cs="Times New Roman"/>
        </w:rPr>
        <w:t xml:space="preserve">and its value depends on the </w:t>
      </w:r>
      <w:r>
        <w:rPr>
          <w:rStyle w:val="StyleLatinBodyCalibri11pt"/>
          <w:rFonts w:ascii="Times New Roman" w:hAnsi="Times New Roman" w:cs="Times New Roman"/>
        </w:rPr>
        <w:t>MCS</w:t>
      </w:r>
      <w:r w:rsidR="000C20C1">
        <w:rPr>
          <w:rStyle w:val="StyleLatinBodyCalibri11pt"/>
          <w:rFonts w:ascii="Times New Roman" w:hAnsi="Times New Roman" w:cs="Times New Roman"/>
        </w:rPr>
        <w:t xml:space="preserve"> considered</w:t>
      </w:r>
      <w:r>
        <w:rPr>
          <w:rStyle w:val="StyleLatinBodyCalibri11pt"/>
          <w:rFonts w:ascii="Times New Roman" w:hAnsi="Times New Roman" w:cs="Times New Roman"/>
        </w:rPr>
        <w:t>. The e</w:t>
      </w:r>
      <w:r w:rsidR="00971D9A">
        <w:rPr>
          <w:rStyle w:val="StyleLatinBodyCalibri11pt"/>
          <w:rFonts w:ascii="Times New Roman" w:hAnsi="Times New Roman" w:cs="Times New Roman"/>
        </w:rPr>
        <w:t>ffective SINR in equation (1) is a monotonically de</w:t>
      </w:r>
      <w:r w:rsidR="00C80DC3">
        <w:rPr>
          <w:rStyle w:val="StyleLatinBodyCalibri11pt"/>
          <w:rFonts w:ascii="Times New Roman" w:hAnsi="Times New Roman" w:cs="Times New Roman"/>
        </w:rPr>
        <w:t xml:space="preserve">creasing function with respect to the value of </w:t>
      </w:r>
      <w:r w:rsidRPr="00DD3B3C">
        <w:rPr>
          <w:rStyle w:val="StyleLatinBodyCalibri11pt"/>
          <w:rFonts w:ascii="Symbol" w:hAnsi="Symbol" w:cs="Times New Roman"/>
        </w:rPr>
        <w:t></w:t>
      </w:r>
      <w:r>
        <w:rPr>
          <w:rStyle w:val="StyleLatinBodyCalibri11pt"/>
          <w:rFonts w:ascii="Times New Roman" w:hAnsi="Times New Roman" w:cs="Times New Roman"/>
        </w:rPr>
        <w:t xml:space="preserve">. Typically, </w:t>
      </w:r>
      <w:r w:rsidRPr="00DD3B3C">
        <w:rPr>
          <w:rStyle w:val="StyleLatinBodyCalibri11pt"/>
          <w:rFonts w:ascii="Symbol" w:hAnsi="Symbol" w:cs="Times New Roman"/>
        </w:rPr>
        <w:t></w:t>
      </w:r>
      <w:r>
        <w:rPr>
          <w:rStyle w:val="StyleLatinBodyCalibri11pt"/>
          <w:rFonts w:ascii="Times New Roman" w:hAnsi="Times New Roman" w:cs="Times New Roman"/>
        </w:rPr>
        <w:t xml:space="preserve"> is </w:t>
      </w:r>
      <w:r w:rsidR="000C20C1">
        <w:rPr>
          <w:rStyle w:val="StyleLatinBodyCalibri11pt"/>
          <w:rFonts w:ascii="Times New Roman" w:hAnsi="Times New Roman" w:cs="Times New Roman"/>
        </w:rPr>
        <w:t xml:space="preserve">smaller for lower-order modulation and coding rate </w:t>
      </w:r>
      <w:r w:rsidR="00A8348C">
        <w:rPr>
          <w:rStyle w:val="StyleLatinBodyCalibri11pt"/>
          <w:rFonts w:ascii="Times New Roman" w:hAnsi="Times New Roman" w:cs="Times New Roman"/>
        </w:rPr>
        <w:t xml:space="preserve">and </w:t>
      </w:r>
      <w:r w:rsidR="00C2674D">
        <w:rPr>
          <w:rStyle w:val="StyleLatinBodyCalibri11pt"/>
          <w:rFonts w:ascii="Times New Roman" w:hAnsi="Times New Roman" w:cs="Times New Roman"/>
        </w:rPr>
        <w:t xml:space="preserve">is </w:t>
      </w:r>
      <w:r w:rsidR="00A8348C">
        <w:rPr>
          <w:rStyle w:val="StyleLatinBodyCalibri11pt"/>
          <w:rFonts w:ascii="Times New Roman" w:hAnsi="Times New Roman" w:cs="Times New Roman"/>
        </w:rPr>
        <w:t xml:space="preserve">in the range of 1 to 2 </w:t>
      </w:r>
      <w:r>
        <w:rPr>
          <w:rStyle w:val="StyleLatinBodyCalibri11pt"/>
          <w:rFonts w:ascii="Times New Roman" w:hAnsi="Times New Roman" w:cs="Times New Roman"/>
        </w:rPr>
        <w:t>for BPSK and QPSK modulations.</w:t>
      </w:r>
    </w:p>
    <w:p w:rsidR="00B33575" w:rsidRDefault="000C20C1" w:rsidP="00BC09FA">
      <w:pPr>
        <w:rPr>
          <w:sz w:val="22"/>
          <w:szCs w:val="22"/>
        </w:rPr>
      </w:pPr>
      <w:r w:rsidRPr="00C2674D">
        <w:rPr>
          <w:noProof/>
          <w:sz w:val="22"/>
          <w:szCs w:val="22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194908D" wp14:editId="3B7A1E8E">
                <wp:simplePos x="0" y="0"/>
                <wp:positionH relativeFrom="margin">
                  <wp:align>right</wp:align>
                </wp:positionH>
                <wp:positionV relativeFrom="paragraph">
                  <wp:posOffset>224790</wp:posOffset>
                </wp:positionV>
                <wp:extent cx="5229225" cy="9810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922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674D" w:rsidRDefault="00C2674D">
                            <w:r>
                              <w:rPr>
                                <w:rStyle w:val="StyleLatinBodyCalibri11pt"/>
                                <w:rFonts w:ascii="Times New Roman" w:hAnsi="Times New Roman" w:cs="Times New Roman"/>
                              </w:rPr>
                              <w:t xml:space="preserve">Proposal 1: If frequency hopping is supported, the 5%, 50%, and 95% percentile reduction of effective SINR defined in Eq. (1)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at the CIoT receiver is used to measure the impact of GSM to CIoT. The </w:t>
                            </w:r>
                            <w:r w:rsidR="00CE3843">
                              <w:rPr>
                                <w:sz w:val="22"/>
                                <w:szCs w:val="22"/>
                              </w:rPr>
                              <w:t xml:space="preserve">values of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parameter </w:t>
                            </w:r>
                            <w:r w:rsidRPr="00B33575">
                              <w:rPr>
                                <w:rFonts w:ascii="Symbol" w:hAnsi="Symbol"/>
                                <w:sz w:val="22"/>
                                <w:szCs w:val="22"/>
                              </w:rPr>
                              <w:t></w:t>
                            </w:r>
                            <w:r>
                              <w:rPr>
                                <w:rFonts w:ascii="Symbol" w:hAnsi="Symbol"/>
                                <w:sz w:val="22"/>
                                <w:szCs w:val="22"/>
                              </w:rPr>
                              <w:t></w:t>
                            </w:r>
                            <w:r w:rsidRPr="00B33575">
                              <w:rPr>
                                <w:sz w:val="22"/>
                                <w:szCs w:val="22"/>
                              </w:rPr>
                              <w:t>in Eq.(1)</w:t>
                            </w:r>
                            <w:r>
                              <w:rPr>
                                <w:rFonts w:ascii="Symbol" w:hAnsi="Symbol"/>
                                <w:sz w:val="22"/>
                                <w:szCs w:val="22"/>
                              </w:rPr>
                              <w:t>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E3843">
                              <w:rPr>
                                <w:sz w:val="22"/>
                                <w:szCs w:val="22"/>
                              </w:rPr>
                              <w:t>are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to be defined </w:t>
                            </w:r>
                            <w:r w:rsidR="00CE3843">
                              <w:rPr>
                                <w:sz w:val="22"/>
                                <w:szCs w:val="22"/>
                              </w:rPr>
                              <w:t>for each MCS in future studies.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9490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0.55pt;margin-top:17.7pt;width:411.75pt;height:77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9ZIgIAAEYEAAAOAAAAZHJzL2Uyb0RvYy54bWysU9uO0zAQfUfiHyy/01zU0jZqulq6FCEt&#10;C9IuH+A4TmNhe4LtNilfz9jJlnIRDwg/WB57fObMmZnNzaAVOQnrJJiSZrOUEmE41NIcSvr5af9q&#10;RYnzzNRMgRElPQtHb7YvX2z6rhA5tKBqYQmCGFf0XUlb77siSRxvhWZuBp0w+NiA1cyjaQ9JbVmP&#10;6FoleZq+TnqwdWeBC+fw9m58pNuI3zSC+49N44QnqqTIzcfdxr0Ke7LdsOJgWddKPtFg/8BCM2kw&#10;6AXqjnlGjlb+BqUlt+Cg8TMOOoGmkVzEHDCbLP0lm8eWdSLmguK47iKT+3+w/OH0yRJZlzTPlpQY&#10;prFIT2Lw5A0MJA/69J0r0O2xQ0c/4DXWOebqunvgXxwxsGuZOYhba6FvBauRXxZ+JldfRxwXQKr+&#10;A9QYhh09RKChsTqIh3IQRMc6nS+1CVQ4Xi7yfJ3nC0o4vq1XWbpcxBCseP7dWeffCdAkHEpqsfYR&#10;nZ3unQ9sWPHsEoI5ULLeS6WiYQ/VTllyYtgn+7gm9J/clCE9Rl8gj79DpHH9CUJLjw2vpC7p6uLE&#10;iiDbW1PHdvRMqvGMlJWZdAzSjSL6oRqmulRQn1FRC2Nj4yDioQX7jZIem7qk7uuRWUGJem+wKuts&#10;Pg9TEI35YpmjYa9fqusXZjhCldRTMh53Pk5OSN3ALVavkVHYUOaRycQVmzXqPQ1WmIZrO3r9GP/t&#10;dwAAAP//AwBQSwMEFAAGAAgAAAAhAMK9+4neAAAABwEAAA8AAABkcnMvZG93bnJldi54bWxMj8FO&#10;wzAQRO9I/IO1SFwQdWjakoQ4FUICwQ3aCq5uvE0i4nWw3TT8PcsJjqMZzbwp15PtxYg+dI4U3MwS&#10;EEi1Mx01Cnbbx+sMRIiajO4doYJvDLCuzs9KXRh3ojccN7ERXEKh0AraGIdCylC3aHWYuQGJvYPz&#10;VkeWvpHG6xOX217Ok2Qlre6IF1o94EOL9efmaBVki+fxI7ykr+/16tDn8ep2fPrySl1eTPd3ICJO&#10;8S8Mv/iMDhUz7d2RTBC9Aj4SFaTLBQh2s3m6BLHnWJbnIKtS/uevfgAAAP//AwBQSwECLQAUAAYA&#10;CAAAACEAtoM4kv4AAADhAQAAEwAAAAAAAAAAAAAAAAAAAAAAW0NvbnRlbnRfVHlwZXNdLnhtbFBL&#10;AQItABQABgAIAAAAIQA4/SH/1gAAAJQBAAALAAAAAAAAAAAAAAAAAC8BAABfcmVscy8ucmVsc1BL&#10;AQItABQABgAIAAAAIQBevW9ZIgIAAEYEAAAOAAAAAAAAAAAAAAAAAC4CAABkcnMvZTJvRG9jLnht&#10;bFBLAQItABQABgAIAAAAIQDCvfuJ3gAAAAcBAAAPAAAAAAAAAAAAAAAAAHwEAABkcnMvZG93bnJl&#10;di54bWxQSwUGAAAAAAQABADzAAAAhwUAAAAA&#10;">
                <v:textbox>
                  <w:txbxContent>
                    <w:p w:rsidR="00C2674D" w:rsidRDefault="00C2674D">
                      <w:r>
                        <w:rPr>
                          <w:rStyle w:val="StyleLatinBodyCalibri11pt"/>
                          <w:rFonts w:ascii="Times New Roman" w:hAnsi="Times New Roman" w:cs="Times New Roman"/>
                        </w:rPr>
                        <w:t xml:space="preserve">Proposal 1: If frequency hopping is supported, the 5%, 50%, and 95% percentile reduction of effective SINR defined in Eq. (1) </w:t>
                      </w:r>
                      <w:r>
                        <w:rPr>
                          <w:sz w:val="22"/>
                          <w:szCs w:val="22"/>
                        </w:rPr>
                        <w:t xml:space="preserve">at the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CIoT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receiver is used to measure the impact of GSM to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CIoT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. The </w:t>
                      </w:r>
                      <w:r w:rsidR="00CE3843">
                        <w:rPr>
                          <w:sz w:val="22"/>
                          <w:szCs w:val="22"/>
                        </w:rPr>
                        <w:t xml:space="preserve">values of </w:t>
                      </w:r>
                      <w:r>
                        <w:rPr>
                          <w:sz w:val="22"/>
                          <w:szCs w:val="22"/>
                        </w:rPr>
                        <w:t xml:space="preserve">parameter </w:t>
                      </w:r>
                      <w:r w:rsidRPr="00B33575">
                        <w:rPr>
                          <w:rFonts w:ascii="Symbol" w:hAnsi="Symbol"/>
                          <w:sz w:val="22"/>
                          <w:szCs w:val="22"/>
                        </w:rPr>
                        <w:t></w:t>
                      </w:r>
                      <w:r>
                        <w:rPr>
                          <w:rFonts w:ascii="Symbol" w:hAnsi="Symbol"/>
                          <w:sz w:val="22"/>
                          <w:szCs w:val="22"/>
                        </w:rPr>
                        <w:t></w:t>
                      </w:r>
                      <w:r w:rsidRPr="00B33575">
                        <w:rPr>
                          <w:sz w:val="22"/>
                          <w:szCs w:val="22"/>
                        </w:rPr>
                        <w:t>in Eq</w:t>
                      </w:r>
                      <w:proofErr w:type="gramStart"/>
                      <w:r w:rsidRPr="00B33575">
                        <w:rPr>
                          <w:sz w:val="22"/>
                          <w:szCs w:val="22"/>
                        </w:rPr>
                        <w:t>.(</w:t>
                      </w:r>
                      <w:proofErr w:type="gramEnd"/>
                      <w:r w:rsidRPr="00B33575">
                        <w:rPr>
                          <w:sz w:val="22"/>
                          <w:szCs w:val="22"/>
                        </w:rPr>
                        <w:t>1)</w:t>
                      </w:r>
                      <w:r>
                        <w:rPr>
                          <w:rFonts w:ascii="Symbol" w:hAnsi="Symbol"/>
                          <w:sz w:val="22"/>
                          <w:szCs w:val="22"/>
                        </w:rPr>
                        <w:t>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CE3843">
                        <w:rPr>
                          <w:sz w:val="22"/>
                          <w:szCs w:val="22"/>
                        </w:rPr>
                        <w:t>are</w:t>
                      </w:r>
                      <w:r>
                        <w:rPr>
                          <w:sz w:val="22"/>
                          <w:szCs w:val="22"/>
                        </w:rPr>
                        <w:t xml:space="preserve"> to be defined </w:t>
                      </w:r>
                      <w:r w:rsidR="00CE3843">
                        <w:rPr>
                          <w:sz w:val="22"/>
                          <w:szCs w:val="22"/>
                        </w:rPr>
                        <w:t>for each MCS in future studies.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FE425B" w:rsidRPr="00E46B89" w:rsidRDefault="00FE425B" w:rsidP="00FE425B">
      <w:pPr>
        <w:pStyle w:val="Heading1"/>
        <w:tabs>
          <w:tab w:val="clear" w:pos="432"/>
        </w:tabs>
        <w:overflowPunct w:val="0"/>
        <w:autoSpaceDE w:val="0"/>
        <w:autoSpaceDN w:val="0"/>
        <w:adjustRightInd w:val="0"/>
        <w:textAlignment w:val="baseline"/>
        <w:rPr>
          <w:rFonts w:cs="Arial"/>
          <w:color w:val="000000"/>
        </w:rPr>
      </w:pPr>
      <w:r>
        <w:rPr>
          <w:rFonts w:cs="Arial"/>
          <w:color w:val="000000"/>
          <w:lang w:val="en-US" w:eastAsia="zh-CN"/>
        </w:rPr>
        <w:t>Simulation Results of UL NB-OFDMA</w:t>
      </w:r>
    </w:p>
    <w:p w:rsidR="00C43EC9" w:rsidRDefault="00C43EC9" w:rsidP="00FE425B">
      <w:pPr>
        <w:rPr>
          <w:rStyle w:val="StyleLatinBodyCalibri11pt"/>
          <w:rFonts w:ascii="Times New Roman" w:hAnsi="Times New Roman" w:cs="Times New Roman"/>
        </w:rPr>
      </w:pPr>
      <w:r>
        <w:rPr>
          <w:rStyle w:val="StyleLatinBodyCalibri11pt"/>
          <w:rFonts w:ascii="Times New Roman" w:hAnsi="Times New Roman" w:cs="Times New Roman"/>
        </w:rPr>
        <w:t>The</w:t>
      </w:r>
      <w:r w:rsidR="00FE425B">
        <w:rPr>
          <w:rStyle w:val="StyleLatinBodyCalibri11pt"/>
          <w:rFonts w:ascii="Times New Roman" w:hAnsi="Times New Roman" w:cs="Times New Roman"/>
        </w:rPr>
        <w:t xml:space="preserve"> effective SINR is used in</w:t>
      </w:r>
      <w:r>
        <w:rPr>
          <w:rStyle w:val="StyleLatinBodyCalibri11pt"/>
          <w:rFonts w:ascii="Times New Roman" w:hAnsi="Times New Roman" w:cs="Times New Roman"/>
        </w:rPr>
        <w:t xml:space="preserve"> the simulation of NB-OFDMA UL in the presence of GSM interference. </w:t>
      </w:r>
    </w:p>
    <w:p w:rsidR="00C43EC9" w:rsidRPr="00C43EC9" w:rsidRDefault="00C43EC9" w:rsidP="00C43EC9">
      <w:pPr>
        <w:pStyle w:val="Heading2"/>
        <w:rPr>
          <w:rStyle w:val="StyleLatinBodyCalibri11pt"/>
          <w:rFonts w:ascii="Arial" w:hAnsi="Arial"/>
          <w:kern w:val="2"/>
          <w:sz w:val="28"/>
        </w:rPr>
      </w:pPr>
      <w:r w:rsidRPr="00C43EC9">
        <w:rPr>
          <w:rStyle w:val="StyleLatinBodyCalibri11pt"/>
          <w:rFonts w:ascii="Arial" w:hAnsi="Arial"/>
          <w:kern w:val="2"/>
          <w:sz w:val="28"/>
        </w:rPr>
        <w:t>Assumptions</w:t>
      </w:r>
    </w:p>
    <w:p w:rsidR="00FE425B" w:rsidRDefault="00FE425B" w:rsidP="00FE425B">
      <w:pPr>
        <w:rPr>
          <w:rStyle w:val="StyleLatinBodyCalibri11pt"/>
          <w:rFonts w:ascii="Times New Roman" w:hAnsi="Times New Roman" w:cs="Times New Roman"/>
        </w:rPr>
      </w:pPr>
      <w:r>
        <w:rPr>
          <w:rStyle w:val="StyleLatinBodyCalibri11pt"/>
          <w:rFonts w:ascii="Times New Roman" w:hAnsi="Times New Roman" w:cs="Times New Roman"/>
        </w:rPr>
        <w:t>Assumptions listed in [1] are used except</w:t>
      </w:r>
    </w:p>
    <w:p w:rsidR="00FE425B" w:rsidRPr="0038381D" w:rsidRDefault="00FE425B" w:rsidP="00FE425B">
      <w:pPr>
        <w:pStyle w:val="ListParagraph"/>
        <w:numPr>
          <w:ilvl w:val="0"/>
          <w:numId w:val="28"/>
        </w:numPr>
        <w:rPr>
          <w:rStyle w:val="StyleLatinBodyCalibri11pt"/>
          <w:rFonts w:ascii="Times New Roman" w:hAnsi="Times New Roman" w:cs="Times New Roman"/>
        </w:rPr>
      </w:pPr>
      <w:r w:rsidRPr="00E27F40">
        <w:rPr>
          <w:rStyle w:val="StyleLatinBodyCalibri11pt"/>
          <w:rFonts w:ascii="Times New Roman" w:hAnsi="Times New Roman" w:cs="Times New Roman"/>
        </w:rPr>
        <w:t xml:space="preserve">Ideal </w:t>
      </w:r>
      <w:r w:rsidR="00C80DC3">
        <w:rPr>
          <w:rStyle w:val="StyleLatinBodyCalibri11pt"/>
          <w:rFonts w:ascii="Times New Roman" w:hAnsi="Times New Roman" w:cs="Times New Roman"/>
        </w:rPr>
        <w:t xml:space="preserve">GSM </w:t>
      </w:r>
      <w:r w:rsidRPr="00E27F40">
        <w:rPr>
          <w:rStyle w:val="StyleLatinBodyCalibri11pt"/>
          <w:rFonts w:ascii="Times New Roman" w:hAnsi="Times New Roman" w:cs="Times New Roman"/>
        </w:rPr>
        <w:t>uplink power control with target SINR 11 dB.</w:t>
      </w:r>
    </w:p>
    <w:p w:rsidR="00FE425B" w:rsidRDefault="00FE425B" w:rsidP="00FE425B">
      <w:pPr>
        <w:rPr>
          <w:rStyle w:val="StyleLatinBodyCalibri11pt"/>
          <w:rFonts w:ascii="Times New Roman" w:hAnsi="Times New Roman" w:cs="Times New Roman"/>
        </w:rPr>
      </w:pPr>
      <w:r>
        <w:rPr>
          <w:rStyle w:val="StyleLatinBodyCalibri11pt"/>
          <w:rFonts w:ascii="Times New Roman" w:hAnsi="Times New Roman" w:cs="Times New Roman"/>
        </w:rPr>
        <w:t>Additional assumptions are</w:t>
      </w:r>
    </w:p>
    <w:p w:rsidR="00FE425B" w:rsidRPr="0038381D" w:rsidRDefault="00FE425B" w:rsidP="00FE425B">
      <w:pPr>
        <w:pStyle w:val="ListParagraph"/>
        <w:numPr>
          <w:ilvl w:val="0"/>
          <w:numId w:val="28"/>
        </w:numPr>
        <w:rPr>
          <w:rStyle w:val="StyleLatinBodyCalibri11pt"/>
          <w:rFonts w:ascii="Times New Roman" w:hAnsi="Times New Roman" w:cs="Times New Roman"/>
        </w:rPr>
      </w:pPr>
      <w:r w:rsidRPr="0038381D">
        <w:rPr>
          <w:rStyle w:val="StyleLatinBodyCalibri11pt"/>
          <w:rFonts w:ascii="Times New Roman" w:hAnsi="Times New Roman" w:cs="Times New Roman"/>
        </w:rPr>
        <w:t>NB-OFDMA</w:t>
      </w:r>
      <w:r>
        <w:rPr>
          <w:rStyle w:val="StyleLatinBodyCalibri11pt"/>
          <w:rFonts w:ascii="Times New Roman" w:hAnsi="Times New Roman" w:cs="Times New Roman"/>
        </w:rPr>
        <w:t xml:space="preserve"> half loaded and GSM fully loaded.</w:t>
      </w:r>
    </w:p>
    <w:p w:rsidR="00FE425B" w:rsidRDefault="00FE425B" w:rsidP="00FE425B">
      <w:pPr>
        <w:pStyle w:val="ListParagraph"/>
        <w:numPr>
          <w:ilvl w:val="0"/>
          <w:numId w:val="28"/>
        </w:numPr>
        <w:rPr>
          <w:rStyle w:val="StyleLatinBodyCalibri11pt"/>
          <w:rFonts w:ascii="Times New Roman" w:hAnsi="Times New Roman" w:cs="Times New Roman"/>
        </w:rPr>
      </w:pPr>
      <w:r w:rsidRPr="0038381D">
        <w:rPr>
          <w:rStyle w:val="StyleLatinBodyCalibri11pt"/>
          <w:rFonts w:ascii="Times New Roman" w:hAnsi="Times New Roman" w:cs="Times New Roman"/>
        </w:rPr>
        <w:t xml:space="preserve">Building penetration </w:t>
      </w:r>
      <w:r>
        <w:rPr>
          <w:rStyle w:val="StyleLatinBodyCalibri11pt"/>
          <w:rFonts w:ascii="Times New Roman" w:hAnsi="Times New Roman" w:cs="Times New Roman"/>
        </w:rPr>
        <w:t xml:space="preserve">loss </w:t>
      </w:r>
      <w:r w:rsidRPr="0038381D">
        <w:rPr>
          <w:rStyle w:val="StyleLatinBodyCalibri11pt"/>
          <w:rFonts w:ascii="Times New Roman" w:hAnsi="Times New Roman" w:cs="Times New Roman"/>
        </w:rPr>
        <w:t xml:space="preserve">scenario 1 with inter-site correlation coefficient 0.5. </w:t>
      </w:r>
    </w:p>
    <w:p w:rsidR="00FE425B" w:rsidRDefault="00FE425B" w:rsidP="00FE425B">
      <w:pPr>
        <w:pStyle w:val="ListParagraph"/>
        <w:numPr>
          <w:ilvl w:val="0"/>
          <w:numId w:val="28"/>
        </w:numPr>
        <w:rPr>
          <w:rStyle w:val="StyleLatinBodyCalibri11pt"/>
          <w:rFonts w:ascii="Times New Roman" w:hAnsi="Times New Roman" w:cs="Times New Roman"/>
        </w:rPr>
      </w:pPr>
      <w:r w:rsidRPr="0038381D">
        <w:rPr>
          <w:rStyle w:val="StyleLatinBodyCalibri11pt"/>
          <w:rFonts w:ascii="Times New Roman" w:hAnsi="Times New Roman" w:cs="Times New Roman"/>
        </w:rPr>
        <w:t>Frequency hopping described in Section</w:t>
      </w:r>
      <w:r w:rsidR="009D3080">
        <w:rPr>
          <w:rStyle w:val="StyleLatinBodyCalibri11pt"/>
          <w:rFonts w:ascii="Times New Roman" w:hAnsi="Times New Roman" w:cs="Times New Roman"/>
        </w:rPr>
        <w:t xml:space="preserve"> </w:t>
      </w:r>
      <w:r w:rsidR="009D3080" w:rsidRPr="00F15A1F">
        <w:t>7.2.1.4.7</w:t>
      </w:r>
      <w:r w:rsidR="009D3080">
        <w:rPr>
          <w:rStyle w:val="StyleLatinBodyCalibri11pt"/>
          <w:rFonts w:ascii="Times New Roman" w:hAnsi="Times New Roman" w:cs="Times New Roman"/>
        </w:rPr>
        <w:t xml:space="preserve"> </w:t>
      </w:r>
      <w:r w:rsidRPr="0038381D">
        <w:rPr>
          <w:rStyle w:val="StyleLatinBodyCalibri11pt"/>
          <w:rFonts w:ascii="Times New Roman" w:hAnsi="Times New Roman" w:cs="Times New Roman"/>
        </w:rPr>
        <w:t>of [</w:t>
      </w:r>
      <w:r w:rsidR="00C43EC9">
        <w:rPr>
          <w:rStyle w:val="StyleLatinBodyCalibri11pt"/>
          <w:rFonts w:ascii="Times New Roman" w:hAnsi="Times New Roman" w:cs="Times New Roman"/>
        </w:rPr>
        <w:t>2</w:t>
      </w:r>
      <w:r w:rsidRPr="0038381D">
        <w:rPr>
          <w:rStyle w:val="StyleLatinBodyCalibri11pt"/>
          <w:rFonts w:ascii="Times New Roman" w:hAnsi="Times New Roman" w:cs="Times New Roman"/>
        </w:rPr>
        <w:t xml:space="preserve">] </w:t>
      </w:r>
      <w:r>
        <w:rPr>
          <w:rStyle w:val="StyleLatinBodyCalibri11pt"/>
          <w:rFonts w:ascii="Times New Roman" w:hAnsi="Times New Roman" w:cs="Times New Roman"/>
        </w:rPr>
        <w:t>for</w:t>
      </w:r>
      <w:r w:rsidRPr="0038381D">
        <w:rPr>
          <w:rStyle w:val="StyleLatinBodyCalibri11pt"/>
          <w:rFonts w:ascii="Times New Roman" w:hAnsi="Times New Roman" w:cs="Times New Roman"/>
        </w:rPr>
        <w:t xml:space="preserve"> NB-OFDMA. </w:t>
      </w:r>
    </w:p>
    <w:p w:rsidR="00FE425B" w:rsidRDefault="00FE425B" w:rsidP="00FE425B">
      <w:pPr>
        <w:pStyle w:val="ListParagraph"/>
        <w:numPr>
          <w:ilvl w:val="0"/>
          <w:numId w:val="28"/>
        </w:numPr>
        <w:rPr>
          <w:rStyle w:val="StyleLatinBodyCalibri11pt"/>
          <w:rFonts w:ascii="Times New Roman" w:hAnsi="Times New Roman" w:cs="Times New Roman"/>
        </w:rPr>
      </w:pPr>
      <w:r>
        <w:rPr>
          <w:rStyle w:val="StyleLatinBodyCalibri11pt"/>
          <w:rFonts w:ascii="Times New Roman" w:hAnsi="Times New Roman" w:cs="Times New Roman"/>
        </w:rPr>
        <w:t>GSM frequency reuse 3/9, NB-OFDMA frequency reuse 1.</w:t>
      </w:r>
    </w:p>
    <w:p w:rsidR="00FE425B" w:rsidRPr="0038381D" w:rsidRDefault="00FE425B" w:rsidP="00FE425B">
      <w:pPr>
        <w:pStyle w:val="ListParagraph"/>
        <w:numPr>
          <w:ilvl w:val="0"/>
          <w:numId w:val="28"/>
        </w:numPr>
        <w:rPr>
          <w:rStyle w:val="StyleLatinBodyCalibri11pt"/>
          <w:rFonts w:ascii="Times New Roman" w:hAnsi="Times New Roman" w:cs="Times New Roman"/>
        </w:rPr>
      </w:pPr>
      <w:r>
        <w:rPr>
          <w:rStyle w:val="StyleLatinBodyCalibri11pt"/>
          <w:rFonts w:ascii="Times New Roman" w:hAnsi="Times New Roman" w:cs="Times New Roman"/>
        </w:rPr>
        <w:t>NB-OFDMA uplink power control with maximal SNR 10 dB and margin of 3dB.</w:t>
      </w:r>
    </w:p>
    <w:p w:rsidR="00FE425B" w:rsidRDefault="00FE425B" w:rsidP="00FE425B">
      <w:pPr>
        <w:rPr>
          <w:sz w:val="22"/>
          <w:szCs w:val="22"/>
        </w:rPr>
      </w:pPr>
      <w:r>
        <w:rPr>
          <w:sz w:val="22"/>
          <w:szCs w:val="22"/>
        </w:rPr>
        <w:t xml:space="preserve">The simulated channel scenario is when NB-OFDMA is allocated at the end of several contiguous GSM carriers, i.e., channel allocation scenario 1 defined in [1]. </w:t>
      </w:r>
    </w:p>
    <w:p w:rsidR="00FE425B" w:rsidRDefault="00E96A5A" w:rsidP="00E96A5A">
      <w:pPr>
        <w:pStyle w:val="Heading2"/>
      </w:pPr>
      <w:r>
        <w:t>Results</w:t>
      </w:r>
    </w:p>
    <w:p w:rsidR="00E96A5A" w:rsidRDefault="00FE425B" w:rsidP="00FE425B">
      <w:pPr>
        <w:rPr>
          <w:sz w:val="22"/>
          <w:szCs w:val="22"/>
        </w:rPr>
      </w:pPr>
      <w:r>
        <w:rPr>
          <w:sz w:val="22"/>
          <w:szCs w:val="22"/>
        </w:rPr>
        <w:t>For the UL, both instantaneous and the effective SINR ba</w:t>
      </w:r>
      <w:r w:rsidR="00C43EC9">
        <w:rPr>
          <w:sz w:val="22"/>
          <w:szCs w:val="22"/>
        </w:rPr>
        <w:t>sed on EESM</w:t>
      </w:r>
      <w:r>
        <w:rPr>
          <w:sz w:val="22"/>
          <w:szCs w:val="22"/>
        </w:rPr>
        <w:t xml:space="preserve"> are provided in Figure 1. </w:t>
      </w:r>
      <w:r w:rsidR="00E96A5A">
        <w:rPr>
          <w:sz w:val="22"/>
          <w:szCs w:val="22"/>
        </w:rPr>
        <w:t xml:space="preserve">The instantaneous SINR can be considered as </w:t>
      </w:r>
      <w:r w:rsidR="00C80DC3">
        <w:rPr>
          <w:sz w:val="22"/>
          <w:szCs w:val="22"/>
        </w:rPr>
        <w:t>the</w:t>
      </w:r>
      <w:r w:rsidR="00E96A5A">
        <w:rPr>
          <w:sz w:val="22"/>
          <w:szCs w:val="22"/>
        </w:rPr>
        <w:t xml:space="preserve"> performance indicator without frequency hopping while the effective SINR as </w:t>
      </w:r>
      <w:r w:rsidR="00C80DC3">
        <w:rPr>
          <w:sz w:val="22"/>
          <w:szCs w:val="22"/>
        </w:rPr>
        <w:t>the indicator</w:t>
      </w:r>
      <w:r w:rsidR="00E96A5A">
        <w:rPr>
          <w:sz w:val="22"/>
          <w:szCs w:val="22"/>
        </w:rPr>
        <w:t xml:space="preserve"> with frequency hopping. </w:t>
      </w:r>
      <w:r>
        <w:rPr>
          <w:sz w:val="22"/>
          <w:szCs w:val="22"/>
        </w:rPr>
        <w:t xml:space="preserve">When calculating </w:t>
      </w:r>
      <w:r w:rsidR="00E96A5A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effective SINR, parameter </w:t>
      </w:r>
      <w:r w:rsidRPr="00E96A5A">
        <w:rPr>
          <w:rFonts w:ascii="Symbol" w:hAnsi="Symbol"/>
          <w:sz w:val="22"/>
          <w:szCs w:val="22"/>
        </w:rPr>
        <w:t></w:t>
      </w:r>
      <w:r w:rsidR="00E96A5A">
        <w:rPr>
          <w:sz w:val="22"/>
          <w:szCs w:val="22"/>
        </w:rPr>
        <w:t>=1 is used.</w:t>
      </w:r>
      <w:r>
        <w:rPr>
          <w:sz w:val="22"/>
          <w:szCs w:val="22"/>
        </w:rPr>
        <w:t xml:space="preserve"> </w:t>
      </w:r>
      <w:r w:rsidR="00E96A5A">
        <w:rPr>
          <w:sz w:val="22"/>
          <w:szCs w:val="22"/>
        </w:rPr>
        <w:t>This is accurate for low coding rate</w:t>
      </w:r>
      <w:r>
        <w:rPr>
          <w:sz w:val="22"/>
          <w:szCs w:val="22"/>
        </w:rPr>
        <w:t xml:space="preserve"> </w:t>
      </w:r>
      <w:r w:rsidR="00E96A5A">
        <w:rPr>
          <w:sz w:val="22"/>
          <w:szCs w:val="22"/>
        </w:rPr>
        <w:t xml:space="preserve">but tends to </w:t>
      </w:r>
      <w:r>
        <w:rPr>
          <w:sz w:val="22"/>
          <w:szCs w:val="22"/>
        </w:rPr>
        <w:lastRenderedPageBreak/>
        <w:t xml:space="preserve">under estimate the effective SINR </w:t>
      </w:r>
      <w:r w:rsidR="00C80DC3">
        <w:rPr>
          <w:sz w:val="22"/>
          <w:szCs w:val="22"/>
        </w:rPr>
        <w:t xml:space="preserve">for higher coding rate </w:t>
      </w:r>
      <w:r>
        <w:rPr>
          <w:sz w:val="22"/>
          <w:szCs w:val="22"/>
        </w:rPr>
        <w:t>because it is a mon</w:t>
      </w:r>
      <w:r w:rsidR="00CB30CC">
        <w:rPr>
          <w:sz w:val="22"/>
          <w:szCs w:val="22"/>
        </w:rPr>
        <w:t>o</w:t>
      </w:r>
      <w:r>
        <w:rPr>
          <w:sz w:val="22"/>
          <w:szCs w:val="22"/>
        </w:rPr>
        <w:t xml:space="preserve">tonically decreasing function </w:t>
      </w:r>
      <w:r w:rsidR="00C80DC3">
        <w:rPr>
          <w:sz w:val="22"/>
          <w:szCs w:val="22"/>
        </w:rPr>
        <w:t>with respect to</w:t>
      </w:r>
      <w:r>
        <w:rPr>
          <w:sz w:val="22"/>
          <w:szCs w:val="22"/>
        </w:rPr>
        <w:t xml:space="preserve"> </w:t>
      </w:r>
      <w:r w:rsidRPr="00E96A5A">
        <w:rPr>
          <w:rFonts w:ascii="Symbol" w:hAnsi="Symbol"/>
          <w:sz w:val="22"/>
          <w:szCs w:val="22"/>
        </w:rPr>
        <w:t></w:t>
      </w:r>
      <w:r w:rsidR="00E96A5A">
        <w:rPr>
          <w:sz w:val="22"/>
          <w:szCs w:val="22"/>
        </w:rPr>
        <w:t xml:space="preserve">. </w:t>
      </w:r>
    </w:p>
    <w:p w:rsidR="00C80DC3" w:rsidRDefault="00C80DC3" w:rsidP="00FE425B">
      <w:pPr>
        <w:rPr>
          <w:sz w:val="22"/>
          <w:szCs w:val="22"/>
        </w:rPr>
      </w:pPr>
    </w:p>
    <w:p w:rsidR="00FE425B" w:rsidRDefault="00FE425B" w:rsidP="00FE425B">
      <w:pPr>
        <w:rPr>
          <w:sz w:val="22"/>
          <w:szCs w:val="22"/>
        </w:rPr>
      </w:pPr>
      <w:r>
        <w:rPr>
          <w:sz w:val="22"/>
          <w:szCs w:val="22"/>
        </w:rPr>
        <w:t xml:space="preserve">The number of frequency hops per data packet in the calculation of effective SINR is assumed as given in Table 1. </w:t>
      </w:r>
    </w:p>
    <w:p w:rsidR="00FE425B" w:rsidRDefault="00FE425B" w:rsidP="00FE425B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Number of frequency hops per data packet of 800 bits.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1580"/>
        <w:gridCol w:w="1580"/>
        <w:gridCol w:w="1580"/>
        <w:gridCol w:w="1581"/>
      </w:tblGrid>
      <w:tr w:rsidR="00FE425B" w:rsidTr="005E4862">
        <w:tc>
          <w:tcPr>
            <w:tcW w:w="1975" w:type="dxa"/>
          </w:tcPr>
          <w:p w:rsidR="00FE425B" w:rsidRDefault="00FE425B" w:rsidP="005E4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Coupling Loss (dB)</w:t>
            </w:r>
          </w:p>
        </w:tc>
        <w:tc>
          <w:tcPr>
            <w:tcW w:w="1580" w:type="dxa"/>
          </w:tcPr>
          <w:p w:rsidR="00FE425B" w:rsidRDefault="00FE425B" w:rsidP="005E4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&lt;160 dB</w:t>
            </w:r>
          </w:p>
        </w:tc>
        <w:tc>
          <w:tcPr>
            <w:tcW w:w="1580" w:type="dxa"/>
          </w:tcPr>
          <w:p w:rsidR="00FE425B" w:rsidRDefault="00FE425B" w:rsidP="005E4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(160 155]</w:t>
            </w:r>
          </w:p>
        </w:tc>
        <w:tc>
          <w:tcPr>
            <w:tcW w:w="1580" w:type="dxa"/>
          </w:tcPr>
          <w:p w:rsidR="00FE425B" w:rsidRDefault="00FE425B" w:rsidP="005E4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(155 150]</w:t>
            </w:r>
          </w:p>
        </w:tc>
        <w:tc>
          <w:tcPr>
            <w:tcW w:w="1581" w:type="dxa"/>
          </w:tcPr>
          <w:p w:rsidR="00FE425B" w:rsidRDefault="00FE425B" w:rsidP="005E4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&lt;150</w:t>
            </w:r>
          </w:p>
        </w:tc>
      </w:tr>
      <w:tr w:rsidR="00FE425B" w:rsidTr="005E4862">
        <w:tc>
          <w:tcPr>
            <w:tcW w:w="1975" w:type="dxa"/>
          </w:tcPr>
          <w:p w:rsidR="00FE425B" w:rsidRDefault="00FE425B" w:rsidP="005E4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hops</w:t>
            </w:r>
          </w:p>
        </w:tc>
        <w:tc>
          <w:tcPr>
            <w:tcW w:w="1580" w:type="dxa"/>
          </w:tcPr>
          <w:p w:rsidR="00FE425B" w:rsidRDefault="00FE425B" w:rsidP="005E4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</w:tcPr>
          <w:p w:rsidR="00FE425B" w:rsidRDefault="00FE425B" w:rsidP="005E4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</w:tcPr>
          <w:p w:rsidR="00FE425B" w:rsidRDefault="00FE425B" w:rsidP="005E4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581" w:type="dxa"/>
          </w:tcPr>
          <w:p w:rsidR="00FE425B" w:rsidRDefault="00FE425B" w:rsidP="005E4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</w:tbl>
    <w:p w:rsidR="00FE425B" w:rsidRDefault="00FE425B" w:rsidP="00FE425B">
      <w:pPr>
        <w:rPr>
          <w:sz w:val="22"/>
          <w:szCs w:val="22"/>
        </w:rPr>
      </w:pPr>
    </w:p>
    <w:p w:rsidR="00FE425B" w:rsidRDefault="00FE425B" w:rsidP="00FE425B">
      <w:pPr>
        <w:rPr>
          <w:sz w:val="22"/>
          <w:szCs w:val="22"/>
        </w:rPr>
      </w:pPr>
      <w:r w:rsidRPr="000B5722">
        <w:rPr>
          <w:noProof/>
          <w:sz w:val="22"/>
          <w:szCs w:val="22"/>
          <w:lang w:eastAsia="en-US"/>
        </w:rPr>
        <w:drawing>
          <wp:inline distT="0" distB="0" distL="0" distR="0" wp14:anchorId="326E88CC" wp14:editId="5582C988">
            <wp:extent cx="4127499" cy="30956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819" cy="310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25B" w:rsidRDefault="00FE425B" w:rsidP="00FE425B">
      <w:pPr>
        <w:rPr>
          <w:sz w:val="22"/>
          <w:szCs w:val="22"/>
        </w:rPr>
      </w:pPr>
    </w:p>
    <w:p w:rsidR="00FE425B" w:rsidRPr="00E96A5A" w:rsidRDefault="00FE425B" w:rsidP="00E96A5A">
      <w:pPr>
        <w:rPr>
          <w:rStyle w:val="StyleLatinBodyCalibri11pt"/>
          <w:rFonts w:ascii="Times New Roman" w:hAnsi="Times New Roman" w:cs="Times New Roman"/>
          <w:kern w:val="2"/>
          <w:szCs w:val="22"/>
        </w:rPr>
      </w:pPr>
      <w:r>
        <w:rPr>
          <w:sz w:val="22"/>
          <w:szCs w:val="22"/>
        </w:rPr>
        <w:t>From Figure 1, it can be seen that the impact of GSM is small. The degradation at the required SNR</w:t>
      </w:r>
      <w:r w:rsidR="00E96A5A">
        <w:rPr>
          <w:sz w:val="22"/>
          <w:szCs w:val="22"/>
        </w:rPr>
        <w:t>,</w:t>
      </w:r>
      <w:r>
        <w:rPr>
          <w:sz w:val="22"/>
          <w:szCs w:val="22"/>
        </w:rPr>
        <w:t xml:space="preserve"> -5.1 dB</w:t>
      </w:r>
      <w:r w:rsidR="00E96A5A">
        <w:rPr>
          <w:sz w:val="22"/>
          <w:szCs w:val="22"/>
        </w:rPr>
        <w:t>,</w:t>
      </w:r>
      <w:r>
        <w:rPr>
          <w:sz w:val="22"/>
          <w:szCs w:val="22"/>
        </w:rPr>
        <w:t xml:space="preserve"> for 20 dB coverage extension is negligible. Comparing the instantaneous </w:t>
      </w:r>
      <w:r w:rsidR="00E96A5A">
        <w:rPr>
          <w:sz w:val="22"/>
          <w:szCs w:val="22"/>
        </w:rPr>
        <w:t xml:space="preserve">SINR </w:t>
      </w:r>
      <w:r>
        <w:rPr>
          <w:sz w:val="22"/>
          <w:szCs w:val="22"/>
        </w:rPr>
        <w:t>and the effective SINR,</w:t>
      </w:r>
      <w:r w:rsidR="00E96A5A">
        <w:rPr>
          <w:sz w:val="22"/>
          <w:szCs w:val="22"/>
        </w:rPr>
        <w:t xml:space="preserve"> </w:t>
      </w:r>
      <w:r>
        <w:rPr>
          <w:sz w:val="22"/>
          <w:szCs w:val="22"/>
        </w:rPr>
        <w:t>it can be seen that frequency hopping push the SINR distribution</w:t>
      </w:r>
      <w:r w:rsidR="00E96A5A">
        <w:rPr>
          <w:sz w:val="22"/>
          <w:szCs w:val="22"/>
        </w:rPr>
        <w:t xml:space="preserve"> significantly</w:t>
      </w:r>
      <w:r>
        <w:rPr>
          <w:sz w:val="22"/>
          <w:szCs w:val="22"/>
        </w:rPr>
        <w:t xml:space="preserve"> to the center, thereby leading to </w:t>
      </w:r>
      <w:r w:rsidR="00E96A5A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larger system throughput. With GSM interference, the effective SINR is about 0.5 dB at 10% percentile while the instantaneous SINR is about -2 dB at 10% percentile. </w:t>
      </w:r>
    </w:p>
    <w:p w:rsidR="00256F8D" w:rsidRPr="00256F8D" w:rsidRDefault="00971D9A" w:rsidP="00256F8D">
      <w:pPr>
        <w:pStyle w:val="Heading1"/>
        <w:rPr>
          <w:rStyle w:val="StyleLatinBodyCalibri11pt"/>
          <w:rFonts w:ascii="Arial" w:hAnsi="Arial" w:cs="Times New Roman"/>
          <w:sz w:val="36"/>
          <w:lang w:val="en-GB" w:eastAsia="en-US"/>
        </w:rPr>
      </w:pPr>
      <w:r>
        <w:rPr>
          <w:rStyle w:val="StyleLatinBodyCalibri11pt"/>
          <w:rFonts w:ascii="Arial" w:hAnsi="Arial" w:cs="Times New Roman"/>
          <w:sz w:val="36"/>
          <w:lang w:val="en-GB" w:eastAsia="en-US"/>
        </w:rPr>
        <w:t>S</w:t>
      </w:r>
      <w:r w:rsidR="00F54085">
        <w:rPr>
          <w:rStyle w:val="StyleLatinBodyCalibri11pt"/>
          <w:rFonts w:ascii="Arial" w:hAnsi="Arial" w:cs="Times New Roman"/>
          <w:sz w:val="36"/>
          <w:lang w:val="en-GB" w:eastAsia="en-US"/>
        </w:rPr>
        <w:t>ummary</w:t>
      </w:r>
    </w:p>
    <w:p w:rsidR="00842B1E" w:rsidRDefault="00F54085" w:rsidP="00842B1E">
      <w:r>
        <w:t>In this contribution</w:t>
      </w:r>
      <w:r w:rsidR="009D3080">
        <w:t>,</w:t>
      </w:r>
      <w:r w:rsidR="00842B1E">
        <w:t xml:space="preserve"> the effective SINR based on the</w:t>
      </w:r>
      <w:r>
        <w:t xml:space="preserve"> EESM </w:t>
      </w:r>
      <w:r w:rsidR="00842B1E">
        <w:t>method</w:t>
      </w:r>
      <w:r w:rsidR="009D3080">
        <w:t xml:space="preserve"> is proposed</w:t>
      </w:r>
      <w:r w:rsidR="00842B1E">
        <w:t xml:space="preserve"> as </w:t>
      </w:r>
      <w:r w:rsidR="00CB30CC">
        <w:t>a single-valued</w:t>
      </w:r>
      <w:r w:rsidR="00842B1E">
        <w:t xml:space="preserve"> performance metric when hopping is performed in narrowband CIoT solutions. </w:t>
      </w:r>
    </w:p>
    <w:p w:rsidR="00E96A5A" w:rsidRDefault="00E96A5A" w:rsidP="00842B1E"/>
    <w:p w:rsidR="00E96A5A" w:rsidRDefault="009D3080" w:rsidP="00842B1E">
      <w:r>
        <w:t>S</w:t>
      </w:r>
      <w:r w:rsidR="00E96A5A">
        <w:t xml:space="preserve">imulation results of NB-OFDMA UL in the presence of GSM interference </w:t>
      </w:r>
      <w:r w:rsidR="007D6798">
        <w:t xml:space="preserve">has </w:t>
      </w:r>
      <w:r>
        <w:t>demonstrate</w:t>
      </w:r>
      <w:r w:rsidR="007D6798">
        <w:t>d</w:t>
      </w:r>
      <w:r>
        <w:t xml:space="preserve"> the effectiveness of frequency hopping in narrowband CIoT solutions.</w:t>
      </w:r>
    </w:p>
    <w:p w:rsidR="000905B4" w:rsidRPr="002C59DB" w:rsidRDefault="00F14A08" w:rsidP="00842B1E">
      <w:pPr>
        <w:pStyle w:val="Heading1"/>
      </w:pPr>
      <w:r w:rsidRPr="002C59DB">
        <w:lastRenderedPageBreak/>
        <w:t>References</w:t>
      </w:r>
    </w:p>
    <w:p w:rsidR="006D190D" w:rsidRDefault="00F54085" w:rsidP="006D190D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bookmarkStart w:id="2" w:name="_Ref222280625"/>
      <w:bookmarkStart w:id="3" w:name="_Ref401740907"/>
      <w:bookmarkStart w:id="4" w:name="_Ref401740945"/>
      <w:bookmarkStart w:id="5" w:name="_Ref211321859"/>
      <w:bookmarkStart w:id="6" w:name="_Ref220829353"/>
      <w:r>
        <w:rPr>
          <w:szCs w:val="21"/>
        </w:rPr>
        <w:t xml:space="preserve">GP150229, </w:t>
      </w:r>
      <w:r>
        <w:t xml:space="preserve">CIoT - Coexistence with GSM, </w:t>
      </w:r>
      <w:r w:rsidRPr="00F54085">
        <w:rPr>
          <w:rFonts w:eastAsia="Arial Unicode MS"/>
          <w:snapToGrid w:val="0"/>
          <w:sz w:val="22"/>
          <w:szCs w:val="22"/>
          <w:lang w:val="sv-SE"/>
        </w:rPr>
        <w:t>Huawei Technologies Co., Ltd. , HiSilicon Technologies Co., Ltd.</w:t>
      </w:r>
      <w:r>
        <w:rPr>
          <w:rFonts w:eastAsia="Arial Unicode MS"/>
          <w:snapToGrid w:val="0"/>
          <w:sz w:val="22"/>
          <w:szCs w:val="22"/>
          <w:lang w:val="sv-SE"/>
        </w:rPr>
        <w:t>,</w:t>
      </w:r>
      <w:r w:rsidRPr="00F54085">
        <w:rPr>
          <w:rFonts w:eastAsia="Arial Unicode MS"/>
          <w:snapToGrid w:val="0"/>
          <w:sz w:val="22"/>
          <w:szCs w:val="22"/>
          <w:lang w:val="sv-SE"/>
        </w:rPr>
        <w:t xml:space="preserve"> </w:t>
      </w:r>
      <w:r>
        <w:rPr>
          <w:szCs w:val="21"/>
        </w:rPr>
        <w:t>GERAN365,</w:t>
      </w:r>
      <w:r w:rsidR="006D190D">
        <w:rPr>
          <w:szCs w:val="21"/>
        </w:rPr>
        <w:t xml:space="preserve"> </w:t>
      </w:r>
      <w:r>
        <w:rPr>
          <w:sz w:val="22"/>
          <w:szCs w:val="22"/>
        </w:rPr>
        <w:t>Shanghai</w:t>
      </w:r>
      <w:r w:rsidRPr="000C487B">
        <w:rPr>
          <w:sz w:val="22"/>
          <w:szCs w:val="22"/>
        </w:rPr>
        <w:t>,</w:t>
      </w:r>
      <w:r>
        <w:rPr>
          <w:sz w:val="22"/>
          <w:szCs w:val="22"/>
        </w:rPr>
        <w:t xml:space="preserve"> China</w:t>
      </w:r>
      <w:r>
        <w:rPr>
          <w:szCs w:val="21"/>
        </w:rPr>
        <w:t xml:space="preserve"> </w:t>
      </w:r>
      <w:r w:rsidR="006D190D">
        <w:rPr>
          <w:szCs w:val="21"/>
        </w:rPr>
        <w:t>March 2015.</w:t>
      </w:r>
    </w:p>
    <w:p w:rsidR="00E30703" w:rsidRPr="00E30703" w:rsidRDefault="00E30703" w:rsidP="00E30703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r>
        <w:rPr>
          <w:szCs w:val="21"/>
        </w:rPr>
        <w:t>3GPP TR 45.820, V1.0.1 Cellular System Support for Ultra Low Complexity and Low Throughput Internet of Things, March 2015.</w:t>
      </w:r>
    </w:p>
    <w:p w:rsidR="00F54085" w:rsidRPr="00F54085" w:rsidRDefault="00F54085" w:rsidP="00A4057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szCs w:val="21"/>
        </w:rPr>
      </w:pPr>
      <w:r w:rsidRPr="00F54085">
        <w:rPr>
          <w:rFonts w:ascii="Times New Roman" w:hAnsi="Times New Roman"/>
          <w:sz w:val="21"/>
          <w:szCs w:val="21"/>
        </w:rPr>
        <w:t xml:space="preserve">S. N. Donthi and N. B. Mehta, "An Accurate Model for EESM and its Application to Analysis of CQI Feedback Schemes and Scheduling in LTE," </w:t>
      </w:r>
      <w:r w:rsidRPr="00F54085">
        <w:rPr>
          <w:rFonts w:ascii="Times New Roman" w:hAnsi="Times New Roman"/>
          <w:i/>
          <w:iCs/>
          <w:sz w:val="21"/>
          <w:szCs w:val="21"/>
        </w:rPr>
        <w:t xml:space="preserve">Wireless Communications, IEEE Transactions on, </w:t>
      </w:r>
      <w:r w:rsidRPr="00F54085">
        <w:rPr>
          <w:rFonts w:ascii="Times New Roman" w:hAnsi="Times New Roman"/>
          <w:sz w:val="21"/>
          <w:szCs w:val="21"/>
        </w:rPr>
        <w:t>vol. 10, pp. 3436-3448, 2011.</w:t>
      </w:r>
    </w:p>
    <w:bookmarkEnd w:id="2"/>
    <w:bookmarkEnd w:id="3"/>
    <w:bookmarkEnd w:id="4"/>
    <w:bookmarkEnd w:id="5"/>
    <w:bookmarkEnd w:id="6"/>
    <w:p w:rsidR="00FE210C" w:rsidRPr="00FE210C" w:rsidRDefault="00FE210C" w:rsidP="00F54085">
      <w:pPr>
        <w:widowControl/>
        <w:overflowPunct w:val="0"/>
        <w:autoSpaceDE w:val="0"/>
        <w:autoSpaceDN w:val="0"/>
        <w:adjustRightInd w:val="0"/>
        <w:spacing w:after="180"/>
        <w:ind w:left="1140"/>
        <w:jc w:val="left"/>
        <w:textAlignment w:val="baseline"/>
        <w:rPr>
          <w:kern w:val="0"/>
          <w:sz w:val="22"/>
        </w:rPr>
      </w:pPr>
    </w:p>
    <w:sectPr w:rsidR="00FE210C" w:rsidRPr="00FE210C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1D8" w:rsidRDefault="002B41D8">
      <w:r>
        <w:separator/>
      </w:r>
    </w:p>
  </w:endnote>
  <w:endnote w:type="continuationSeparator" w:id="0">
    <w:p w:rsidR="002B41D8" w:rsidRDefault="002B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altName w:val="Tahoma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C28" w:rsidRDefault="00C91C28" w:rsidP="00C91C2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007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0071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1D8" w:rsidRDefault="002B41D8">
      <w:r>
        <w:separator/>
      </w:r>
    </w:p>
  </w:footnote>
  <w:footnote w:type="continuationSeparator" w:id="0">
    <w:p w:rsidR="002B41D8" w:rsidRDefault="002B4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5B7" w:rsidRDefault="00A725B1" w:rsidP="00992CB6">
    <w:pPr>
      <w:pStyle w:val="WP"/>
      <w:tabs>
        <w:tab w:val="right" w:pos="8280"/>
        <w:tab w:val="right" w:pos="10260"/>
      </w:tabs>
      <w:rPr>
        <w:rFonts w:ascii="Times New Roman" w:hAnsi="Times New Roman" w:cs="Times New Roman"/>
        <w:bCs/>
      </w:rPr>
    </w:pPr>
    <w:r>
      <w:rPr>
        <w:rFonts w:ascii="Times New Roman" w:hAnsi="Times New Roman" w:cs="Times New Roman"/>
        <w:bCs/>
      </w:rPr>
      <w:t>3</w:t>
    </w:r>
    <w:r w:rsidR="0005379D">
      <w:rPr>
        <w:rFonts w:ascii="Times New Roman" w:hAnsi="Times New Roman" w:cs="Times New Roman"/>
        <w:bCs/>
      </w:rPr>
      <w:t xml:space="preserve">GPP TSG GERAN </w:t>
    </w:r>
    <w:r w:rsidR="00BF0D6B">
      <w:rPr>
        <w:rFonts w:ascii="Times New Roman" w:hAnsi="Times New Roman" w:cs="Times New Roman"/>
        <w:bCs/>
      </w:rPr>
      <w:t>Cellular IoT Ad Hoc</w:t>
    </w:r>
    <w:r w:rsidR="0005379D">
      <w:rPr>
        <w:rFonts w:ascii="Times New Roman" w:hAnsi="Times New Roman" w:cs="Times New Roman"/>
        <w:bCs/>
      </w:rPr>
      <w:tab/>
    </w:r>
    <w:r w:rsidR="0005379D" w:rsidRPr="00C957EC">
      <w:rPr>
        <w:rFonts w:ascii="Times New Roman" w:hAnsi="Times New Roman" w:cs="Times New Roman"/>
        <w:bCs/>
      </w:rPr>
      <w:t>Tdoc GP</w:t>
    </w:r>
    <w:r w:rsidR="007C1987">
      <w:rPr>
        <w:rFonts w:ascii="Times New Roman" w:hAnsi="Times New Roman" w:cs="Times New Roman"/>
        <w:bCs/>
      </w:rPr>
      <w:t>C</w:t>
    </w:r>
    <w:r w:rsidR="0005379D" w:rsidRPr="00C957EC">
      <w:rPr>
        <w:rFonts w:ascii="Times New Roman" w:hAnsi="Times New Roman" w:cs="Times New Roman"/>
        <w:bCs/>
      </w:rPr>
      <w:t>-</w:t>
    </w:r>
    <w:r w:rsidR="00BF0D6B">
      <w:rPr>
        <w:rFonts w:ascii="Times New Roman" w:hAnsi="Times New Roman" w:cs="Times New Roman"/>
        <w:bCs/>
      </w:rPr>
      <w:t>15</w:t>
    </w:r>
    <w:r w:rsidR="007360D1">
      <w:rPr>
        <w:rFonts w:ascii="Times New Roman" w:hAnsi="Times New Roman" w:cs="Times New Roman"/>
        <w:bCs/>
      </w:rPr>
      <w:t>0241</w:t>
    </w:r>
  </w:p>
  <w:p w:rsidR="00E235B7" w:rsidRDefault="00BF0D6B" w:rsidP="00E235B7">
    <w:pPr>
      <w:pStyle w:val="WP"/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  <w:r>
      <w:rPr>
        <w:rFonts w:ascii="Times New Roman" w:eastAsia="SimSun" w:hAnsi="Times New Roman" w:cs="Times New Roman"/>
        <w:bCs/>
        <w:lang w:eastAsia="zh-CN"/>
      </w:rPr>
      <w:t>Sophia Antipolis, France</w:t>
    </w:r>
  </w:p>
  <w:p w:rsidR="00E235B7" w:rsidRPr="00032304" w:rsidRDefault="00BF0D6B" w:rsidP="00E235B7">
    <w:pPr>
      <w:pStyle w:val="WP"/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  <w:r>
      <w:rPr>
        <w:rFonts w:ascii="Times New Roman" w:eastAsia="SimSun" w:hAnsi="Times New Roman" w:cs="Times New Roman"/>
        <w:bCs/>
        <w:lang w:eastAsia="zh-CN"/>
      </w:rPr>
      <w:t>20-23</w:t>
    </w:r>
    <w:r w:rsidR="0005379D">
      <w:rPr>
        <w:rFonts w:ascii="Times New Roman" w:eastAsia="SimSun" w:hAnsi="Times New Roman" w:cs="Times New Roman"/>
        <w:bCs/>
        <w:lang w:eastAsia="zh-CN"/>
      </w:rPr>
      <w:t xml:space="preserve"> </w:t>
    </w:r>
    <w:r>
      <w:rPr>
        <w:rFonts w:ascii="Times New Roman" w:eastAsia="SimSun" w:hAnsi="Times New Roman" w:cs="Times New Roman"/>
        <w:bCs/>
        <w:lang w:eastAsia="zh-CN"/>
      </w:rPr>
      <w:t>April 2015</w:t>
    </w:r>
  </w:p>
  <w:p w:rsidR="00032304" w:rsidRPr="00E235B7" w:rsidRDefault="00032304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A0D6E"/>
    <w:multiLevelType w:val="hybridMultilevel"/>
    <w:tmpl w:val="E70E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C11B3"/>
    <w:multiLevelType w:val="hybridMultilevel"/>
    <w:tmpl w:val="959AA4E0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8207CB"/>
    <w:multiLevelType w:val="hybridMultilevel"/>
    <w:tmpl w:val="D79E7B92"/>
    <w:lvl w:ilvl="0" w:tplc="C1E403B6"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5687387"/>
    <w:multiLevelType w:val="multilevel"/>
    <w:tmpl w:val="7A601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284959"/>
    <w:multiLevelType w:val="hybridMultilevel"/>
    <w:tmpl w:val="5AC841AA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ED102F"/>
    <w:multiLevelType w:val="hybridMultilevel"/>
    <w:tmpl w:val="F928092E"/>
    <w:lvl w:ilvl="0" w:tplc="04090001">
      <w:start w:val="1"/>
      <w:numFmt w:val="bullet"/>
      <w:lvlText w:val="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4"/>
        </w:tabs>
        <w:ind w:left="1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4"/>
        </w:tabs>
        <w:ind w:left="2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4"/>
        </w:tabs>
        <w:ind w:left="3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4"/>
        </w:tabs>
        <w:ind w:left="4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4"/>
        </w:tabs>
        <w:ind w:left="5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4"/>
        </w:tabs>
        <w:ind w:left="6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4"/>
        </w:tabs>
        <w:ind w:left="6784" w:hanging="360"/>
      </w:pPr>
      <w:rPr>
        <w:rFonts w:ascii="Wingdings" w:hAnsi="Wingdings" w:hint="default"/>
      </w:rPr>
    </w:lvl>
  </w:abstractNum>
  <w:abstractNum w:abstractNumId="6">
    <w:nsid w:val="27105170"/>
    <w:multiLevelType w:val="hybridMultilevel"/>
    <w:tmpl w:val="E85004E6"/>
    <w:lvl w:ilvl="0" w:tplc="844247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D0067"/>
    <w:multiLevelType w:val="hybridMultilevel"/>
    <w:tmpl w:val="2CA41F7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D4E4476"/>
    <w:multiLevelType w:val="hybridMultilevel"/>
    <w:tmpl w:val="4B929C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443BA8"/>
    <w:multiLevelType w:val="hybridMultilevel"/>
    <w:tmpl w:val="D2489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842F6"/>
    <w:multiLevelType w:val="hybridMultilevel"/>
    <w:tmpl w:val="57F6E1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169CD"/>
    <w:multiLevelType w:val="hybridMultilevel"/>
    <w:tmpl w:val="68E480A0"/>
    <w:lvl w:ilvl="0" w:tplc="844247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4E3AF6"/>
    <w:multiLevelType w:val="hybridMultilevel"/>
    <w:tmpl w:val="3EF46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B070D0"/>
    <w:multiLevelType w:val="multilevel"/>
    <w:tmpl w:val="97FE6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3DC0365"/>
    <w:multiLevelType w:val="hybridMultilevel"/>
    <w:tmpl w:val="4112C5EA"/>
    <w:lvl w:ilvl="0" w:tplc="C882B34A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6696FF4"/>
    <w:multiLevelType w:val="hybridMultilevel"/>
    <w:tmpl w:val="FF305D74"/>
    <w:lvl w:ilvl="0" w:tplc="B27605B4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99C7422">
      <w:start w:val="2"/>
      <w:numFmt w:val="decimal"/>
      <w:isLgl/>
      <w:lvlText w:val="%2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 w:tplc="BB926182">
      <w:numFmt w:val="none"/>
      <w:lvlText w:val=""/>
      <w:lvlJc w:val="left"/>
      <w:pPr>
        <w:tabs>
          <w:tab w:val="num" w:pos="360"/>
        </w:tabs>
      </w:pPr>
    </w:lvl>
    <w:lvl w:ilvl="3" w:tplc="554CDD00">
      <w:numFmt w:val="none"/>
      <w:lvlText w:val=""/>
      <w:lvlJc w:val="left"/>
      <w:pPr>
        <w:tabs>
          <w:tab w:val="num" w:pos="360"/>
        </w:tabs>
      </w:pPr>
    </w:lvl>
    <w:lvl w:ilvl="4" w:tplc="C4CA263E">
      <w:numFmt w:val="none"/>
      <w:lvlText w:val=""/>
      <w:lvlJc w:val="left"/>
      <w:pPr>
        <w:tabs>
          <w:tab w:val="num" w:pos="360"/>
        </w:tabs>
      </w:pPr>
    </w:lvl>
    <w:lvl w:ilvl="5" w:tplc="969685FC">
      <w:numFmt w:val="none"/>
      <w:lvlText w:val=""/>
      <w:lvlJc w:val="left"/>
      <w:pPr>
        <w:tabs>
          <w:tab w:val="num" w:pos="360"/>
        </w:tabs>
      </w:pPr>
    </w:lvl>
    <w:lvl w:ilvl="6" w:tplc="A14204DA">
      <w:numFmt w:val="none"/>
      <w:lvlText w:val=""/>
      <w:lvlJc w:val="left"/>
      <w:pPr>
        <w:tabs>
          <w:tab w:val="num" w:pos="360"/>
        </w:tabs>
      </w:pPr>
    </w:lvl>
    <w:lvl w:ilvl="7" w:tplc="5F9A13B0">
      <w:numFmt w:val="none"/>
      <w:lvlText w:val=""/>
      <w:lvlJc w:val="left"/>
      <w:pPr>
        <w:tabs>
          <w:tab w:val="num" w:pos="360"/>
        </w:tabs>
      </w:pPr>
    </w:lvl>
    <w:lvl w:ilvl="8" w:tplc="A81019B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4A573BC0"/>
    <w:multiLevelType w:val="hybridMultilevel"/>
    <w:tmpl w:val="AABC962C"/>
    <w:lvl w:ilvl="0" w:tplc="8E9A53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E60FB3"/>
    <w:multiLevelType w:val="hybridMultilevel"/>
    <w:tmpl w:val="FF540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566BCB"/>
    <w:multiLevelType w:val="hybridMultilevel"/>
    <w:tmpl w:val="28A6D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D14DC"/>
    <w:multiLevelType w:val="hybridMultilevel"/>
    <w:tmpl w:val="19A0753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2309E6"/>
    <w:multiLevelType w:val="hybridMultilevel"/>
    <w:tmpl w:val="955ED006"/>
    <w:lvl w:ilvl="0" w:tplc="6F0A43DA"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0126E41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2">
    <w:nsid w:val="62DB44B6"/>
    <w:multiLevelType w:val="hybridMultilevel"/>
    <w:tmpl w:val="7A601F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0D15F8"/>
    <w:multiLevelType w:val="hybridMultilevel"/>
    <w:tmpl w:val="A0985482"/>
    <w:lvl w:ilvl="0" w:tplc="981ABEA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2DD4EE7"/>
    <w:multiLevelType w:val="multilevel"/>
    <w:tmpl w:val="8558E9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759A6BB6"/>
    <w:multiLevelType w:val="hybridMultilevel"/>
    <w:tmpl w:val="C1EACE66"/>
    <w:lvl w:ilvl="0" w:tplc="14CE74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77152C"/>
    <w:multiLevelType w:val="hybridMultilevel"/>
    <w:tmpl w:val="AF027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97123"/>
    <w:multiLevelType w:val="hybridMultilevel"/>
    <w:tmpl w:val="361C2C24"/>
    <w:lvl w:ilvl="0" w:tplc="3CCA6982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19"/>
  </w:num>
  <w:num w:numId="5">
    <w:abstractNumId w:val="14"/>
  </w:num>
  <w:num w:numId="6">
    <w:abstractNumId w:val="25"/>
  </w:num>
  <w:num w:numId="7">
    <w:abstractNumId w:val="23"/>
  </w:num>
  <w:num w:numId="8">
    <w:abstractNumId w:val="7"/>
  </w:num>
  <w:num w:numId="9">
    <w:abstractNumId w:val="24"/>
  </w:num>
  <w:num w:numId="10">
    <w:abstractNumId w:val="22"/>
  </w:num>
  <w:num w:numId="11">
    <w:abstractNumId w:val="3"/>
  </w:num>
  <w:num w:numId="12">
    <w:abstractNumId w:val="13"/>
  </w:num>
  <w:num w:numId="13">
    <w:abstractNumId w:val="8"/>
  </w:num>
  <w:num w:numId="14">
    <w:abstractNumId w:val="21"/>
  </w:num>
  <w:num w:numId="15">
    <w:abstractNumId w:val="4"/>
  </w:num>
  <w:num w:numId="16">
    <w:abstractNumId w:val="10"/>
  </w:num>
  <w:num w:numId="17">
    <w:abstractNumId w:val="12"/>
  </w:num>
  <w:num w:numId="18">
    <w:abstractNumId w:val="9"/>
  </w:num>
  <w:num w:numId="19">
    <w:abstractNumId w:val="0"/>
  </w:num>
  <w:num w:numId="20">
    <w:abstractNumId w:val="17"/>
  </w:num>
  <w:num w:numId="21">
    <w:abstractNumId w:val="1"/>
  </w:num>
  <w:num w:numId="22">
    <w:abstractNumId w:val="16"/>
  </w:num>
  <w:num w:numId="23">
    <w:abstractNumId w:val="5"/>
  </w:num>
  <w:num w:numId="24">
    <w:abstractNumId w:val="18"/>
  </w:num>
  <w:num w:numId="25">
    <w:abstractNumId w:val="27"/>
  </w:num>
  <w:num w:numId="26">
    <w:abstractNumId w:val="6"/>
  </w:num>
  <w:num w:numId="27">
    <w:abstractNumId w:val="11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5"/>
    <w:rsid w:val="00011F38"/>
    <w:rsid w:val="00014384"/>
    <w:rsid w:val="000151D1"/>
    <w:rsid w:val="0002191E"/>
    <w:rsid w:val="00022015"/>
    <w:rsid w:val="00025855"/>
    <w:rsid w:val="0002737E"/>
    <w:rsid w:val="00030094"/>
    <w:rsid w:val="00032304"/>
    <w:rsid w:val="00032AAE"/>
    <w:rsid w:val="00034071"/>
    <w:rsid w:val="00052E93"/>
    <w:rsid w:val="0005379D"/>
    <w:rsid w:val="000558F4"/>
    <w:rsid w:val="00055EEE"/>
    <w:rsid w:val="00056B3E"/>
    <w:rsid w:val="00076100"/>
    <w:rsid w:val="00087AD7"/>
    <w:rsid w:val="000905B4"/>
    <w:rsid w:val="00091B05"/>
    <w:rsid w:val="000B4311"/>
    <w:rsid w:val="000B47F6"/>
    <w:rsid w:val="000C1E67"/>
    <w:rsid w:val="000C20C1"/>
    <w:rsid w:val="000C28D7"/>
    <w:rsid w:val="000C487B"/>
    <w:rsid w:val="000F09F3"/>
    <w:rsid w:val="001076F5"/>
    <w:rsid w:val="00112D71"/>
    <w:rsid w:val="00114E8A"/>
    <w:rsid w:val="0011750D"/>
    <w:rsid w:val="00125D5B"/>
    <w:rsid w:val="001356B5"/>
    <w:rsid w:val="00137BA2"/>
    <w:rsid w:val="001415F2"/>
    <w:rsid w:val="00145378"/>
    <w:rsid w:val="00160763"/>
    <w:rsid w:val="00163837"/>
    <w:rsid w:val="00165731"/>
    <w:rsid w:val="001664D5"/>
    <w:rsid w:val="00174AB2"/>
    <w:rsid w:val="0018068E"/>
    <w:rsid w:val="00180758"/>
    <w:rsid w:val="001A11CB"/>
    <w:rsid w:val="001A188B"/>
    <w:rsid w:val="001A4610"/>
    <w:rsid w:val="001B147F"/>
    <w:rsid w:val="001B1849"/>
    <w:rsid w:val="001B7A9C"/>
    <w:rsid w:val="001C4703"/>
    <w:rsid w:val="001C4B7C"/>
    <w:rsid w:val="001C6AEF"/>
    <w:rsid w:val="001D2237"/>
    <w:rsid w:val="001E2323"/>
    <w:rsid w:val="001E5B73"/>
    <w:rsid w:val="00201FA9"/>
    <w:rsid w:val="00202A1C"/>
    <w:rsid w:val="00211A10"/>
    <w:rsid w:val="0022206D"/>
    <w:rsid w:val="0022639D"/>
    <w:rsid w:val="0023406E"/>
    <w:rsid w:val="00244FCA"/>
    <w:rsid w:val="00247758"/>
    <w:rsid w:val="002549F7"/>
    <w:rsid w:val="00256393"/>
    <w:rsid w:val="00256F8D"/>
    <w:rsid w:val="00274C04"/>
    <w:rsid w:val="002822A7"/>
    <w:rsid w:val="002836A3"/>
    <w:rsid w:val="00285546"/>
    <w:rsid w:val="002A7E17"/>
    <w:rsid w:val="002B2053"/>
    <w:rsid w:val="002B41D8"/>
    <w:rsid w:val="002C2A1C"/>
    <w:rsid w:val="002C43AE"/>
    <w:rsid w:val="002C59DB"/>
    <w:rsid w:val="002D0879"/>
    <w:rsid w:val="002D67D1"/>
    <w:rsid w:val="002D7F13"/>
    <w:rsid w:val="002F3029"/>
    <w:rsid w:val="003037A0"/>
    <w:rsid w:val="0030770F"/>
    <w:rsid w:val="003120E7"/>
    <w:rsid w:val="003463F7"/>
    <w:rsid w:val="00367E36"/>
    <w:rsid w:val="00370853"/>
    <w:rsid w:val="003963FA"/>
    <w:rsid w:val="003A3573"/>
    <w:rsid w:val="003A5FF9"/>
    <w:rsid w:val="003B2903"/>
    <w:rsid w:val="003B6238"/>
    <w:rsid w:val="003D1893"/>
    <w:rsid w:val="003D554A"/>
    <w:rsid w:val="003D6C29"/>
    <w:rsid w:val="003F14DA"/>
    <w:rsid w:val="003F2BF9"/>
    <w:rsid w:val="003F7CF3"/>
    <w:rsid w:val="00401AFA"/>
    <w:rsid w:val="00403760"/>
    <w:rsid w:val="0042320C"/>
    <w:rsid w:val="00425A1A"/>
    <w:rsid w:val="00425AE0"/>
    <w:rsid w:val="004318A1"/>
    <w:rsid w:val="00431EDE"/>
    <w:rsid w:val="0043244E"/>
    <w:rsid w:val="004345C9"/>
    <w:rsid w:val="004421D6"/>
    <w:rsid w:val="004430F5"/>
    <w:rsid w:val="00443B73"/>
    <w:rsid w:val="0044681B"/>
    <w:rsid w:val="00455AC3"/>
    <w:rsid w:val="00457473"/>
    <w:rsid w:val="004703BE"/>
    <w:rsid w:val="00476BAE"/>
    <w:rsid w:val="00482DEE"/>
    <w:rsid w:val="00485E5C"/>
    <w:rsid w:val="00497B0B"/>
    <w:rsid w:val="004A3B41"/>
    <w:rsid w:val="004A562D"/>
    <w:rsid w:val="004B6816"/>
    <w:rsid w:val="004D1C8B"/>
    <w:rsid w:val="005130FF"/>
    <w:rsid w:val="0051427C"/>
    <w:rsid w:val="00514892"/>
    <w:rsid w:val="005213F6"/>
    <w:rsid w:val="00540FED"/>
    <w:rsid w:val="005466D6"/>
    <w:rsid w:val="00547F2C"/>
    <w:rsid w:val="0055488C"/>
    <w:rsid w:val="005552EF"/>
    <w:rsid w:val="005576EB"/>
    <w:rsid w:val="00562FE1"/>
    <w:rsid w:val="005670A9"/>
    <w:rsid w:val="005772BC"/>
    <w:rsid w:val="005855A3"/>
    <w:rsid w:val="005928C9"/>
    <w:rsid w:val="00593F17"/>
    <w:rsid w:val="005A0756"/>
    <w:rsid w:val="005C55E3"/>
    <w:rsid w:val="005E2FAF"/>
    <w:rsid w:val="00601ABA"/>
    <w:rsid w:val="00615240"/>
    <w:rsid w:val="0062190D"/>
    <w:rsid w:val="006251D2"/>
    <w:rsid w:val="00633393"/>
    <w:rsid w:val="00641885"/>
    <w:rsid w:val="0065402A"/>
    <w:rsid w:val="00661C65"/>
    <w:rsid w:val="00676B3E"/>
    <w:rsid w:val="00681CD0"/>
    <w:rsid w:val="00682A3B"/>
    <w:rsid w:val="00686643"/>
    <w:rsid w:val="006908E8"/>
    <w:rsid w:val="00695594"/>
    <w:rsid w:val="006B76FD"/>
    <w:rsid w:val="006C1D2E"/>
    <w:rsid w:val="006D190D"/>
    <w:rsid w:val="006D41B7"/>
    <w:rsid w:val="006E2036"/>
    <w:rsid w:val="006E6A2B"/>
    <w:rsid w:val="006E72F0"/>
    <w:rsid w:val="006F4573"/>
    <w:rsid w:val="00700AED"/>
    <w:rsid w:val="0071775F"/>
    <w:rsid w:val="00730351"/>
    <w:rsid w:val="00730EAC"/>
    <w:rsid w:val="007360D1"/>
    <w:rsid w:val="00746EEC"/>
    <w:rsid w:val="0075369C"/>
    <w:rsid w:val="00763281"/>
    <w:rsid w:val="00774001"/>
    <w:rsid w:val="00776A6C"/>
    <w:rsid w:val="00784A05"/>
    <w:rsid w:val="00791273"/>
    <w:rsid w:val="007923A5"/>
    <w:rsid w:val="00794EC8"/>
    <w:rsid w:val="007A3365"/>
    <w:rsid w:val="007B12D0"/>
    <w:rsid w:val="007B4B5B"/>
    <w:rsid w:val="007B4F95"/>
    <w:rsid w:val="007B5A2D"/>
    <w:rsid w:val="007C1987"/>
    <w:rsid w:val="007C5334"/>
    <w:rsid w:val="007C748E"/>
    <w:rsid w:val="007D6798"/>
    <w:rsid w:val="007F0CED"/>
    <w:rsid w:val="007F1AC2"/>
    <w:rsid w:val="00807545"/>
    <w:rsid w:val="00823F1F"/>
    <w:rsid w:val="00825C53"/>
    <w:rsid w:val="00831B8D"/>
    <w:rsid w:val="00842B1E"/>
    <w:rsid w:val="0084696D"/>
    <w:rsid w:val="00851638"/>
    <w:rsid w:val="00865343"/>
    <w:rsid w:val="00871B91"/>
    <w:rsid w:val="00874CA2"/>
    <w:rsid w:val="00884892"/>
    <w:rsid w:val="00897294"/>
    <w:rsid w:val="008B1596"/>
    <w:rsid w:val="008D10B3"/>
    <w:rsid w:val="008E0396"/>
    <w:rsid w:val="008E5833"/>
    <w:rsid w:val="008F2CB9"/>
    <w:rsid w:val="008F6683"/>
    <w:rsid w:val="009077F9"/>
    <w:rsid w:val="009155D2"/>
    <w:rsid w:val="00927F2D"/>
    <w:rsid w:val="00956259"/>
    <w:rsid w:val="0096516F"/>
    <w:rsid w:val="009702A1"/>
    <w:rsid w:val="00971D9A"/>
    <w:rsid w:val="00977FD1"/>
    <w:rsid w:val="0098008C"/>
    <w:rsid w:val="00986494"/>
    <w:rsid w:val="009902C4"/>
    <w:rsid w:val="00992CB6"/>
    <w:rsid w:val="009A0307"/>
    <w:rsid w:val="009A2998"/>
    <w:rsid w:val="009B2B45"/>
    <w:rsid w:val="009C00A9"/>
    <w:rsid w:val="009C0C71"/>
    <w:rsid w:val="009C4D8B"/>
    <w:rsid w:val="009C4E1F"/>
    <w:rsid w:val="009D3080"/>
    <w:rsid w:val="00A107B7"/>
    <w:rsid w:val="00A31AEC"/>
    <w:rsid w:val="00A35020"/>
    <w:rsid w:val="00A403EC"/>
    <w:rsid w:val="00A4057F"/>
    <w:rsid w:val="00A414F4"/>
    <w:rsid w:val="00A4333C"/>
    <w:rsid w:val="00A6007C"/>
    <w:rsid w:val="00A725B1"/>
    <w:rsid w:val="00A72DCA"/>
    <w:rsid w:val="00A8348C"/>
    <w:rsid w:val="00A86EBF"/>
    <w:rsid w:val="00A8703F"/>
    <w:rsid w:val="00A93C00"/>
    <w:rsid w:val="00AB340C"/>
    <w:rsid w:val="00AB392A"/>
    <w:rsid w:val="00AB3DB1"/>
    <w:rsid w:val="00AC289E"/>
    <w:rsid w:val="00AC3C2B"/>
    <w:rsid w:val="00AC5010"/>
    <w:rsid w:val="00AD3294"/>
    <w:rsid w:val="00AD57D5"/>
    <w:rsid w:val="00AE2F57"/>
    <w:rsid w:val="00AE6E21"/>
    <w:rsid w:val="00B0231B"/>
    <w:rsid w:val="00B12F08"/>
    <w:rsid w:val="00B33575"/>
    <w:rsid w:val="00B36D93"/>
    <w:rsid w:val="00B413DE"/>
    <w:rsid w:val="00B420F4"/>
    <w:rsid w:val="00B46407"/>
    <w:rsid w:val="00B5260F"/>
    <w:rsid w:val="00B64F57"/>
    <w:rsid w:val="00B71C11"/>
    <w:rsid w:val="00B94E42"/>
    <w:rsid w:val="00BA1FD7"/>
    <w:rsid w:val="00BA5B33"/>
    <w:rsid w:val="00BA7010"/>
    <w:rsid w:val="00BB1F6A"/>
    <w:rsid w:val="00BB353F"/>
    <w:rsid w:val="00BC09FA"/>
    <w:rsid w:val="00BC449B"/>
    <w:rsid w:val="00BD0DCB"/>
    <w:rsid w:val="00BD7CB0"/>
    <w:rsid w:val="00BD7CFF"/>
    <w:rsid w:val="00BE0495"/>
    <w:rsid w:val="00BF0D6B"/>
    <w:rsid w:val="00BF3758"/>
    <w:rsid w:val="00BF43E4"/>
    <w:rsid w:val="00BF56F2"/>
    <w:rsid w:val="00C023B9"/>
    <w:rsid w:val="00C045B3"/>
    <w:rsid w:val="00C13D3A"/>
    <w:rsid w:val="00C162F3"/>
    <w:rsid w:val="00C2314B"/>
    <w:rsid w:val="00C251ED"/>
    <w:rsid w:val="00C2674D"/>
    <w:rsid w:val="00C3393F"/>
    <w:rsid w:val="00C33E23"/>
    <w:rsid w:val="00C40071"/>
    <w:rsid w:val="00C4151E"/>
    <w:rsid w:val="00C43EC9"/>
    <w:rsid w:val="00C46158"/>
    <w:rsid w:val="00C4782C"/>
    <w:rsid w:val="00C50B54"/>
    <w:rsid w:val="00C63F05"/>
    <w:rsid w:val="00C70AF5"/>
    <w:rsid w:val="00C80DC3"/>
    <w:rsid w:val="00C82CB0"/>
    <w:rsid w:val="00C91C28"/>
    <w:rsid w:val="00C93910"/>
    <w:rsid w:val="00C94C38"/>
    <w:rsid w:val="00C957EC"/>
    <w:rsid w:val="00CA015A"/>
    <w:rsid w:val="00CA2A6C"/>
    <w:rsid w:val="00CA3319"/>
    <w:rsid w:val="00CB30CC"/>
    <w:rsid w:val="00CB73BA"/>
    <w:rsid w:val="00CC543F"/>
    <w:rsid w:val="00CE3843"/>
    <w:rsid w:val="00CF19B5"/>
    <w:rsid w:val="00CF2035"/>
    <w:rsid w:val="00D00033"/>
    <w:rsid w:val="00D0325B"/>
    <w:rsid w:val="00D1007D"/>
    <w:rsid w:val="00D140A9"/>
    <w:rsid w:val="00D31EFB"/>
    <w:rsid w:val="00D35E86"/>
    <w:rsid w:val="00D46A9E"/>
    <w:rsid w:val="00D50503"/>
    <w:rsid w:val="00D52DEC"/>
    <w:rsid w:val="00D5741D"/>
    <w:rsid w:val="00D63D23"/>
    <w:rsid w:val="00D76E38"/>
    <w:rsid w:val="00D84B70"/>
    <w:rsid w:val="00DA4517"/>
    <w:rsid w:val="00DA7D88"/>
    <w:rsid w:val="00DB0228"/>
    <w:rsid w:val="00DB02A0"/>
    <w:rsid w:val="00DB14BF"/>
    <w:rsid w:val="00DB25FB"/>
    <w:rsid w:val="00DB3ADC"/>
    <w:rsid w:val="00DD3B3C"/>
    <w:rsid w:val="00DF0955"/>
    <w:rsid w:val="00E132D7"/>
    <w:rsid w:val="00E22EE3"/>
    <w:rsid w:val="00E235B7"/>
    <w:rsid w:val="00E30703"/>
    <w:rsid w:val="00E322EB"/>
    <w:rsid w:val="00E35524"/>
    <w:rsid w:val="00E46B89"/>
    <w:rsid w:val="00E517DF"/>
    <w:rsid w:val="00E63BEE"/>
    <w:rsid w:val="00E7770B"/>
    <w:rsid w:val="00E81AA2"/>
    <w:rsid w:val="00E841F2"/>
    <w:rsid w:val="00E96A5A"/>
    <w:rsid w:val="00EA612C"/>
    <w:rsid w:val="00EB50ED"/>
    <w:rsid w:val="00EC3FA4"/>
    <w:rsid w:val="00EE5D38"/>
    <w:rsid w:val="00EF6910"/>
    <w:rsid w:val="00F10071"/>
    <w:rsid w:val="00F14A08"/>
    <w:rsid w:val="00F274DB"/>
    <w:rsid w:val="00F37691"/>
    <w:rsid w:val="00F42B57"/>
    <w:rsid w:val="00F51566"/>
    <w:rsid w:val="00F51861"/>
    <w:rsid w:val="00F5348D"/>
    <w:rsid w:val="00F54085"/>
    <w:rsid w:val="00F63177"/>
    <w:rsid w:val="00F64691"/>
    <w:rsid w:val="00F70802"/>
    <w:rsid w:val="00F70B85"/>
    <w:rsid w:val="00F73584"/>
    <w:rsid w:val="00F86A69"/>
    <w:rsid w:val="00F95D92"/>
    <w:rsid w:val="00F969EA"/>
    <w:rsid w:val="00FA046B"/>
    <w:rsid w:val="00FA13EE"/>
    <w:rsid w:val="00FB37F1"/>
    <w:rsid w:val="00FB72CF"/>
    <w:rsid w:val="00FC335B"/>
    <w:rsid w:val="00FD268D"/>
    <w:rsid w:val="00FD44DD"/>
    <w:rsid w:val="00FD5C34"/>
    <w:rsid w:val="00FE086E"/>
    <w:rsid w:val="00FE210C"/>
    <w:rsid w:val="00FE425B"/>
    <w:rsid w:val="00FE45E0"/>
    <w:rsid w:val="00FE6B14"/>
    <w:rsid w:val="00FE7126"/>
    <w:rsid w:val="00FF4980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723A50-8054-4194-8392-424A66DAE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qFormat/>
    <w:rsid w:val="00C63F0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0C487B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1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9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9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uiPriority w:val="35"/>
    <w:qFormat/>
    <w:rsid w:val="00D0325B"/>
    <w:rPr>
      <w:b/>
      <w:bCs/>
      <w:sz w:val="2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qFormat/>
    <w:rsid w:val="00431EDE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31EDE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4037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03760"/>
    <w:rPr>
      <w:rFonts w:ascii="Segoe UI" w:hAnsi="Segoe UI" w:cs="Segoe UI"/>
      <w:kern w:val="2"/>
      <w:sz w:val="18"/>
      <w:szCs w:val="18"/>
      <w:lang w:val="en-US" w:eastAsia="zh-CN"/>
    </w:rPr>
  </w:style>
  <w:style w:type="paragraph" w:styleId="NormalWeb">
    <w:name w:val="Normal (Web)"/>
    <w:basedOn w:val="Normal"/>
    <w:uiPriority w:val="99"/>
    <w:unhideWhenUsed/>
    <w:rsid w:val="000F09F3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lang w:val="en-GB" w:eastAsia="en-GB"/>
    </w:rPr>
  </w:style>
  <w:style w:type="paragraph" w:styleId="Revision">
    <w:name w:val="Revision"/>
    <w:hidden/>
    <w:uiPriority w:val="99"/>
    <w:semiHidden/>
    <w:rsid w:val="00401AFA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71C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3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238D3-2CA0-453F-A06F-C1F3DEFEE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Qualcomm Europe</Company>
  <LinksUpToDate>false</LinksUpToDate>
  <CharactersWithSpaces>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</dc:creator>
  <cp:keywords/>
  <dc:description/>
  <cp:lastModifiedBy>Wang, Xiaofeng</cp:lastModifiedBy>
  <cp:revision>2</cp:revision>
  <cp:lastPrinted>2008-10-09T18:58:00Z</cp:lastPrinted>
  <dcterms:created xsi:type="dcterms:W3CDTF">2015-04-14T20:53:00Z</dcterms:created>
  <dcterms:modified xsi:type="dcterms:W3CDTF">2015-04-14T20:53:00Z</dcterms:modified>
</cp:coreProperties>
</file>