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bookmarkStart w:id="0" w:name="_GoBack"/>
      <w:bookmarkEnd w:id="0"/>
    </w:p>
    <w:p w:rsidR="00817A16" w:rsidRPr="00817A16" w:rsidRDefault="00817A16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r>
        <w:rPr>
          <w:rFonts w:ascii="Calibri" w:eastAsia="Calibri" w:hAnsi="Calibri" w:cs="Times New Roman"/>
          <w:b/>
          <w:sz w:val="40"/>
          <w:szCs w:val="40"/>
        </w:rPr>
        <w:t>EC-GSM - Paging Group D</w:t>
      </w:r>
      <w:r w:rsidRPr="00817A16">
        <w:rPr>
          <w:rFonts w:ascii="Calibri" w:eastAsia="Calibri" w:hAnsi="Calibri" w:cs="Times New Roman"/>
          <w:b/>
          <w:sz w:val="40"/>
          <w:szCs w:val="40"/>
        </w:rPr>
        <w:t xml:space="preserve">etermination </w:t>
      </w:r>
    </w:p>
    <w:p w:rsidR="00E94C83" w:rsidRDefault="00E94C83" w:rsidP="008E67D4">
      <w:pPr>
        <w:pStyle w:val="Heading1"/>
        <w:rPr>
          <w:bCs/>
        </w:rPr>
      </w:pPr>
      <w:bookmarkStart w:id="1" w:name="_Toc360020214"/>
      <w:r w:rsidRPr="00DE6D20">
        <w:t>Introduction</w:t>
      </w:r>
      <w:r>
        <w:t xml:space="preserve"> </w:t>
      </w:r>
    </w:p>
    <w:bookmarkEnd w:id="1"/>
    <w:p w:rsidR="00AD562E" w:rsidRDefault="00AD562E" w:rsidP="00AD562E">
      <w:pPr>
        <w:pStyle w:val="BodyText"/>
      </w:pPr>
      <w:r>
        <w:t xml:space="preserve">At GERAN#62 a new feasibility study named </w:t>
      </w:r>
      <w:r w:rsidRPr="00061930">
        <w:rPr>
          <w:i/>
        </w:rPr>
        <w:t>Cellular System Support for Ultra Low Complexity and Low Throughput Internet of Things</w:t>
      </w:r>
      <w:r>
        <w:t xml:space="preserve">  </w:t>
      </w:r>
      <w:r>
        <w:fldChar w:fldCharType="begin"/>
      </w:r>
      <w:r>
        <w:instrText xml:space="preserve"> REF _Ref410174564 \r \h </w:instrText>
      </w:r>
      <w:r>
        <w:fldChar w:fldCharType="separate"/>
      </w:r>
      <w:r>
        <w:t>[5]</w:t>
      </w:r>
      <w:r>
        <w:fldChar w:fldCharType="end"/>
      </w:r>
      <w:r>
        <w:t xml:space="preserve"> (WI code: </w:t>
      </w:r>
      <w:r w:rsidRPr="003F6188">
        <w:t>FS_IoT_LC)</w:t>
      </w:r>
      <w:r>
        <w:t xml:space="preserve">  was approved.</w:t>
      </w:r>
    </w:p>
    <w:p w:rsidR="00AD562E" w:rsidRDefault="00AD562E" w:rsidP="00AD562E">
      <w:r w:rsidRPr="0076227A">
        <w:t>One of the main objectives is to increase the coverage compared to existing GPRS services</w:t>
      </w:r>
      <w:r>
        <w:t xml:space="preserve"> in which case logical channels need to operate supporting extended coverage, compared to current operation</w:t>
      </w:r>
      <w:r w:rsidRPr="0076227A">
        <w:t>.</w:t>
      </w:r>
      <w:r>
        <w:t xml:space="preserve"> These logical channels are referred to as EC-channels.</w:t>
      </w:r>
    </w:p>
    <w:p w:rsidR="000D2071" w:rsidRPr="006F215F" w:rsidRDefault="00AD562E" w:rsidP="006F215F">
      <w:pPr>
        <w:rPr>
          <w:lang w:val="en-GB"/>
        </w:rPr>
      </w:pPr>
      <w:r>
        <w:t>In this contribution the determination of paging groups on the EC-PCH channel is outlined.</w:t>
      </w:r>
    </w:p>
    <w:p w:rsidR="00450F1D" w:rsidRPr="00817A16" w:rsidRDefault="00835152" w:rsidP="008E67D4">
      <w:pPr>
        <w:pStyle w:val="Heading1"/>
      </w:pPr>
      <w:r>
        <w:t>Mapping of paging group</w:t>
      </w:r>
      <w:r w:rsidR="006F215F">
        <w:t>s</w:t>
      </w:r>
    </w:p>
    <w:p w:rsidR="00B7497F" w:rsidRDefault="003328D3" w:rsidP="00A56B1D">
      <w:r>
        <w:t>In order to avoid paging groups corresponding to diffe</w:t>
      </w:r>
      <w:r w:rsidR="00450F1D">
        <w:t>rent coverage classes being</w:t>
      </w:r>
      <w:r>
        <w:t xml:space="preserve"> </w:t>
      </w:r>
      <w:r w:rsidR="008E0354">
        <w:t xml:space="preserve"> spread out in time</w:t>
      </w:r>
      <w:r w:rsidR="007838E5">
        <w:t>,</w:t>
      </w:r>
      <w:r w:rsidR="008E0354">
        <w:t xml:space="preserve"> the </w:t>
      </w:r>
      <w:r w:rsidR="00384D10">
        <w:t>nomin</w:t>
      </w:r>
      <w:r w:rsidR="000C1DC3">
        <w:t>al paging groups supported within</w:t>
      </w:r>
      <w:r w:rsidR="00384D10">
        <w:t xml:space="preserve"> a given eDRX cycle </w:t>
      </w:r>
      <w:r w:rsidR="00FB4DC1">
        <w:t>for a given device (IMSI) are</w:t>
      </w:r>
      <w:r w:rsidR="004B27F9">
        <w:t xml:space="preserve"> always</w:t>
      </w:r>
      <w:r w:rsidR="000C1DC3">
        <w:t xml:space="preserve"> identified</w:t>
      </w:r>
      <w:r w:rsidR="004B27F9">
        <w:t>, irrespective of the coverage class the device belongs to,</w:t>
      </w:r>
      <w:r w:rsidR="00B7497F">
        <w:t xml:space="preserve"> </w:t>
      </w:r>
      <w:r w:rsidR="000C1DC3">
        <w:t xml:space="preserve">by </w:t>
      </w:r>
      <w:r w:rsidR="00384D10">
        <w:t xml:space="preserve">using </w:t>
      </w:r>
      <w:r w:rsidR="000C1DC3">
        <w:t xml:space="preserve">the EC-PCH block associated with </w:t>
      </w:r>
      <w:r w:rsidR="00450F1D">
        <w:t xml:space="preserve">DL </w:t>
      </w:r>
      <w:r w:rsidR="000C1DC3">
        <w:t>CC 1</w:t>
      </w:r>
      <w:r w:rsidR="00B7497F">
        <w:t xml:space="preserve"> (normal coverage)</w:t>
      </w:r>
      <w:r w:rsidR="007838E5">
        <w:t xml:space="preserve">. </w:t>
      </w:r>
    </w:p>
    <w:p w:rsidR="007838E5" w:rsidRDefault="00835152" w:rsidP="00835152">
      <w:r>
        <w:t xml:space="preserve">To determine the nominal paging group for higher coverage classes, </w:t>
      </w:r>
      <w:r w:rsidR="008E67D4">
        <w:t>for the same device and eDRX cycle</w:t>
      </w:r>
      <w:r>
        <w:t>, the</w:t>
      </w:r>
      <w:r w:rsidR="00801B46" w:rsidRPr="00957875">
        <w:t xml:space="preserve"> EC-PCH block</w:t>
      </w:r>
      <w:r w:rsidR="00957875" w:rsidRPr="00957875">
        <w:t xml:space="preserve"> </w:t>
      </w:r>
      <w:r>
        <w:t>of CCX  is always chosen to contain the EC-PCH block of CC1</w:t>
      </w:r>
      <w:r w:rsidR="008E67D4">
        <w:t>.</w:t>
      </w:r>
    </w:p>
    <w:p w:rsidR="007838E5" w:rsidRPr="007838E5" w:rsidRDefault="007838E5" w:rsidP="00A56B1D">
      <w:r>
        <w:t xml:space="preserve">For example, if the </w:t>
      </w:r>
      <w:r w:rsidR="00957875">
        <w:t xml:space="preserve">EC-PCH </w:t>
      </w:r>
      <w:r>
        <w:t>resources used on the EC-PCH for coverage class 5 is defined as EC-PCH</w:t>
      </w:r>
      <w:r w:rsidRPr="00957875">
        <w:rPr>
          <w:vertAlign w:val="subscript"/>
        </w:rPr>
        <w:t>CC5</w:t>
      </w:r>
      <w:r>
        <w:t>, then EC-</w:t>
      </w:r>
      <w:r w:rsidR="00835152">
        <w:t>PCH</w:t>
      </w:r>
      <w:r w:rsidR="00835152" w:rsidRPr="00957875">
        <w:rPr>
          <w:vertAlign w:val="subscript"/>
        </w:rPr>
        <w:t>CC</w:t>
      </w:r>
      <w:r w:rsidR="00835152">
        <w:rPr>
          <w:vertAlign w:val="subscript"/>
        </w:rPr>
        <w:t>1</w:t>
      </w:r>
      <w:r w:rsidR="00835152">
        <w:t xml:space="preserve"> </w:t>
      </w:r>
      <w:r>
        <w:t>shall be a subset of EC-PCH</w:t>
      </w:r>
      <w:r w:rsidRPr="00DF7782">
        <w:rPr>
          <w:vertAlign w:val="subscript"/>
        </w:rPr>
        <w:t>CC5</w:t>
      </w:r>
      <w:r>
        <w:t>.</w:t>
      </w:r>
    </w:p>
    <w:p w:rsidR="00801B46" w:rsidRDefault="00801B46" w:rsidP="00A56B1D">
      <w:r w:rsidRPr="00957875">
        <w:t xml:space="preserve">This is illustrated in the table below where an example of how to map the logical EC-PCH channel onto physical resource within the 51 multiframe structure is shown. As can be seen, the </w:t>
      </w:r>
      <w:r w:rsidR="00147DD7" w:rsidRPr="00957875">
        <w:t xml:space="preserve">EC-PCH </w:t>
      </w:r>
      <w:r w:rsidRPr="00957875">
        <w:t xml:space="preserve">block </w:t>
      </w:r>
      <w:r w:rsidR="00835152">
        <w:t xml:space="preserve">for CC1 is </w:t>
      </w:r>
      <w:r w:rsidRPr="00957875">
        <w:t>mapped onto TDMA frame 21 and 22</w:t>
      </w:r>
      <w:r w:rsidR="00835152">
        <w:t>, and</w:t>
      </w:r>
      <w:r w:rsidRPr="00957875">
        <w:t xml:space="preserve"> is include</w:t>
      </w:r>
      <w:r w:rsidR="00147DD7" w:rsidRPr="00957875">
        <w:t xml:space="preserve">d in all other EC-PCH blocks used for the nominal paging groups of all </w:t>
      </w:r>
      <w:r w:rsidRPr="00957875">
        <w:t>higher coverage class</w:t>
      </w:r>
      <w:r w:rsidR="00957875" w:rsidRPr="00957875">
        <w:t xml:space="preserve">es that could be used by the </w:t>
      </w:r>
      <w:r w:rsidR="00147DD7" w:rsidRPr="00957875">
        <w:t>device</w:t>
      </w:r>
      <w:r w:rsidR="00957875" w:rsidRPr="00957875">
        <w:t xml:space="preserve"> for a given eDRX cycle</w:t>
      </w:r>
      <w:r w:rsidRPr="00957875">
        <w:t xml:space="preserve">. This example is also illustrated in </w:t>
      </w:r>
      <w:r w:rsidRPr="00957875">
        <w:fldChar w:fldCharType="begin"/>
      </w:r>
      <w:r w:rsidRPr="00957875">
        <w:instrText xml:space="preserve"> REF _Ref409859061 \h </w:instrText>
      </w:r>
      <w:r w:rsidRPr="00957875">
        <w:fldChar w:fldCharType="separate"/>
      </w:r>
      <w:r w:rsidRPr="00957875">
        <w:t xml:space="preserve">Figure </w:t>
      </w:r>
      <w:r w:rsidRPr="00957875">
        <w:rPr>
          <w:noProof/>
        </w:rPr>
        <w:t>2</w:t>
      </w:r>
      <w:r w:rsidRPr="00957875">
        <w:fldChar w:fldCharType="end"/>
      </w:r>
      <w:r w:rsidRPr="00957875">
        <w:t xml:space="preserve">. </w:t>
      </w:r>
    </w:p>
    <w:p w:rsidR="00835152" w:rsidRPr="00957875" w:rsidRDefault="00835152" w:rsidP="00A56B1D">
      <w:r>
        <w:t xml:space="preserve">For more information on the mapping of logical channels onto physical channels, see </w:t>
      </w:r>
      <w:r>
        <w:fldChar w:fldCharType="begin"/>
      </w:r>
      <w:r>
        <w:instrText xml:space="preserve"> REF _Ref410175340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:rsidR="00801B46" w:rsidRDefault="00801B46" w:rsidP="006F215F">
      <w:pPr>
        <w:pStyle w:val="Caption"/>
        <w:keepNext/>
      </w:pPr>
      <w:r>
        <w:lastRenderedPageBreak/>
        <w:t xml:space="preserve">Table </w:t>
      </w:r>
      <w:r w:rsidR="00094B99">
        <w:fldChar w:fldCharType="begin"/>
      </w:r>
      <w:r w:rsidR="00094B99">
        <w:instrText xml:space="preserve"> SEQ Table \* ARABIC </w:instrText>
      </w:r>
      <w:r w:rsidR="00094B99">
        <w:fldChar w:fldCharType="separate"/>
      </w:r>
      <w:r>
        <w:rPr>
          <w:noProof/>
        </w:rPr>
        <w:t>1</w:t>
      </w:r>
      <w:r w:rsidR="00094B99">
        <w:rPr>
          <w:noProof/>
        </w:rPr>
        <w:fldChar w:fldCharType="end"/>
      </w:r>
      <w:r>
        <w:t xml:space="preserve">. Example of EC-PCH </w:t>
      </w:r>
      <w:r w:rsidR="00835152">
        <w:t xml:space="preserve">CC1 </w:t>
      </w:r>
      <w:r>
        <w:t>block and corresponding EC-PCH blocks of other coverage classes (CCs).</w:t>
      </w:r>
    </w:p>
    <w:tbl>
      <w:tblPr>
        <w:tblW w:w="66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1258"/>
        <w:gridCol w:w="983"/>
        <w:gridCol w:w="3004"/>
      </w:tblGrid>
      <w:tr w:rsidR="00801B46" w:rsidRPr="001418C2" w:rsidTr="00147DD7">
        <w:trPr>
          <w:jc w:val="center"/>
        </w:trPr>
        <w:tc>
          <w:tcPr>
            <w:tcW w:w="959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Channel designation</w:t>
            </w:r>
          </w:p>
        </w:tc>
        <w:tc>
          <w:tcPr>
            <w:tcW w:w="425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Dir.</w:t>
            </w: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Repeat length </w:t>
            </w:r>
            <w:r w:rsidRPr="00147DD7">
              <w:rPr>
                <w:rFonts w:eastAsia="SimSun"/>
                <w:sz w:val="12"/>
                <w:szCs w:val="16"/>
              </w:rPr>
              <w:br/>
              <w:t>TDMA frames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Coverage </w:t>
            </w:r>
            <w:r w:rsidRPr="00147DD7">
              <w:rPr>
                <w:rFonts w:eastAsia="SimSun"/>
                <w:sz w:val="12"/>
                <w:szCs w:val="16"/>
              </w:rPr>
              <w:br/>
              <w:t>class</w:t>
            </w:r>
          </w:p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(CC)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Interleaved block </w:t>
            </w:r>
            <w:r w:rsidRPr="00147DD7">
              <w:rPr>
                <w:rFonts w:eastAsia="SimSun"/>
                <w:sz w:val="12"/>
                <w:szCs w:val="16"/>
              </w:rPr>
              <w:br/>
              <w:t>TDMA frame mapping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 w:val="restart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EC-PCH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D</w:t>
            </w: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1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B0(19,20),</w:t>
            </w: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B1(21,22)</w:t>
            </w:r>
            <w:r w:rsidRPr="00147DD7">
              <w:rPr>
                <w:rFonts w:eastAsia="SimSun"/>
                <w:sz w:val="12"/>
                <w:szCs w:val="16"/>
              </w:rPr>
              <w:t>,…,B15(49,50)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2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B0(19,…,22)</w:t>
            </w:r>
            <w:r w:rsidRPr="00147DD7">
              <w:rPr>
                <w:rFonts w:eastAsia="SimSun"/>
                <w:sz w:val="12"/>
                <w:szCs w:val="16"/>
              </w:rPr>
              <w:t>,B1(23,…,26),…,B7(47,…,50)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3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B0(19,…,26)</w:t>
            </w:r>
            <w:r w:rsidRPr="00147DD7">
              <w:rPr>
                <w:rFonts w:eastAsia="SimSun"/>
                <w:sz w:val="12"/>
                <w:szCs w:val="16"/>
              </w:rPr>
              <w:t>,B1(27,…,34),…,B3(43,…,50)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4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B0(19,…,34)</w:t>
            </w:r>
            <w:r w:rsidRPr="00147DD7">
              <w:rPr>
                <w:rFonts w:eastAsia="SimSun"/>
                <w:sz w:val="12"/>
                <w:szCs w:val="16"/>
              </w:rPr>
              <w:t>, B1(35,…,50)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102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 + 51N)</w:t>
            </w:r>
            <w:r w:rsidRPr="00147DD7">
              <w:rPr>
                <w:rFonts w:eastAsia="SimSun"/>
                <w:sz w:val="12"/>
                <w:szCs w:val="16"/>
              </w:rPr>
              <w:t>, B1(35,…,50 + 51N), N=0,1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 w:rsidP="00E90B6B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204</w:t>
            </w:r>
          </w:p>
        </w:tc>
        <w:tc>
          <w:tcPr>
            <w:tcW w:w="983" w:type="dxa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6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 w:rsidP="00E90B6B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 + 51N)</w:t>
            </w:r>
            <w:r w:rsidRPr="00147DD7">
              <w:rPr>
                <w:rFonts w:eastAsia="SimSun"/>
                <w:sz w:val="12"/>
                <w:szCs w:val="16"/>
              </w:rPr>
              <w:t>, B1(35,…,50 + 51N), N=0,1,2,3</w:t>
            </w:r>
          </w:p>
        </w:tc>
      </w:tr>
    </w:tbl>
    <w:p w:rsidR="00801B46" w:rsidRDefault="00801B46" w:rsidP="00A56B1D"/>
    <w:p w:rsidR="000C1DC3" w:rsidRPr="00957875" w:rsidRDefault="00B27279" w:rsidP="00A56B1D">
      <w:r w:rsidRPr="00957875">
        <w:t>By this it is ensured that the</w:t>
      </w:r>
      <w:r w:rsidR="000C1DC3" w:rsidRPr="00957875">
        <w:t xml:space="preserve"> </w:t>
      </w:r>
      <w:r w:rsidR="00871A3B" w:rsidRPr="00957875">
        <w:t xml:space="preserve">set of </w:t>
      </w:r>
      <w:r w:rsidR="000C1DC3" w:rsidRPr="00957875">
        <w:t xml:space="preserve">EC-PCH </w:t>
      </w:r>
      <w:r w:rsidRPr="00957875">
        <w:t>block</w:t>
      </w:r>
      <w:r w:rsidR="00871A3B" w:rsidRPr="00957875">
        <w:t>s of interest</w:t>
      </w:r>
      <w:r w:rsidRPr="00957875">
        <w:t xml:space="preserve"> </w:t>
      </w:r>
      <w:r w:rsidR="00871A3B" w:rsidRPr="00957875">
        <w:t>for any given coverage class will always be</w:t>
      </w:r>
      <w:r w:rsidRPr="00957875">
        <w:t xml:space="preserve"> </w:t>
      </w:r>
      <w:r w:rsidR="00384D10" w:rsidRPr="00957875">
        <w:t>located within 4 51-multiframes</w:t>
      </w:r>
      <w:r w:rsidR="00871A3B" w:rsidRPr="00957875">
        <w:t xml:space="preserve"> (i.e. </w:t>
      </w:r>
      <w:r w:rsidR="00080C76" w:rsidRPr="00957875">
        <w:t>the maximum duration of the paging group of the worse coverage class</w:t>
      </w:r>
      <w:r w:rsidR="008E15CC" w:rsidRPr="00957875">
        <w:t>)</w:t>
      </w:r>
      <w:r w:rsidRPr="00957875">
        <w:t xml:space="preserve"> </w:t>
      </w:r>
      <w:r w:rsidR="000C1DC3" w:rsidRPr="00957875">
        <w:t xml:space="preserve">from the EC-PCH </w:t>
      </w:r>
      <w:r w:rsidR="00835152">
        <w:t xml:space="preserve">CC1 </w:t>
      </w:r>
      <w:r w:rsidR="000C1DC3" w:rsidRPr="00957875">
        <w:t>block</w:t>
      </w:r>
    </w:p>
    <w:p w:rsidR="009D3ED4" w:rsidRDefault="009D3ED4" w:rsidP="00A56B1D">
      <w:r>
        <w:t xml:space="preserve">Furthermore, a device changing its coverage class from a higher coverage class to a lower coverage class does not necessarily have to indicate this to the network since it is always ensured that if a network pages a device according to the higher coverage class, the lower coverage class (which the device would monitor if the coverage class </w:t>
      </w:r>
      <w:r w:rsidR="008E67D4">
        <w:t>was</w:t>
      </w:r>
      <w:r w:rsidR="008E15CC">
        <w:t xml:space="preserve"> reduced</w:t>
      </w:r>
      <w:r>
        <w:t xml:space="preserve">) will always be included in a higher coverage class </w:t>
      </w:r>
      <w:r w:rsidR="008E67D4">
        <w:t xml:space="preserve">paging message </w:t>
      </w:r>
      <w:r>
        <w:t>transmission</w:t>
      </w:r>
      <w:r w:rsidR="008E67D4">
        <w:t>.</w:t>
      </w:r>
    </w:p>
    <w:p w:rsidR="00910500" w:rsidRPr="00DE6D20" w:rsidRDefault="00910500" w:rsidP="008E67D4">
      <w:pPr>
        <w:pStyle w:val="Heading3"/>
      </w:pPr>
      <w:bookmarkStart w:id="2" w:name="_Ref409859192"/>
      <w:r>
        <w:t>Paging Group Determination</w:t>
      </w:r>
      <w:bookmarkEnd w:id="2"/>
    </w:p>
    <w:p w:rsidR="00753431" w:rsidRPr="00036180" w:rsidRDefault="00753431" w:rsidP="00753431">
      <w:r w:rsidRPr="00036180">
        <w:t xml:space="preserve">When sending a paging request to a BSS, the SGSN includes </w:t>
      </w:r>
      <w:r w:rsidR="00351139">
        <w:t xml:space="preserve">an indication of the eDRX cycle, DL CC and IMSI associated with the </w:t>
      </w:r>
      <w:r w:rsidRPr="00036180">
        <w:t xml:space="preserve">target device thereby allowing the BSS to determine </w:t>
      </w:r>
      <w:r w:rsidR="0096551B">
        <w:t xml:space="preserve">the </w:t>
      </w:r>
      <w:r w:rsidR="00351139">
        <w:t xml:space="preserve">next occurrence of the </w:t>
      </w:r>
      <w:r w:rsidRPr="00036180">
        <w:t xml:space="preserve">nominal paging group </w:t>
      </w:r>
      <w:r w:rsidR="00351139">
        <w:t>for that</w:t>
      </w:r>
      <w:r w:rsidR="0096551B">
        <w:t xml:space="preserve"> device </w:t>
      </w:r>
      <w:r w:rsidR="00351139">
        <w:t>within its</w:t>
      </w:r>
      <w:r w:rsidR="0096551B">
        <w:t xml:space="preserve"> </w:t>
      </w:r>
      <w:r w:rsidRPr="00036180">
        <w:t>eDRX cycle as follows: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  <w:t>N is t</w:t>
      </w:r>
      <w:r w:rsidR="00753431" w:rsidRPr="00871A3B">
        <w:rPr>
          <w:sz w:val="22"/>
          <w:szCs w:val="22"/>
        </w:rPr>
        <w:t xml:space="preserve">he number of paging groups </w:t>
      </w:r>
      <w:r w:rsidRPr="00871A3B">
        <w:rPr>
          <w:sz w:val="22"/>
          <w:szCs w:val="22"/>
        </w:rPr>
        <w:t xml:space="preserve">corresponding to a given DL CC </w:t>
      </w:r>
      <w:r w:rsidR="00753431" w:rsidRPr="00871A3B">
        <w:rPr>
          <w:sz w:val="22"/>
          <w:szCs w:val="22"/>
        </w:rPr>
        <w:t xml:space="preserve">within a given eDRX cycle </w:t>
      </w:r>
      <w:r w:rsidRPr="00871A3B">
        <w:rPr>
          <w:sz w:val="22"/>
          <w:szCs w:val="22"/>
        </w:rPr>
        <w:t xml:space="preserve">and </w:t>
      </w:r>
      <w:r w:rsidR="00753431" w:rsidRPr="00871A3B">
        <w:rPr>
          <w:sz w:val="22"/>
          <w:szCs w:val="22"/>
        </w:rPr>
        <w:t xml:space="preserve">is determined based on </w:t>
      </w:r>
      <w:r w:rsidR="00CD68BC" w:rsidRPr="00871A3B">
        <w:rPr>
          <w:sz w:val="22"/>
          <w:szCs w:val="22"/>
        </w:rPr>
        <w:t xml:space="preserve">EXTENDED_DRX_MFRMS, </w:t>
      </w:r>
      <w:r w:rsidR="0032318F" w:rsidRPr="00871A3B">
        <w:rPr>
          <w:sz w:val="22"/>
          <w:szCs w:val="22"/>
        </w:rPr>
        <w:t>EC_</w:t>
      </w:r>
      <w:r w:rsidR="00753431" w:rsidRPr="00871A3B">
        <w:rPr>
          <w:sz w:val="22"/>
          <w:szCs w:val="22"/>
        </w:rPr>
        <w:t xml:space="preserve">PCH_BLKS_MFRM, </w:t>
      </w:r>
      <w:r w:rsidR="00CD68BC" w:rsidRPr="00871A3B">
        <w:rPr>
          <w:sz w:val="22"/>
          <w:szCs w:val="22"/>
        </w:rPr>
        <w:t>and CC_EC_PCH_BLKS</w:t>
      </w:r>
      <w:r w:rsidRPr="00871A3B">
        <w:rPr>
          <w:sz w:val="22"/>
          <w:szCs w:val="22"/>
        </w:rPr>
        <w:t xml:space="preserve"> where:</w:t>
      </w:r>
      <w:r w:rsidR="00CD68BC" w:rsidRPr="00871A3B">
        <w:rPr>
          <w:sz w:val="22"/>
          <w:szCs w:val="22"/>
        </w:rPr>
        <w:t xml:space="preserve"> </w:t>
      </w:r>
    </w:p>
    <w:p w:rsidR="00CD68BC" w:rsidRPr="00871A3B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>EXTENDED_DRX_MFRMS is the number of 51-multiframes per eDRX cycle determined as per Table 1 below</w:t>
      </w:r>
      <w:r w:rsidR="00C56816" w:rsidRPr="00871A3B">
        <w:rPr>
          <w:sz w:val="22"/>
          <w:szCs w:val="22"/>
        </w:rPr>
        <w:t>.</w:t>
      </w:r>
    </w:p>
    <w:p w:rsidR="00351139" w:rsidRPr="00871A3B" w:rsidRDefault="0032318F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 xml:space="preserve">EC_PCH_BLKS_MFRM </w:t>
      </w:r>
      <w:r w:rsidR="00351139" w:rsidRPr="00871A3B">
        <w:rPr>
          <w:sz w:val="22"/>
          <w:szCs w:val="22"/>
        </w:rPr>
        <w:t xml:space="preserve">indicates the number of EC-PCH blocks (i.e. </w:t>
      </w:r>
      <w:r w:rsidR="00CD68BC" w:rsidRPr="00871A3B">
        <w:rPr>
          <w:sz w:val="22"/>
          <w:szCs w:val="22"/>
        </w:rPr>
        <w:t xml:space="preserve">the number of </w:t>
      </w:r>
      <w:r w:rsidRPr="00871A3B">
        <w:rPr>
          <w:sz w:val="22"/>
          <w:szCs w:val="22"/>
        </w:rPr>
        <w:t xml:space="preserve">2 bursts </w:t>
      </w:r>
      <w:r w:rsidR="00351139" w:rsidRPr="00871A3B">
        <w:rPr>
          <w:sz w:val="22"/>
          <w:szCs w:val="22"/>
        </w:rPr>
        <w:t>blocks) per 51-multiframe. For EC-GS</w:t>
      </w:r>
      <w:r w:rsidR="00CD68BC" w:rsidRPr="00871A3B">
        <w:rPr>
          <w:sz w:val="22"/>
          <w:szCs w:val="22"/>
        </w:rPr>
        <w:t xml:space="preserve">M this can be fixed at 16 which is </w:t>
      </w:r>
      <w:r w:rsidR="00351139" w:rsidRPr="00871A3B">
        <w:rPr>
          <w:sz w:val="22"/>
          <w:szCs w:val="22"/>
        </w:rPr>
        <w:t xml:space="preserve">the equivalent of the legacy PCH_BLKS_MFRM parameter indicating 8 PCH </w:t>
      </w:r>
      <w:r w:rsidR="00CD68BC" w:rsidRPr="00871A3B">
        <w:rPr>
          <w:sz w:val="22"/>
          <w:szCs w:val="22"/>
        </w:rPr>
        <w:t>blocks per 51-multiframe</w:t>
      </w:r>
      <w:r w:rsidR="00351139" w:rsidRPr="00871A3B">
        <w:rPr>
          <w:sz w:val="22"/>
          <w:szCs w:val="22"/>
        </w:rPr>
        <w:t>.</w:t>
      </w:r>
    </w:p>
    <w:p w:rsidR="00CD68BC" w:rsidRPr="00871A3B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>CC_EC_PCH_BLKS is the number of EC-PCH blocks required for a given DL CC (where the number of blind repetitions required for any given DL CC is pre-defined by the specifications).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lastRenderedPageBreak/>
        <w:t>-</w:t>
      </w:r>
      <w:r w:rsidRPr="00871A3B">
        <w:rPr>
          <w:sz w:val="22"/>
          <w:szCs w:val="22"/>
        </w:rPr>
        <w:tab/>
      </w:r>
      <w:r w:rsidR="00CD68BC" w:rsidRPr="00871A3B">
        <w:rPr>
          <w:sz w:val="22"/>
          <w:szCs w:val="22"/>
        </w:rPr>
        <w:t xml:space="preserve">The set of </w:t>
      </w:r>
      <w:r w:rsidR="00753431" w:rsidRPr="00871A3B">
        <w:rPr>
          <w:sz w:val="22"/>
          <w:szCs w:val="22"/>
        </w:rPr>
        <w:t>eDRX cycle length</w:t>
      </w:r>
      <w:r w:rsidR="00CD68BC" w:rsidRPr="00871A3B">
        <w:rPr>
          <w:sz w:val="22"/>
          <w:szCs w:val="22"/>
        </w:rPr>
        <w:t>s identified by Table 1 is selected such that each member of the set</w:t>
      </w:r>
      <w:r w:rsidR="00E70D1F" w:rsidRPr="00871A3B">
        <w:rPr>
          <w:sz w:val="22"/>
          <w:szCs w:val="22"/>
        </w:rPr>
        <w:t xml:space="preserve"> occur</w:t>
      </w:r>
      <w:r w:rsidR="00CD68BC" w:rsidRPr="00871A3B">
        <w:rPr>
          <w:sz w:val="22"/>
          <w:szCs w:val="22"/>
        </w:rPr>
        <w:t>s</w:t>
      </w:r>
      <w:r w:rsidR="00753431" w:rsidRPr="00871A3B">
        <w:rPr>
          <w:sz w:val="22"/>
          <w:szCs w:val="22"/>
        </w:rPr>
        <w:t xml:space="preserve"> an integral number of time</w:t>
      </w:r>
      <w:r w:rsidR="00CD68BC" w:rsidRPr="00871A3B">
        <w:rPr>
          <w:sz w:val="22"/>
          <w:szCs w:val="22"/>
        </w:rPr>
        <w:t>s within the full TDMA FN space.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  <w:t xml:space="preserve">N  </w:t>
      </w:r>
      <w:r w:rsidR="00753431" w:rsidRPr="00871A3B">
        <w:rPr>
          <w:sz w:val="22"/>
          <w:szCs w:val="22"/>
        </w:rPr>
        <w:t>= (</w:t>
      </w:r>
      <w:r w:rsidR="00CD68BC" w:rsidRPr="00871A3B">
        <w:rPr>
          <w:sz w:val="22"/>
          <w:szCs w:val="22"/>
        </w:rPr>
        <w:t>EC_PCH_BLKS_MFRM</w:t>
      </w:r>
      <w:r w:rsidR="00753431" w:rsidRPr="00871A3B">
        <w:rPr>
          <w:sz w:val="22"/>
          <w:szCs w:val="22"/>
        </w:rPr>
        <w:t xml:space="preserve"> x </w:t>
      </w:r>
      <w:r w:rsidR="00E70D1F" w:rsidRPr="00871A3B">
        <w:rPr>
          <w:sz w:val="22"/>
          <w:szCs w:val="22"/>
        </w:rPr>
        <w:t>EXTENDED_DRX_MFRMS)/CC</w:t>
      </w:r>
      <w:r w:rsidR="00BB40D8" w:rsidRPr="00871A3B">
        <w:rPr>
          <w:sz w:val="22"/>
          <w:szCs w:val="22"/>
        </w:rPr>
        <w:t>_EC</w:t>
      </w:r>
      <w:r w:rsidR="00ED6A80" w:rsidRPr="00871A3B">
        <w:rPr>
          <w:sz w:val="22"/>
          <w:szCs w:val="22"/>
        </w:rPr>
        <w:t>_</w:t>
      </w:r>
      <w:r w:rsidR="00BB40D8" w:rsidRPr="00871A3B">
        <w:rPr>
          <w:sz w:val="22"/>
          <w:szCs w:val="22"/>
        </w:rPr>
        <w:t>PCH_BLKS</w:t>
      </w:r>
      <w:r w:rsidR="00753431" w:rsidRPr="00871A3B">
        <w:rPr>
          <w:sz w:val="22"/>
          <w:szCs w:val="22"/>
        </w:rPr>
        <w:t>.</w:t>
      </w:r>
      <w:r w:rsidR="00ED6A80" w:rsidRPr="00871A3B">
        <w:rPr>
          <w:sz w:val="22"/>
          <w:szCs w:val="22"/>
        </w:rPr>
        <w:t xml:space="preserve"> The </w:t>
      </w:r>
      <w:r w:rsidRPr="00871A3B">
        <w:rPr>
          <w:sz w:val="22"/>
          <w:szCs w:val="22"/>
        </w:rPr>
        <w:t xml:space="preserve">EC-PCH </w:t>
      </w:r>
      <w:r w:rsidR="00835152">
        <w:rPr>
          <w:sz w:val="22"/>
          <w:szCs w:val="22"/>
        </w:rPr>
        <w:t xml:space="preserve">CC1 </w:t>
      </w:r>
      <w:r w:rsidRPr="00871A3B">
        <w:rPr>
          <w:sz w:val="22"/>
          <w:szCs w:val="22"/>
        </w:rPr>
        <w:t xml:space="preserve">block for a device using a given eDRX cycle </w:t>
      </w:r>
      <w:r w:rsidR="00ED6A80" w:rsidRPr="00871A3B">
        <w:rPr>
          <w:sz w:val="22"/>
          <w:szCs w:val="22"/>
        </w:rPr>
        <w:t>is determined based on where</w:t>
      </w:r>
      <w:r w:rsidRPr="00871A3B">
        <w:rPr>
          <w:sz w:val="22"/>
          <w:szCs w:val="22"/>
        </w:rPr>
        <w:t xml:space="preserve"> the nominal paging group </w:t>
      </w:r>
      <w:r w:rsidR="00ED6A80" w:rsidRPr="00871A3B">
        <w:rPr>
          <w:sz w:val="22"/>
          <w:szCs w:val="22"/>
        </w:rPr>
        <w:t>occur</w:t>
      </w:r>
      <w:r w:rsidRPr="00871A3B">
        <w:rPr>
          <w:sz w:val="22"/>
          <w:szCs w:val="22"/>
        </w:rPr>
        <w:t>s</w:t>
      </w:r>
      <w:r w:rsidR="00ED6A80" w:rsidRPr="00871A3B">
        <w:rPr>
          <w:sz w:val="22"/>
          <w:szCs w:val="22"/>
        </w:rPr>
        <w:t xml:space="preserve"> </w:t>
      </w:r>
      <w:r w:rsidRPr="00871A3B">
        <w:rPr>
          <w:sz w:val="22"/>
          <w:szCs w:val="22"/>
        </w:rPr>
        <w:t xml:space="preserve">for DL </w:t>
      </w:r>
      <w:r w:rsidR="00ED6A80" w:rsidRPr="00871A3B">
        <w:rPr>
          <w:sz w:val="22"/>
          <w:szCs w:val="22"/>
        </w:rPr>
        <w:t>CC = 1 (</w:t>
      </w:r>
      <w:r w:rsidRPr="00871A3B">
        <w:rPr>
          <w:sz w:val="22"/>
          <w:szCs w:val="22"/>
        </w:rPr>
        <w:t xml:space="preserve">i.e. </w:t>
      </w:r>
      <w:r w:rsidR="00ED6A80" w:rsidRPr="00871A3B">
        <w:rPr>
          <w:sz w:val="22"/>
          <w:szCs w:val="22"/>
        </w:rPr>
        <w:t>CC_EC_PCH_BLKS = 1)</w:t>
      </w:r>
    </w:p>
    <w:p w:rsidR="00753431" w:rsidRPr="00871A3B" w:rsidRDefault="00753431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r w:rsidR="00C56816" w:rsidRPr="00871A3B">
        <w:rPr>
          <w:sz w:val="22"/>
          <w:szCs w:val="22"/>
        </w:rPr>
        <w:t xml:space="preserve">EC-PCH </w:t>
      </w:r>
      <w:r w:rsidR="00835152">
        <w:rPr>
          <w:sz w:val="22"/>
          <w:szCs w:val="22"/>
        </w:rPr>
        <w:t xml:space="preserve">CC1 </w:t>
      </w:r>
      <w:r w:rsidR="00122854" w:rsidRPr="00871A3B">
        <w:rPr>
          <w:sz w:val="22"/>
          <w:szCs w:val="22"/>
        </w:rPr>
        <w:t xml:space="preserve">block = </w:t>
      </w:r>
      <w:r w:rsidRPr="00871A3B">
        <w:rPr>
          <w:sz w:val="22"/>
          <w:szCs w:val="22"/>
        </w:rPr>
        <w:t>mod (IMSI, N)</w:t>
      </w:r>
      <w:r w:rsidR="00122854" w:rsidRPr="00871A3B">
        <w:rPr>
          <w:sz w:val="22"/>
          <w:szCs w:val="22"/>
        </w:rPr>
        <w:t xml:space="preserve"> where N = (16 x EXTENDED_DRX_MFRMS)/1</w:t>
      </w:r>
      <w:r w:rsidRPr="00871A3B">
        <w:rPr>
          <w:sz w:val="22"/>
          <w:szCs w:val="22"/>
        </w:rPr>
        <w:t>.</w:t>
      </w:r>
    </w:p>
    <w:p w:rsidR="00E70D1F" w:rsidRPr="0091722A" w:rsidRDefault="00E70D1F" w:rsidP="00E70D1F">
      <w:pPr>
        <w:pStyle w:val="Caption"/>
      </w:pPr>
      <w:r>
        <w:t xml:space="preserve">Table </w:t>
      </w:r>
      <w:r w:rsidR="00094B99">
        <w:fldChar w:fldCharType="begin"/>
      </w:r>
      <w:r w:rsidR="00094B99">
        <w:instrText xml:space="preserve"> SEQ Table \* ARABIC </w:instrText>
      </w:r>
      <w:r w:rsidR="00094B99">
        <w:fldChar w:fldCharType="separate"/>
      </w:r>
      <w:r w:rsidR="00801B46">
        <w:rPr>
          <w:noProof/>
        </w:rPr>
        <w:t>2</w:t>
      </w:r>
      <w:r w:rsidR="00094B99">
        <w:rPr>
          <w:noProof/>
        </w:rPr>
        <w:fldChar w:fldCharType="end"/>
      </w:r>
      <w:r>
        <w:t>. Set of eDRX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998"/>
        <w:gridCol w:w="1530"/>
        <w:gridCol w:w="3150"/>
        <w:gridCol w:w="1710"/>
      </w:tblGrid>
      <w:tr w:rsidR="00E70D1F" w:rsidRPr="0091722A" w:rsidTr="00CD68BC">
        <w:tc>
          <w:tcPr>
            <w:tcW w:w="199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70D1F" w:rsidRPr="0091722A" w:rsidRDefault="00CD68BC" w:rsidP="0035643C">
            <w:pPr>
              <w:pStyle w:val="BodyText"/>
              <w:jc w:val="center"/>
            </w:pPr>
            <w:r>
              <w:t>e</w:t>
            </w:r>
            <w:r w:rsidR="00E70D1F">
              <w:t>DRX</w:t>
            </w:r>
            <w:r w:rsidR="00E70D1F" w:rsidRPr="0091722A">
              <w:t xml:space="preserve"> Cycle Value (</w:t>
            </w:r>
            <w:r w:rsidR="00E70D1F">
              <w:t>EXTENDED_DRX</w:t>
            </w:r>
            <w:r w:rsidR="00E70D1F" w:rsidRPr="0091722A">
              <w:t>)</w:t>
            </w: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 xml:space="preserve"> </w:t>
            </w:r>
            <w:r w:rsidR="00CD68BC">
              <w:t>Target e</w:t>
            </w:r>
            <w:r>
              <w:t>DRX Cycle Length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 w:themeFill="accent1" w:themeFillTint="66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 xml:space="preserve">Number of </w:t>
            </w:r>
            <w:r w:rsidRPr="0091722A">
              <w:t xml:space="preserve">51-MF per </w:t>
            </w:r>
            <w:r w:rsidR="00CD68BC">
              <w:t>e</w:t>
            </w:r>
            <w:r>
              <w:t>DRX</w:t>
            </w:r>
            <w:r w:rsidRPr="0091722A">
              <w:t xml:space="preserve"> Cycle (</w:t>
            </w:r>
            <w:r>
              <w:t>EXTENDED_DRX</w:t>
            </w:r>
            <w:r w:rsidRPr="0091722A">
              <w:t>_MFRMS)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B8CCE4" w:themeFill="accent1" w:themeFillTint="66"/>
          </w:tcPr>
          <w:p w:rsidR="00E70D1F" w:rsidRPr="0091722A" w:rsidRDefault="00CD68BC" w:rsidP="0035643C">
            <w:pPr>
              <w:pStyle w:val="BodyText"/>
              <w:jc w:val="center"/>
            </w:pPr>
            <w:r>
              <w:t>e</w:t>
            </w:r>
            <w:r w:rsidR="00E70D1F">
              <w:t>DRX</w:t>
            </w:r>
            <w:r w:rsidR="00E70D1F" w:rsidRPr="0091722A">
              <w:t xml:space="preserve"> Cycles per TDMA FN Space</w:t>
            </w:r>
          </w:p>
        </w:tc>
      </w:tr>
      <w:tr w:rsidR="00E70D1F" w:rsidRPr="0091722A" w:rsidTr="00CD68BC">
        <w:tc>
          <w:tcPr>
            <w:tcW w:w="1998" w:type="dxa"/>
            <w:tcBorders>
              <w:top w:val="double" w:sz="4" w:space="0" w:color="auto"/>
            </w:tcBorders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~30 seconds</w:t>
            </w:r>
          </w:p>
        </w:tc>
        <w:tc>
          <w:tcPr>
            <w:tcW w:w="3150" w:type="dxa"/>
            <w:tcBorders>
              <w:top w:val="double" w:sz="4" w:space="0" w:color="auto"/>
            </w:tcBorders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128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416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~60 seconds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256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208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2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~2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512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104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3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~4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1024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52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32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~8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2048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26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E70D1F" w:rsidRPr="0091722A" w:rsidTr="00CD68BC">
        <w:tc>
          <w:tcPr>
            <w:tcW w:w="1998" w:type="dxa"/>
          </w:tcPr>
          <w:p w:rsidR="00E70D1F" w:rsidRPr="0091722A" w:rsidRDefault="00E70D1F" w:rsidP="0035643C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53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~16 minutes</w:t>
            </w:r>
          </w:p>
        </w:tc>
        <w:tc>
          <w:tcPr>
            <w:tcW w:w="315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4096</w:t>
            </w:r>
          </w:p>
        </w:tc>
        <w:tc>
          <w:tcPr>
            <w:tcW w:w="1710" w:type="dxa"/>
          </w:tcPr>
          <w:p w:rsidR="00E70D1F" w:rsidRPr="0091722A" w:rsidRDefault="00E70D1F" w:rsidP="0035643C">
            <w:pPr>
              <w:pStyle w:val="BodyText"/>
              <w:jc w:val="center"/>
            </w:pPr>
            <w:r w:rsidRPr="0091722A">
              <w:t>13</w:t>
            </w:r>
          </w:p>
        </w:tc>
      </w:tr>
      <w:tr w:rsidR="00E70D1F" w:rsidTr="00CD68BC">
        <w:tc>
          <w:tcPr>
            <w:tcW w:w="1998" w:type="dxa"/>
          </w:tcPr>
          <w:p w:rsidR="00E70D1F" w:rsidRPr="0000515D" w:rsidRDefault="00E70D1F" w:rsidP="0035643C">
            <w:pPr>
              <w:pStyle w:val="BodyText"/>
              <w:jc w:val="center"/>
            </w:pPr>
            <w:r w:rsidRPr="0000515D">
              <w:t>8</w:t>
            </w:r>
          </w:p>
        </w:tc>
        <w:tc>
          <w:tcPr>
            <w:tcW w:w="1530" w:type="dxa"/>
          </w:tcPr>
          <w:p w:rsidR="00E70D1F" w:rsidRPr="0000515D" w:rsidRDefault="00E70D1F" w:rsidP="0035643C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3150" w:type="dxa"/>
          </w:tcPr>
          <w:p w:rsidR="00E70D1F" w:rsidRPr="0000515D" w:rsidRDefault="00E70D1F" w:rsidP="0035643C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1710" w:type="dxa"/>
          </w:tcPr>
          <w:p w:rsidR="00E70D1F" w:rsidRPr="0000515D" w:rsidRDefault="00E70D1F" w:rsidP="0035643C">
            <w:pPr>
              <w:pStyle w:val="BodyText"/>
              <w:jc w:val="center"/>
            </w:pPr>
            <w:r w:rsidRPr="0000515D">
              <w:t>8</w:t>
            </w:r>
          </w:p>
        </w:tc>
      </w:tr>
      <w:tr w:rsidR="00E70D1F" w:rsidTr="00CD68BC">
        <w:tc>
          <w:tcPr>
            <w:tcW w:w="1998" w:type="dxa"/>
          </w:tcPr>
          <w:p w:rsidR="00E70D1F" w:rsidRPr="0000515D" w:rsidRDefault="00E70D1F" w:rsidP="0035643C">
            <w:pPr>
              <w:pStyle w:val="BodyText"/>
              <w:jc w:val="center"/>
            </w:pPr>
            <w:r>
              <w:t>9</w:t>
            </w:r>
          </w:p>
        </w:tc>
        <w:tc>
          <w:tcPr>
            <w:tcW w:w="1530" w:type="dxa"/>
          </w:tcPr>
          <w:p w:rsidR="00E70D1F" w:rsidRPr="0000515D" w:rsidRDefault="00E70D1F" w:rsidP="0035643C">
            <w:pPr>
              <w:pStyle w:val="BodyText"/>
              <w:jc w:val="center"/>
            </w:pPr>
            <w:r>
              <w:t>~52 minutes</w:t>
            </w:r>
          </w:p>
        </w:tc>
        <w:tc>
          <w:tcPr>
            <w:tcW w:w="3150" w:type="dxa"/>
          </w:tcPr>
          <w:p w:rsidR="00E70D1F" w:rsidRPr="0000515D" w:rsidRDefault="00E70D1F" w:rsidP="0035643C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1710" w:type="dxa"/>
          </w:tcPr>
          <w:p w:rsidR="00E70D1F" w:rsidRPr="0000515D" w:rsidRDefault="00E70D1F" w:rsidP="0035643C">
            <w:pPr>
              <w:pStyle w:val="BodyText"/>
              <w:jc w:val="center"/>
            </w:pPr>
            <w:r>
              <w:t>4</w:t>
            </w:r>
          </w:p>
        </w:tc>
      </w:tr>
      <w:tr w:rsidR="00E70D1F" w:rsidTr="0035643C">
        <w:tc>
          <w:tcPr>
            <w:tcW w:w="8388" w:type="dxa"/>
            <w:gridSpan w:val="4"/>
          </w:tcPr>
          <w:p w:rsidR="00E70D1F" w:rsidRDefault="00E70D1F" w:rsidP="0035643C">
            <w:pPr>
              <w:pStyle w:val="BodyText"/>
              <w:jc w:val="left"/>
            </w:pPr>
            <w:r>
              <w:t>Note 1: 53248  51-multiframes occur with the TDMA FN space (</w:t>
            </w:r>
            <w:r w:rsidRPr="00974723">
              <w:t>2715648 TDMA frames</w:t>
            </w:r>
            <w:r>
              <w:t>)</w:t>
            </w:r>
          </w:p>
          <w:p w:rsidR="00E70D1F" w:rsidRDefault="00E70D1F" w:rsidP="0035643C">
            <w:pPr>
              <w:pStyle w:val="BodyText"/>
              <w:jc w:val="left"/>
            </w:pPr>
            <w:r>
              <w:t>Note 2: All remaining EXTENDED_DRX values are reserved</w:t>
            </w:r>
          </w:p>
        </w:tc>
      </w:tr>
    </w:tbl>
    <w:p w:rsidR="00ED6A80" w:rsidRDefault="00ED6A80" w:rsidP="004B1D5A">
      <w:pPr>
        <w:tabs>
          <w:tab w:val="num" w:pos="720"/>
        </w:tabs>
      </w:pPr>
    </w:p>
    <w:p w:rsidR="004B1D5A" w:rsidRPr="008463EB" w:rsidRDefault="004B1D5A" w:rsidP="004B1D5A">
      <w:pPr>
        <w:tabs>
          <w:tab w:val="num" w:pos="720"/>
        </w:tabs>
      </w:pPr>
      <w:r w:rsidRPr="008463EB">
        <w:t>Example</w:t>
      </w:r>
      <w:r>
        <w:t xml:space="preserve"> 1</w:t>
      </w:r>
      <w:r w:rsidRPr="008463EB">
        <w:t>:</w:t>
      </w:r>
    </w:p>
    <w:p w:rsidR="004B1D5A" w:rsidRDefault="004B1D5A" w:rsidP="007031B5">
      <w:pPr>
        <w:pStyle w:val="B1"/>
        <w:numPr>
          <w:ilvl w:val="0"/>
          <w:numId w:val="17"/>
        </w:numPr>
      </w:pPr>
      <w:r>
        <w:t xml:space="preserve">IMSI </w:t>
      </w:r>
      <w:r w:rsidRPr="00036180">
        <w:t>= 00000000  10001001  00110000  00000001 = 4796417</w:t>
      </w:r>
      <w:r w:rsidR="00122854">
        <w:t xml:space="preserve"> and </w:t>
      </w:r>
      <w:r>
        <w:t>EXTENDED_DRX</w:t>
      </w:r>
      <w:r w:rsidRPr="0091722A">
        <w:t>_MFRMS</w:t>
      </w:r>
      <w:r w:rsidR="00122854">
        <w:t xml:space="preserve"> = 6656 (i.e. the eDRX cycle ~ 26 minutes)</w:t>
      </w:r>
    </w:p>
    <w:p w:rsidR="004B1D5A" w:rsidRDefault="00122854" w:rsidP="004B1D5A">
      <w:pPr>
        <w:pStyle w:val="B1"/>
        <w:numPr>
          <w:ilvl w:val="0"/>
          <w:numId w:val="17"/>
        </w:numPr>
      </w:pPr>
      <w:r>
        <w:t>N</w:t>
      </w:r>
      <w:r w:rsidR="008E15CC">
        <w:t xml:space="preserve"> = 16 * 6656 </w:t>
      </w:r>
      <w:r w:rsidR="004B1D5A">
        <w:t>= 106496</w:t>
      </w:r>
    </w:p>
    <w:p w:rsidR="004B1D5A" w:rsidRDefault="00530FD2" w:rsidP="004B1D5A">
      <w:pPr>
        <w:pStyle w:val="B1"/>
        <w:numPr>
          <w:ilvl w:val="0"/>
          <w:numId w:val="17"/>
        </w:numPr>
      </w:pPr>
      <w:r w:rsidRPr="006F215F">
        <w:t>CC1</w:t>
      </w:r>
      <w:r w:rsidR="00122854" w:rsidRPr="006F215F">
        <w:t xml:space="preserve"> Nominal Paging</w:t>
      </w:r>
      <w:r w:rsidR="00122854">
        <w:t xml:space="preserve"> Group</w:t>
      </w:r>
      <w:r w:rsidR="004B1D5A">
        <w:t xml:space="preserve"> = </w:t>
      </w:r>
      <w:r w:rsidR="00F312A6">
        <w:t>mod (IMSI, 106496</w:t>
      </w:r>
      <w:r w:rsidR="00122854">
        <w:t xml:space="preserve">) = 4097 which </w:t>
      </w:r>
      <w:r w:rsidR="004B1D5A">
        <w:t>occurs in the 4098</w:t>
      </w:r>
      <w:r w:rsidR="004B1D5A" w:rsidRPr="00D90995">
        <w:rPr>
          <w:vertAlign w:val="superscript"/>
        </w:rPr>
        <w:t>th</w:t>
      </w:r>
      <w:r w:rsidR="00122854">
        <w:t xml:space="preserve"> EC-PCH block of the eDRX cycle (i.e.</w:t>
      </w:r>
      <w:r w:rsidR="008C669D">
        <w:t xml:space="preserve"> in the 2</w:t>
      </w:r>
      <w:r w:rsidR="008C669D" w:rsidRPr="008C669D">
        <w:rPr>
          <w:vertAlign w:val="superscript"/>
        </w:rPr>
        <w:t>nd</w:t>
      </w:r>
      <w:r w:rsidR="008C669D">
        <w:t xml:space="preserve"> EC-PCH block in 51-multiframe #257</w:t>
      </w:r>
    </w:p>
    <w:p w:rsidR="004B1D5A" w:rsidRDefault="00122854" w:rsidP="00454A54">
      <w:pPr>
        <w:pStyle w:val="B1"/>
        <w:numPr>
          <w:ilvl w:val="0"/>
          <w:numId w:val="17"/>
        </w:numPr>
      </w:pPr>
      <w:r>
        <w:t>The nominal paging groups associated with other DL CC for the same IMSI and eDRX cycle length are as shown in Figure 1 (e.g. the nominal paging group for DL CC 2 occurs in the 1</w:t>
      </w:r>
      <w:r w:rsidRPr="00122854">
        <w:rPr>
          <w:vertAlign w:val="superscript"/>
        </w:rPr>
        <w:t>st</w:t>
      </w:r>
      <w:r>
        <w:t xml:space="preserve"> and 2</w:t>
      </w:r>
      <w:r w:rsidRPr="00122854">
        <w:rPr>
          <w:vertAlign w:val="superscript"/>
        </w:rPr>
        <w:t>nd</w:t>
      </w:r>
      <w:r>
        <w:t xml:space="preserve"> EC-PCH </w:t>
      </w:r>
      <w:r w:rsidR="00150D76">
        <w:t xml:space="preserve">blocks </w:t>
      </w:r>
      <w:r>
        <w:t>of 51-multiframe #257</w:t>
      </w:r>
      <w:r w:rsidR="00150D76">
        <w:t>)</w:t>
      </w:r>
    </w:p>
    <w:p w:rsidR="00545C66" w:rsidRDefault="00545C66" w:rsidP="004B1D5A">
      <w:pPr>
        <w:pStyle w:val="B1"/>
      </w:pPr>
      <w:r>
        <w:rPr>
          <w:noProof/>
        </w:rPr>
        <w:lastRenderedPageBreak/>
        <w:drawing>
          <wp:inline distT="0" distB="0" distL="0" distR="0" wp14:anchorId="28F9AD2C" wp14:editId="0D75461B">
            <wp:extent cx="5199173" cy="116541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252" cy="1165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31B5" w:rsidRDefault="00801B46" w:rsidP="00500D27">
      <w:pPr>
        <w:pStyle w:val="Caption"/>
      </w:pPr>
      <w:bookmarkStart w:id="3" w:name="_Ref40985906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 w:rsidR="007031B5">
        <w:t xml:space="preserve"> – Coverage Class Specific Paging Groups per Example 1</w:t>
      </w:r>
    </w:p>
    <w:p w:rsidR="00E33A78" w:rsidRDefault="00E33A78" w:rsidP="00E02C0B">
      <w:pPr>
        <w:tabs>
          <w:tab w:val="num" w:pos="720"/>
        </w:tabs>
      </w:pPr>
      <w:r>
        <w:t>As can be seen in Figure 1</w:t>
      </w:r>
      <w:r w:rsidR="00835152">
        <w:t>,</w:t>
      </w:r>
      <w:r>
        <w:t xml:space="preserve"> using this method for establish</w:t>
      </w:r>
      <w:r w:rsidR="008E67D4">
        <w:t>ing</w:t>
      </w:r>
      <w:r>
        <w:t xml:space="preserve"> </w:t>
      </w:r>
      <w:r w:rsidR="008E67D4">
        <w:t xml:space="preserve">DL </w:t>
      </w:r>
      <w:r>
        <w:t>CC specific nominal paging groups for a given eDRX cycle ensure</w:t>
      </w:r>
      <w:r w:rsidR="008E67D4">
        <w:t>s</w:t>
      </w:r>
      <w:r>
        <w:t xml:space="preserve"> that for a given IMSI the nominal paging groups associated with all possible DL CC will fall within 4 51-multiframes of the</w:t>
      </w:r>
      <w:r w:rsidR="00384115">
        <w:t xml:space="preserve"> </w:t>
      </w:r>
      <w:r>
        <w:t>EC-</w:t>
      </w:r>
      <w:r w:rsidRPr="006F215F">
        <w:t xml:space="preserve">PCH </w:t>
      </w:r>
      <w:r w:rsidR="00530FD2" w:rsidRPr="006F215F">
        <w:t xml:space="preserve">CC1 </w:t>
      </w:r>
      <w:r w:rsidRPr="006F215F">
        <w:t>block.</w:t>
      </w:r>
      <w:r>
        <w:t xml:space="preserve"> As such, if a device </w:t>
      </w:r>
      <w:r w:rsidR="008E67D4">
        <w:t>triggers a cell update e.g. 5</w:t>
      </w:r>
      <w:r w:rsidR="005366E2">
        <w:t xml:space="preserve"> seconds prior to the next occurrence of its nominal paging group the BSS will still be able to send a page in time for it to be received by the device monitoring according to its DL CC incremented by 1 level. With the ability to update its DL CC as late as a few seconds before the next occurrence of its nominal paging group, a device will </w:t>
      </w:r>
      <w:r w:rsidR="008A2B01">
        <w:t xml:space="preserve">thereby </w:t>
      </w:r>
      <w:r w:rsidR="005366E2">
        <w:t xml:space="preserve">experience a substantially reduced probability of missing a page </w:t>
      </w:r>
      <w:r w:rsidR="008A2B01">
        <w:t>due to experiencing DL CC degradation since the last time it performed a RAU procedure.</w:t>
      </w:r>
    </w:p>
    <w:p w:rsidR="00E94C83" w:rsidRPr="000B4B73" w:rsidRDefault="00835152" w:rsidP="008E67D4">
      <w:pPr>
        <w:pStyle w:val="Heading1"/>
        <w:rPr>
          <w:bCs/>
        </w:rPr>
      </w:pPr>
      <w:r>
        <w:t>Conclusion</w:t>
      </w:r>
    </w:p>
    <w:p w:rsidR="00BE6E3C" w:rsidRDefault="00BE6E3C" w:rsidP="00BE6E3C">
      <w:pPr>
        <w:rPr>
          <w:lang w:val="en-GB"/>
        </w:rPr>
      </w:pPr>
      <w:r>
        <w:rPr>
          <w:lang w:val="en-GB"/>
        </w:rPr>
        <w:t>I</w:t>
      </w:r>
      <w:r w:rsidR="005366E2">
        <w:rPr>
          <w:lang w:val="en-GB"/>
        </w:rPr>
        <w:t>n the interest of supporting dynami</w:t>
      </w:r>
      <w:r w:rsidR="00805759">
        <w:rPr>
          <w:lang w:val="en-GB"/>
        </w:rPr>
        <w:t>c coverage class updates whereby</w:t>
      </w:r>
      <w:r w:rsidR="005366E2">
        <w:rPr>
          <w:lang w:val="en-GB"/>
        </w:rPr>
        <w:t xml:space="preserve"> the paging periodicity </w:t>
      </w:r>
      <w:r w:rsidR="00454A54">
        <w:rPr>
          <w:lang w:val="en-GB"/>
        </w:rPr>
        <w:t xml:space="preserve">requirement of ensuring </w:t>
      </w:r>
      <w:r w:rsidR="00805759">
        <w:rPr>
          <w:lang w:val="en-GB"/>
        </w:rPr>
        <w:t xml:space="preserve">1 page </w:t>
      </w:r>
      <w:r w:rsidR="005366E2">
        <w:rPr>
          <w:lang w:val="en-GB"/>
        </w:rPr>
        <w:t xml:space="preserve">per eDRX cycle is maintained, the </w:t>
      </w:r>
      <w:r w:rsidR="00162B88">
        <w:rPr>
          <w:lang w:val="en-GB"/>
        </w:rPr>
        <w:t>paging group determination</w:t>
      </w:r>
      <w:r w:rsidR="005366E2">
        <w:rPr>
          <w:lang w:val="en-GB"/>
        </w:rPr>
        <w:t xml:space="preserve"> described above is </w:t>
      </w:r>
      <w:r w:rsidR="00162B88">
        <w:rPr>
          <w:lang w:val="en-GB"/>
        </w:rPr>
        <w:t xml:space="preserve">used </w:t>
      </w:r>
      <w:r w:rsidR="005366E2">
        <w:rPr>
          <w:lang w:val="en-GB"/>
        </w:rPr>
        <w:t xml:space="preserve">for EC-GSM devices. </w:t>
      </w:r>
    </w:p>
    <w:p w:rsidR="00E94C83" w:rsidRDefault="00E94C83" w:rsidP="008E67D4">
      <w:pPr>
        <w:pStyle w:val="Heading1"/>
      </w:pPr>
      <w:r>
        <w:t>References</w:t>
      </w:r>
    </w:p>
    <w:bookmarkStart w:id="4" w:name="_Ref406656717"/>
    <w:p w:rsidR="002A1B11" w:rsidRDefault="00E94C83" w:rsidP="00E94C83">
      <w:pPr>
        <w:pStyle w:val="Reference"/>
        <w:tabs>
          <w:tab w:val="num" w:pos="360"/>
        </w:tabs>
        <w:ind w:left="360" w:hanging="360"/>
      </w:pPr>
      <w:r>
        <w:fldChar w:fldCharType="begin"/>
      </w:r>
      <w:r>
        <w:instrText xml:space="preserve"> HYPERLINK "ftp://www.3gpp.org/tsg_geran/TSG_GERAN/GERAN_64_San_Francisco/Docs/GP-140894.zip" </w:instrText>
      </w:r>
      <w:r>
        <w:fldChar w:fldCharType="separate"/>
      </w:r>
      <w:r>
        <w:rPr>
          <w:rStyle w:val="Hyperlink"/>
        </w:rPr>
        <w:t>GP-140894</w:t>
      </w:r>
      <w:r>
        <w:fldChar w:fldCharType="end"/>
      </w:r>
      <w:r w:rsidRPr="00C63329">
        <w:t xml:space="preserve">, </w:t>
      </w:r>
      <w:r w:rsidR="00E62964">
        <w:t>“</w:t>
      </w:r>
      <w:r>
        <w:t>Supporting eDRX for uPoD</w:t>
      </w:r>
      <w:r w:rsidR="00E62964">
        <w:t>”</w:t>
      </w:r>
      <w:r>
        <w:t xml:space="preserve">, </w:t>
      </w:r>
      <w:r w:rsidR="00E62964">
        <w:t xml:space="preserve">source </w:t>
      </w:r>
      <w:r>
        <w:t>Ericsson</w:t>
      </w:r>
      <w:r w:rsidR="00E62964">
        <w:t xml:space="preserve">. </w:t>
      </w:r>
      <w:r>
        <w:t>TSG GERAN #64</w:t>
      </w:r>
      <w:bookmarkEnd w:id="4"/>
    </w:p>
    <w:bookmarkStart w:id="5" w:name="_Ref406657087"/>
    <w:p w:rsidR="00E31566" w:rsidRDefault="007B76CC" w:rsidP="0014753C">
      <w:pPr>
        <w:pStyle w:val="Reference"/>
      </w:pPr>
      <w:r>
        <w:fldChar w:fldCharType="begin"/>
      </w:r>
      <w:r>
        <w:instrText xml:space="preserve"> HYPERLINK "http://www.3gpp.org/ftp/tsg_geran/TSG_GERAN/GERAN_64_San_Francisco/Docs/GP-140895.zip" </w:instrText>
      </w:r>
      <w:r>
        <w:fldChar w:fldCharType="separate"/>
      </w:r>
      <w:r w:rsidR="00E31566" w:rsidRPr="007B76CC">
        <w:rPr>
          <w:rStyle w:val="Hyperlink"/>
        </w:rPr>
        <w:t>GP</w:t>
      </w:r>
      <w:r w:rsidR="00E62964" w:rsidRPr="007B76CC">
        <w:rPr>
          <w:rStyle w:val="Hyperlink"/>
        </w:rPr>
        <w:t>-</w:t>
      </w:r>
      <w:r w:rsidR="00E31566" w:rsidRPr="007B76CC">
        <w:rPr>
          <w:rStyle w:val="Hyperlink"/>
        </w:rPr>
        <w:t>140895</w:t>
      </w:r>
      <w:r>
        <w:fldChar w:fldCharType="end"/>
      </w:r>
      <w:r w:rsidR="00E31566">
        <w:t xml:space="preserve">, </w:t>
      </w:r>
      <w:r w:rsidR="00E62964">
        <w:t>“Realizing eDRX for uPOD”, source Ericsson. TSG GERAN#64.</w:t>
      </w:r>
      <w:bookmarkEnd w:id="5"/>
    </w:p>
    <w:p w:rsidR="008F54FB" w:rsidRDefault="00094B99" w:rsidP="008F54FB">
      <w:pPr>
        <w:pStyle w:val="Reference"/>
      </w:pPr>
      <w:hyperlink r:id="rId10" w:history="1">
        <w:r w:rsidR="00384115">
          <w:rPr>
            <w:rStyle w:val="Hyperlink"/>
          </w:rPr>
          <w:t>GPC150080</w:t>
        </w:r>
      </w:hyperlink>
      <w:r w:rsidR="005519A5">
        <w:t>, “EC-GSM –R</w:t>
      </w:r>
      <w:r w:rsidR="008F54FB">
        <w:t xml:space="preserve">ealizing </w:t>
      </w:r>
      <w:r w:rsidR="008F54FB" w:rsidRPr="00EC566B">
        <w:t>eDRX</w:t>
      </w:r>
      <w:r w:rsidR="008F54FB">
        <w:t xml:space="preserve"> Using TDMA FN</w:t>
      </w:r>
      <w:r w:rsidR="005519A5">
        <w:t xml:space="preserve"> Information”, source Ericsson, </w:t>
      </w:r>
      <w:r w:rsidR="008F54FB">
        <w:t>CIoT Ad Hoc#1.</w:t>
      </w:r>
    </w:p>
    <w:bookmarkStart w:id="6" w:name="_Ref410172435"/>
    <w:p w:rsidR="00404558" w:rsidRDefault="00384115" w:rsidP="00404558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"ftp://www.3gpp.org/tsg_geran/TSG_GERAN/AD-HOCs/Ad-hoc_GERAN1-GERAN2_CIoT/Docs/GPC150077.zip" </w:instrText>
      </w:r>
      <w:r>
        <w:fldChar w:fldCharType="separate"/>
      </w:r>
      <w:r>
        <w:rPr>
          <w:rStyle w:val="Hyperlink"/>
        </w:rPr>
        <w:t>GPC150077</w:t>
      </w:r>
      <w:r>
        <w:fldChar w:fldCharType="end"/>
      </w:r>
      <w:r w:rsidR="00404558">
        <w:t>, “EC-GSM –Dynamic Coverage Class Update”, source Ericsson, CIoT Ad Hoc#1.</w:t>
      </w:r>
      <w:bookmarkEnd w:id="6"/>
    </w:p>
    <w:bookmarkStart w:id="7" w:name="_Ref397674406"/>
    <w:bookmarkStart w:id="8" w:name="_Ref410174564"/>
    <w:p w:rsidR="00404558" w:rsidRDefault="00AD562E" w:rsidP="008F54FB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(FS_IoT_LC) (revision of GP-140418)</w:t>
      </w:r>
      <w:r>
        <w:t xml:space="preserve">”, source </w:t>
      </w:r>
      <w:r w:rsidRPr="001E1433">
        <w:rPr>
          <w:u w:val="single"/>
        </w:rPr>
        <w:t>VODAFONE</w:t>
      </w:r>
      <w:r w:rsidRPr="005D3FC4">
        <w:t xml:space="preserve"> Group Plc.</w:t>
      </w:r>
      <w:r>
        <w:t xml:space="preserve"> GERAN#62</w:t>
      </w:r>
      <w:bookmarkEnd w:id="7"/>
      <w:r>
        <w:t>.</w:t>
      </w:r>
      <w:bookmarkEnd w:id="8"/>
    </w:p>
    <w:bookmarkStart w:id="9" w:name="_Ref410175340"/>
    <w:p w:rsidR="00835152" w:rsidRPr="006F215F" w:rsidRDefault="00384115" w:rsidP="008F54FB">
      <w:pPr>
        <w:pStyle w:val="Reference"/>
        <w:rPr>
          <w:rFonts w:cstheme="minorHAnsi"/>
        </w:rPr>
      </w:pPr>
      <w:r w:rsidRPr="006F215F">
        <w:rPr>
          <w:rFonts w:cstheme="minorHAnsi"/>
          <w:color w:val="000000"/>
        </w:rPr>
        <w:fldChar w:fldCharType="begin"/>
      </w:r>
      <w:r w:rsidRPr="006F215F">
        <w:rPr>
          <w:rFonts w:cstheme="minorHAnsi"/>
          <w:color w:val="000000"/>
        </w:rPr>
        <w:instrText xml:space="preserve"> HYPERLINK "ftp://www.3gpp.org/tsg_geran/TSG_GERAN/AD-HOCs/Ad-hoc_GERAN1-GERAN2_CIoT/Docs/GPC150055.zip" </w:instrText>
      </w:r>
      <w:r w:rsidRPr="006F215F">
        <w:rPr>
          <w:rFonts w:cstheme="minorHAnsi"/>
          <w:color w:val="000000"/>
        </w:rPr>
        <w:fldChar w:fldCharType="separate"/>
      </w:r>
      <w:r w:rsidRPr="006F215F">
        <w:rPr>
          <w:rStyle w:val="Hyperlink"/>
          <w:rFonts w:cstheme="minorHAnsi"/>
        </w:rPr>
        <w:t>GPC150055</w:t>
      </w:r>
      <w:r w:rsidRPr="006F215F">
        <w:rPr>
          <w:rFonts w:cstheme="minorHAnsi"/>
          <w:color w:val="000000"/>
        </w:rPr>
        <w:fldChar w:fldCharType="end"/>
      </w:r>
      <w:r w:rsidR="00835152" w:rsidRPr="006F215F">
        <w:rPr>
          <w:rFonts w:cstheme="minorHAnsi"/>
          <w:color w:val="000000"/>
        </w:rPr>
        <w:t>, “</w:t>
      </w:r>
      <w:r w:rsidR="00835152" w:rsidRPr="006F215F">
        <w:rPr>
          <w:rFonts w:cstheme="minorHAnsi"/>
        </w:rPr>
        <w:t>EC-GSM, Mapping of logical channels onto physical channels</w:t>
      </w:r>
      <w:r w:rsidR="00835152" w:rsidRPr="006F215F">
        <w:rPr>
          <w:rFonts w:cstheme="minorHAnsi"/>
          <w:color w:val="000000"/>
        </w:rPr>
        <w:t>”, source Ericsson LM. GERAN Ad Hoc#1 on FS_IoT_LC.</w:t>
      </w:r>
      <w:bookmarkEnd w:id="9"/>
    </w:p>
    <w:sectPr w:rsidR="00835152" w:rsidRPr="006F215F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99" w:rsidRDefault="00094B99">
      <w:r>
        <w:separator/>
      </w:r>
    </w:p>
  </w:endnote>
  <w:endnote w:type="continuationSeparator" w:id="0">
    <w:p w:rsidR="00094B99" w:rsidRDefault="0009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A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3A0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3A0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99" w:rsidRDefault="00094B99">
      <w:r>
        <w:separator/>
      </w:r>
    </w:p>
  </w:footnote>
  <w:footnote w:type="continuationSeparator" w:id="0">
    <w:p w:rsidR="00094B99" w:rsidRDefault="00094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05759" w:rsidRDefault="00E90B6B" w:rsidP="00EA60C1">
    <w:pPr>
      <w:pStyle w:val="Header"/>
    </w:pPr>
    <w:r w:rsidRPr="00805759">
      <w:t>3GPP TSG GERAN Ad Hoc#1 on LS_IoT_LC</w:t>
    </w:r>
    <w:r w:rsidRPr="00805759">
      <w:tab/>
    </w:r>
    <w:r w:rsidRPr="00805759">
      <w:tab/>
      <w:t>Tdoc GP</w:t>
    </w:r>
    <w:r>
      <w:t>C150</w:t>
    </w:r>
    <w:r w:rsidRPr="00805759">
      <w:rPr>
        <w:highlight w:val="yellow"/>
      </w:rPr>
      <w:t>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05759" w:rsidRDefault="00E90B6B" w:rsidP="0015360B">
    <w:pPr>
      <w:pStyle w:val="Header"/>
      <w:spacing w:after="0"/>
    </w:pPr>
    <w:r w:rsidRPr="00805759">
      <w:t>3GPP TSG GERAN Ad Hoc#1 on FS_IoT_LC</w:t>
    </w:r>
    <w:r w:rsidRPr="00805759">
      <w:tab/>
    </w:r>
    <w:r w:rsidRPr="00805759">
      <w:tab/>
    </w:r>
    <w:r w:rsidRPr="005519A5">
      <w:t>Tdoc GPC150</w:t>
    </w:r>
    <w:r w:rsidR="005519A5" w:rsidRPr="005519A5">
      <w:t>086</w:t>
    </w:r>
  </w:p>
  <w:p w:rsidR="00E90B6B" w:rsidRPr="00F171F5" w:rsidRDefault="00E90B6B" w:rsidP="0015360B">
    <w:pPr>
      <w:pStyle w:val="Header"/>
      <w:spacing w:after="0"/>
      <w:rPr>
        <w:lang w:val="it-IT"/>
      </w:rPr>
    </w:pPr>
    <w:r>
      <w:rPr>
        <w:lang w:val="it-IT"/>
      </w:rPr>
      <w:t>Sofia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817A16" w:rsidRPr="00793122">
      <w:t>1.4.3.1, 2.4.7</w:t>
    </w:r>
  </w:p>
  <w:p w:rsidR="00E90B6B" w:rsidRPr="00264773" w:rsidRDefault="00E90B6B" w:rsidP="0015360B">
    <w:pPr>
      <w:pStyle w:val="Header"/>
      <w:spacing w:after="0"/>
      <w:rPr>
        <w:snapToGrid w:val="0"/>
      </w:rPr>
    </w:pPr>
    <w:r>
      <w:t>2</w:t>
    </w:r>
    <w:r w:rsidRPr="00805759">
      <w:rPr>
        <w:vertAlign w:val="superscript"/>
      </w:rPr>
      <w:t>nd</w:t>
    </w:r>
    <w:r>
      <w:t xml:space="preserve"> – 5</w:t>
    </w:r>
    <w:r w:rsidRPr="00805759">
      <w:rPr>
        <w:vertAlign w:val="superscript"/>
      </w:rPr>
      <w:t>th</w:t>
    </w:r>
    <w:r>
      <w:t xml:space="preserve">  February</w:t>
    </w:r>
    <w:r w:rsidRPr="00264773">
      <w:t xml:space="preserve">, </w:t>
    </w:r>
    <w:r>
      <w:t>2014</w:t>
    </w:r>
    <w:r w:rsidRPr="00264773">
      <w:br/>
    </w:r>
    <w:bookmarkStart w:id="10" w:name="_Ref515183447"/>
    <w:bookmarkEnd w:id="10"/>
    <w:r w:rsidRPr="00264773">
      <w:t xml:space="preserve">Source: </w:t>
    </w:r>
    <w:r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131F"/>
    <w:multiLevelType w:val="multilevel"/>
    <w:tmpl w:val="F0E4F2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9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17"/>
  </w:num>
  <w:num w:numId="10">
    <w:abstractNumId w:val="20"/>
  </w:num>
  <w:num w:numId="11">
    <w:abstractNumId w:val="9"/>
  </w:num>
  <w:num w:numId="12">
    <w:abstractNumId w:val="8"/>
  </w:num>
  <w:num w:numId="13">
    <w:abstractNumId w:val="0"/>
  </w:num>
  <w:num w:numId="14">
    <w:abstractNumId w:val="21"/>
  </w:num>
  <w:num w:numId="15">
    <w:abstractNumId w:val="19"/>
  </w:num>
  <w:num w:numId="16">
    <w:abstractNumId w:val="6"/>
  </w:num>
  <w:num w:numId="17">
    <w:abstractNumId w:val="14"/>
  </w:num>
  <w:num w:numId="18">
    <w:abstractNumId w:val="22"/>
  </w:num>
  <w:num w:numId="19">
    <w:abstractNumId w:val="18"/>
  </w:num>
  <w:num w:numId="20">
    <w:abstractNumId w:val="12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EE4"/>
    <w:rsid w:val="00036FBD"/>
    <w:rsid w:val="0004021D"/>
    <w:rsid w:val="000432B9"/>
    <w:rsid w:val="000476F1"/>
    <w:rsid w:val="00051509"/>
    <w:rsid w:val="00051711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BA8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58B9"/>
    <w:rsid w:val="0011683C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4049"/>
    <w:rsid w:val="001449B8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B42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3278"/>
    <w:rsid w:val="003040F0"/>
    <w:rsid w:val="003063A5"/>
    <w:rsid w:val="00306DF5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28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F66"/>
    <w:rsid w:val="003902E4"/>
    <w:rsid w:val="00390603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4C95"/>
    <w:rsid w:val="003E5917"/>
    <w:rsid w:val="003E6521"/>
    <w:rsid w:val="003E660C"/>
    <w:rsid w:val="003E730A"/>
    <w:rsid w:val="003F08A4"/>
    <w:rsid w:val="003F0E0F"/>
    <w:rsid w:val="003F10F2"/>
    <w:rsid w:val="003F3140"/>
    <w:rsid w:val="003F32B0"/>
    <w:rsid w:val="003F3F4C"/>
    <w:rsid w:val="003F655D"/>
    <w:rsid w:val="00400BC0"/>
    <w:rsid w:val="00401B4C"/>
    <w:rsid w:val="00402ED5"/>
    <w:rsid w:val="004038C3"/>
    <w:rsid w:val="00403A4E"/>
    <w:rsid w:val="00404558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C8B"/>
    <w:rsid w:val="004B7181"/>
    <w:rsid w:val="004C38D3"/>
    <w:rsid w:val="004C4B4D"/>
    <w:rsid w:val="004C737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FB"/>
    <w:rsid w:val="00522F17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3D96"/>
    <w:rsid w:val="00564D8B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08B3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958"/>
    <w:rsid w:val="007D5CAE"/>
    <w:rsid w:val="007D5D77"/>
    <w:rsid w:val="007D6EAB"/>
    <w:rsid w:val="007E01FF"/>
    <w:rsid w:val="007E0F55"/>
    <w:rsid w:val="007E332E"/>
    <w:rsid w:val="007E39A9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E01"/>
    <w:rsid w:val="00810218"/>
    <w:rsid w:val="008103C7"/>
    <w:rsid w:val="00810B48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E6C"/>
    <w:rsid w:val="008A0FE8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406D"/>
    <w:rsid w:val="00904441"/>
    <w:rsid w:val="00904768"/>
    <w:rsid w:val="009050EE"/>
    <w:rsid w:val="009053AC"/>
    <w:rsid w:val="0090592C"/>
    <w:rsid w:val="00905F4B"/>
    <w:rsid w:val="00906EAE"/>
    <w:rsid w:val="00907C0C"/>
    <w:rsid w:val="00910500"/>
    <w:rsid w:val="00910E86"/>
    <w:rsid w:val="009116A4"/>
    <w:rsid w:val="00912712"/>
    <w:rsid w:val="00913893"/>
    <w:rsid w:val="0091417D"/>
    <w:rsid w:val="0091564D"/>
    <w:rsid w:val="00915DD6"/>
    <w:rsid w:val="00915E91"/>
    <w:rsid w:val="009169BA"/>
    <w:rsid w:val="00916E0D"/>
    <w:rsid w:val="00917F84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3ED4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F"/>
    <w:rsid w:val="00A55F52"/>
    <w:rsid w:val="00A56B1D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1FE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D64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97F"/>
    <w:rsid w:val="00B74E2C"/>
    <w:rsid w:val="00B7517C"/>
    <w:rsid w:val="00B75AAE"/>
    <w:rsid w:val="00B762CA"/>
    <w:rsid w:val="00B765D6"/>
    <w:rsid w:val="00B7699A"/>
    <w:rsid w:val="00B83049"/>
    <w:rsid w:val="00B833CC"/>
    <w:rsid w:val="00B835F6"/>
    <w:rsid w:val="00B84571"/>
    <w:rsid w:val="00B85144"/>
    <w:rsid w:val="00B8520A"/>
    <w:rsid w:val="00B875E8"/>
    <w:rsid w:val="00B919B5"/>
    <w:rsid w:val="00B92833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0D8"/>
    <w:rsid w:val="00BB424C"/>
    <w:rsid w:val="00BB473E"/>
    <w:rsid w:val="00BB5810"/>
    <w:rsid w:val="00BB5A49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67B2"/>
    <w:rsid w:val="00D279EF"/>
    <w:rsid w:val="00D27CE6"/>
    <w:rsid w:val="00D303D6"/>
    <w:rsid w:val="00D31311"/>
    <w:rsid w:val="00D313A9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2C0B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6A6"/>
    <w:rsid w:val="00E77D27"/>
    <w:rsid w:val="00E83C18"/>
    <w:rsid w:val="00E84FC9"/>
    <w:rsid w:val="00E84FF0"/>
    <w:rsid w:val="00E8516C"/>
    <w:rsid w:val="00E8634B"/>
    <w:rsid w:val="00E879BD"/>
    <w:rsid w:val="00E90A78"/>
    <w:rsid w:val="00E90B6B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505B"/>
    <w:rsid w:val="00EB574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2A6"/>
    <w:rsid w:val="00F34BD4"/>
    <w:rsid w:val="00F368AB"/>
    <w:rsid w:val="00F373D9"/>
    <w:rsid w:val="00F37A7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3A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83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3A0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3A0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483A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3A08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tp://www.3gpp.org/tsg_geran/TSG_GERAN/AD-HOCs/Ad-hoc_GERAN1-GERAN2_CIoT/Docs/GPC150080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16BD7-231C-438C-A655-7C57C11A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8079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R3</cp:lastModifiedBy>
  <cp:revision>2</cp:revision>
  <cp:lastPrinted>2013-02-08T15:42:00Z</cp:lastPrinted>
  <dcterms:created xsi:type="dcterms:W3CDTF">2015-01-28T02:03:00Z</dcterms:created>
  <dcterms:modified xsi:type="dcterms:W3CDTF">2015-01-28T02:03:00Z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