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Pr="00EC566B" w:rsidRDefault="00D4063B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bookmarkStart w:id="0" w:name="_GoBack"/>
      <w:bookmarkEnd w:id="0"/>
      <w:r>
        <w:rPr>
          <w:rFonts w:ascii="Calibri" w:eastAsia="Calibri" w:hAnsi="Calibri" w:cs="Times New Roman"/>
          <w:b/>
          <w:sz w:val="40"/>
          <w:szCs w:val="40"/>
        </w:rPr>
        <w:t xml:space="preserve">EC-GSM - </w:t>
      </w:r>
      <w:r w:rsidR="00E94C83" w:rsidRPr="00EC566B">
        <w:rPr>
          <w:rFonts w:ascii="Calibri" w:eastAsia="Calibri" w:hAnsi="Calibri" w:cs="Times New Roman"/>
          <w:b/>
          <w:sz w:val="40"/>
          <w:szCs w:val="40"/>
        </w:rPr>
        <w:t>eDRX</w:t>
      </w:r>
      <w:r w:rsidR="00E94C83">
        <w:rPr>
          <w:rFonts w:ascii="Calibri" w:eastAsia="Calibri" w:hAnsi="Calibri" w:cs="Times New Roman"/>
          <w:b/>
          <w:sz w:val="40"/>
          <w:szCs w:val="40"/>
        </w:rPr>
        <w:t xml:space="preserve"> and TDMA FN Space Wrap Around</w:t>
      </w:r>
    </w:p>
    <w:p w:rsidR="00E94C83" w:rsidRDefault="00E94C83" w:rsidP="00E31566">
      <w:pPr>
        <w:pStyle w:val="Heading1"/>
        <w:rPr>
          <w:bCs/>
        </w:rPr>
      </w:pPr>
      <w:bookmarkStart w:id="1" w:name="_Toc360020214"/>
      <w:r w:rsidRPr="00DE6D20">
        <w:t>Introduction</w:t>
      </w:r>
      <w:r>
        <w:t xml:space="preserve"> </w:t>
      </w:r>
    </w:p>
    <w:p w:rsidR="00E31566" w:rsidRDefault="00E62964" w:rsidP="0014753C">
      <w:r>
        <w:rPr>
          <w:lang w:val="en-GB"/>
        </w:rPr>
        <w:t xml:space="preserve">How to realize extended DRX cycles for GSM was described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_Ref406657087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at GERAN#64.</w:t>
      </w:r>
    </w:p>
    <w:p w:rsidR="00E62964" w:rsidRPr="00E62964" w:rsidRDefault="00E62964" w:rsidP="0014753C">
      <w:r>
        <w:rPr>
          <w:lang w:val="en-GB"/>
        </w:rPr>
        <w:t>During the discussion</w:t>
      </w:r>
      <w:r w:rsidR="00D4063B">
        <w:rPr>
          <w:lang w:val="en-GB"/>
        </w:rPr>
        <w:t xml:space="preserve"> in GERAN WG2 comments</w:t>
      </w:r>
      <w:r>
        <w:rPr>
          <w:lang w:val="en-GB"/>
        </w:rPr>
        <w:t xml:space="preserve"> were </w:t>
      </w:r>
      <w:r w:rsidR="00D4063B">
        <w:rPr>
          <w:lang w:val="en-GB"/>
        </w:rPr>
        <w:t>made concerning the need to have an inte</w:t>
      </w:r>
      <w:r>
        <w:rPr>
          <w:lang w:val="en-GB"/>
        </w:rPr>
        <w:t xml:space="preserve">gral number of </w:t>
      </w:r>
      <w:r w:rsidR="00D4063B">
        <w:rPr>
          <w:lang w:val="en-GB"/>
        </w:rPr>
        <w:t>e</w:t>
      </w:r>
      <w:r>
        <w:rPr>
          <w:lang w:val="en-GB"/>
        </w:rPr>
        <w:t xml:space="preserve">DRX cycles </w:t>
      </w:r>
      <w:r w:rsidR="00D4063B">
        <w:rPr>
          <w:lang w:val="en-GB"/>
        </w:rPr>
        <w:t>with</w:t>
      </w:r>
      <w:r>
        <w:rPr>
          <w:lang w:val="en-GB"/>
        </w:rPr>
        <w:t>in the overall hyperframe structure</w:t>
      </w:r>
      <w:r w:rsidR="00D4063B">
        <w:rPr>
          <w:lang w:val="en-GB"/>
        </w:rPr>
        <w:t xml:space="preserve"> (i.e. the full TDMA FN space)</w:t>
      </w:r>
      <w:r>
        <w:rPr>
          <w:lang w:val="en-GB"/>
        </w:rPr>
        <w:t>. This paper address</w:t>
      </w:r>
      <w:r w:rsidR="00D4063B">
        <w:rPr>
          <w:lang w:val="en-GB"/>
        </w:rPr>
        <w:t>es</w:t>
      </w:r>
      <w:r>
        <w:rPr>
          <w:lang w:val="en-GB"/>
        </w:rPr>
        <w:t xml:space="preserve"> these comments.</w:t>
      </w:r>
    </w:p>
    <w:p w:rsidR="00E31566" w:rsidRPr="00E62964" w:rsidRDefault="00E31566" w:rsidP="00E31566">
      <w:pPr>
        <w:pStyle w:val="Heading1"/>
      </w:pPr>
      <w:r>
        <w:t>Existing DRX handling</w:t>
      </w:r>
    </w:p>
    <w:bookmarkEnd w:id="1"/>
    <w:p w:rsidR="00EF5B8C" w:rsidRDefault="00E94C83" w:rsidP="00E94C83">
      <w:pPr>
        <w:pStyle w:val="BodyText"/>
      </w:pPr>
      <w:r w:rsidRPr="004762F6">
        <w:t>The existing TDMA Frame Number (FN) space supports values ranging from 0 to 2715647 which span a time interval of 208 minutes and 53.76 seconds.</w:t>
      </w:r>
      <w:r>
        <w:t xml:space="preserve"> The maximum DRX cycle length</w:t>
      </w:r>
      <w:r w:rsidR="00EF5B8C">
        <w:t>,</w:t>
      </w:r>
      <w:r>
        <w:t xml:space="preserve"> allowed using the legacy </w:t>
      </w:r>
      <w:r w:rsidRPr="009C6646">
        <w:t>BS-PA-MFRMS field</w:t>
      </w:r>
      <w:r w:rsidR="00EF5B8C">
        <w:t>,</w:t>
      </w:r>
      <w:r w:rsidRPr="009C6646">
        <w:t xml:space="preserve"> </w:t>
      </w:r>
      <w:r>
        <w:t xml:space="preserve">is </w:t>
      </w:r>
      <w:r w:rsidR="00EF5B8C">
        <w:t xml:space="preserve">nine </w:t>
      </w:r>
      <w:r>
        <w:t>51-multiframes</w:t>
      </w:r>
      <w:r w:rsidR="00EF5B8C">
        <w:t>.</w:t>
      </w:r>
      <w:r>
        <w:t xml:space="preserve"> </w:t>
      </w:r>
      <w:r w:rsidR="00EF5B8C">
        <w:t xml:space="preserve">This </w:t>
      </w:r>
      <w:r>
        <w:t xml:space="preserve">means that 5916.444 instances of these DRX cycles will occur over the entire TDMA FN space. </w:t>
      </w:r>
    </w:p>
    <w:p w:rsidR="00E94C83" w:rsidRDefault="00E94C83" w:rsidP="00E94C83">
      <w:pPr>
        <w:pStyle w:val="BodyText"/>
      </w:pPr>
      <w:r>
        <w:t>A DRX cycle discontinuity will therefore occur as only 4 51-multiframes (instead of 9) will comprise the 5917</w:t>
      </w:r>
      <w:r w:rsidRPr="009C6646">
        <w:rPr>
          <w:vertAlign w:val="superscript"/>
        </w:rPr>
        <w:t>th</w:t>
      </w:r>
      <w:r>
        <w:t xml:space="preserve"> DRX cycle which ends at the point where the TDMA FN space wraps around to 0 and a new 9 51-multiframe DRX cycle starts as shown in </w:t>
      </w:r>
      <w:r w:rsidR="006F7E60">
        <w:fldChar w:fldCharType="begin"/>
      </w:r>
      <w:r w:rsidR="006F7E60">
        <w:instrText xml:space="preserve"> REF _Ref406656703 \h </w:instrText>
      </w:r>
      <w:r w:rsidR="006F7E60">
        <w:fldChar w:fldCharType="separate"/>
      </w:r>
      <w:r w:rsidR="006F7E60">
        <w:t xml:space="preserve">Figure </w:t>
      </w:r>
      <w:r w:rsidR="006F7E60">
        <w:rPr>
          <w:noProof/>
        </w:rPr>
        <w:t>1</w:t>
      </w:r>
      <w:r w:rsidR="006F7E60">
        <w:fldChar w:fldCharType="end"/>
      </w:r>
      <w:r>
        <w:t>. As such, a device that has calculated its nominal paging group to occur within any of the last 5 51-multiframes of a 9 51-multiframe DRX cycle will not actually have its nominal paging group occur within the 5917</w:t>
      </w:r>
      <w:r w:rsidRPr="009C6646">
        <w:rPr>
          <w:vertAlign w:val="superscript"/>
        </w:rPr>
        <w:t>th</w:t>
      </w:r>
      <w:r>
        <w:t xml:space="preserve"> DRX cycle. This is not a major concern if DRX cycles are quite short since such a device will merely experience a small additional delay until its next nominal paging group occurs (i.e. an extra delay of 4 51-multiframes or about 942ms using the example of a 9 51-multiframe DRX cycle).</w:t>
      </w:r>
    </w:p>
    <w:p w:rsidR="00E94C83" w:rsidRDefault="00E94C83" w:rsidP="00E94C83">
      <w:pPr>
        <w:pStyle w:val="BodyText"/>
      </w:pPr>
    </w:p>
    <w:p w:rsidR="00E94C83" w:rsidRDefault="00E94C83" w:rsidP="00E94C83">
      <w:pPr>
        <w:pStyle w:val="BodyText"/>
        <w:jc w:val="center"/>
      </w:pPr>
      <w:r w:rsidRPr="00C63F08">
        <w:rPr>
          <w:noProof/>
        </w:rPr>
        <w:drawing>
          <wp:inline distT="0" distB="0" distL="0" distR="0" wp14:anchorId="59D84939" wp14:editId="597DFC47">
            <wp:extent cx="4898572" cy="1251857"/>
            <wp:effectExtent l="0" t="0" r="0" b="571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8572" cy="1251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C83" w:rsidRDefault="00E94C83" w:rsidP="00E94C83">
      <w:pPr>
        <w:pStyle w:val="Caption"/>
      </w:pPr>
      <w:bookmarkStart w:id="2" w:name="_Ref406656703"/>
      <w:r>
        <w:t xml:space="preserve">Figure </w:t>
      </w:r>
      <w:r w:rsidR="00234555">
        <w:fldChar w:fldCharType="begin"/>
      </w:r>
      <w:r w:rsidR="00234555">
        <w:instrText xml:space="preserve"> SEQ Figure </w:instrText>
      </w:r>
      <w:r w:rsidR="00234555">
        <w:instrText xml:space="preserve">\* ARABIC </w:instrText>
      </w:r>
      <w:r w:rsidR="00234555">
        <w:fldChar w:fldCharType="separate"/>
      </w:r>
      <w:r>
        <w:rPr>
          <w:noProof/>
        </w:rPr>
        <w:t>1</w:t>
      </w:r>
      <w:r w:rsidR="00234555">
        <w:rPr>
          <w:noProof/>
        </w:rPr>
        <w:fldChar w:fldCharType="end"/>
      </w:r>
      <w:bookmarkEnd w:id="2"/>
      <w:r>
        <w:t>. DRX Cycle Discontinuity</w:t>
      </w:r>
    </w:p>
    <w:p w:rsidR="00E94C83" w:rsidRPr="00DE6D20" w:rsidRDefault="00E94C83" w:rsidP="00E94C83">
      <w:pPr>
        <w:pStyle w:val="Heading1"/>
        <w:rPr>
          <w:bCs/>
          <w:iCs w:val="0"/>
        </w:rPr>
      </w:pPr>
      <w:r>
        <w:t xml:space="preserve">TDMA FN Space Wrap Around with eDRX </w:t>
      </w:r>
    </w:p>
    <w:p w:rsidR="003F3140" w:rsidRPr="001E7018" w:rsidRDefault="00A65BC0" w:rsidP="00E94C83">
      <w:pPr>
        <w:pStyle w:val="BodyText"/>
      </w:pPr>
      <w:r>
        <w:t>EC-GSM</w:t>
      </w:r>
      <w:r w:rsidR="00E94C83" w:rsidRPr="00D4063B">
        <w:t xml:space="preserve"> devices that support Network Triggered Reporting are expected to support reachability with a periodicity that can vary from several seconds to several hours</w:t>
      </w:r>
      <w:r w:rsidR="004F3F9E" w:rsidRPr="00D4063B">
        <w:t xml:space="preserve"> (i.e. </w:t>
      </w:r>
      <w:r w:rsidR="00E94C83" w:rsidRPr="00D4063B">
        <w:t xml:space="preserve">variable latency </w:t>
      </w:r>
      <w:r w:rsidR="004F3F9E" w:rsidRPr="00D4063B">
        <w:t xml:space="preserve">requirements </w:t>
      </w:r>
      <w:r w:rsidR="00E94C83" w:rsidRPr="00D4063B">
        <w:t xml:space="preserve">can be expected </w:t>
      </w:r>
      <w:r w:rsidR="004F3F9E" w:rsidRPr="00D4063B">
        <w:t xml:space="preserve">for these devices </w:t>
      </w:r>
      <w:r w:rsidR="00E94C83" w:rsidRPr="00D4063B">
        <w:t xml:space="preserve">where the greater the latency </w:t>
      </w:r>
      <w:r w:rsidR="004F3F9E" w:rsidRPr="00D4063B">
        <w:t xml:space="preserve">a device can tolerate </w:t>
      </w:r>
      <w:r w:rsidR="00E94C83" w:rsidRPr="00D4063B">
        <w:t xml:space="preserve">the </w:t>
      </w:r>
      <w:r w:rsidR="004F3F9E" w:rsidRPr="00D4063B">
        <w:t>better its battery lifetime)</w:t>
      </w:r>
      <w:r w:rsidR="00E94C83" w:rsidRPr="00D4063B">
        <w:t xml:space="preserve">. </w:t>
      </w:r>
      <w:r w:rsidR="00E94C83" w:rsidRPr="001E7018">
        <w:t xml:space="preserve">As discussed in </w:t>
      </w:r>
      <w:r w:rsidR="006F7E60" w:rsidRPr="001E7018">
        <w:fldChar w:fldCharType="begin"/>
      </w:r>
      <w:r w:rsidR="006F7E60" w:rsidRPr="001E7018">
        <w:instrText xml:space="preserve"> REF _Ref406656717 \r \h </w:instrText>
      </w:r>
      <w:r w:rsidR="006F7E60" w:rsidRPr="001E7018">
        <w:fldChar w:fldCharType="separate"/>
      </w:r>
      <w:r w:rsidR="006F7E60" w:rsidRPr="001E7018">
        <w:t>[1]</w:t>
      </w:r>
      <w:r w:rsidR="006F7E60" w:rsidRPr="001E7018">
        <w:fldChar w:fldCharType="end"/>
      </w:r>
      <w:r w:rsidR="00E94C83" w:rsidRPr="001E7018">
        <w:t xml:space="preserve"> it will be </w:t>
      </w:r>
      <w:r w:rsidR="00E94C83" w:rsidRPr="001E7018">
        <w:lastRenderedPageBreak/>
        <w:t xml:space="preserve">substantially more power efficient </w:t>
      </w:r>
      <w:r w:rsidR="00537E1F" w:rsidRPr="001E7018">
        <w:t xml:space="preserve">for a device </w:t>
      </w:r>
      <w:r w:rsidR="00E94C83" w:rsidRPr="001E7018">
        <w:t>to realize a periodicity of reachability ranging from about 1 to 30</w:t>
      </w:r>
      <w:r w:rsidR="004F3F9E" w:rsidRPr="001E7018">
        <w:t xml:space="preserve"> minutes using eDRX whereas </w:t>
      </w:r>
      <w:r w:rsidR="00E94C83" w:rsidRPr="001E7018">
        <w:t>PSM</w:t>
      </w:r>
      <w:r w:rsidR="004F3F9E" w:rsidRPr="001E7018">
        <w:t xml:space="preserve"> can be used for reachability periodicities exceeding 30 minutes</w:t>
      </w:r>
      <w:r w:rsidR="00E94C83" w:rsidRPr="001E7018">
        <w:t xml:space="preserve">. </w:t>
      </w:r>
    </w:p>
    <w:p w:rsidR="003F3140" w:rsidRDefault="00E94C83" w:rsidP="00E94C83">
      <w:pPr>
        <w:pStyle w:val="BodyText"/>
      </w:pPr>
      <w:r>
        <w:t xml:space="preserve">However, when considering eDRX cycles in the </w:t>
      </w:r>
      <w:r w:rsidR="003F3140">
        <w:t xml:space="preserve">order </w:t>
      </w:r>
      <w:r>
        <w:t>of minutes</w:t>
      </w:r>
      <w:r w:rsidR="003F3140">
        <w:t>,</w:t>
      </w:r>
      <w:r>
        <w:t xml:space="preserve"> special care must be taken to ensure MTC devices do not experience substantial interruptions to their eDRX cycle length when TDMA FN space wrap-around occurs. </w:t>
      </w:r>
    </w:p>
    <w:p w:rsidR="001E7018" w:rsidRPr="001E7018" w:rsidRDefault="00E94C83" w:rsidP="001E7018">
      <w:pPr>
        <w:pStyle w:val="B1"/>
        <w:numPr>
          <w:ilvl w:val="0"/>
          <w:numId w:val="17"/>
        </w:numPr>
      </w:pPr>
      <w:r w:rsidRPr="001E7018">
        <w:t>For example, if a MTC device attempts to operate using a 10 minute eDRX cycle length</w:t>
      </w:r>
      <w:r w:rsidR="003F3140" w:rsidRPr="001E7018">
        <w:t>,</w:t>
      </w:r>
      <w:r w:rsidRPr="001E7018">
        <w:t xml:space="preserve"> this translates into about 2549 51-multiframes per eDRX cycle where a total of 20.89 of these eDRX cycles will occur over the entire TDMA FN space. </w:t>
      </w:r>
    </w:p>
    <w:p w:rsidR="001E7018" w:rsidRPr="001E7018" w:rsidRDefault="00E94C83" w:rsidP="001E7018">
      <w:pPr>
        <w:pStyle w:val="B1"/>
        <w:numPr>
          <w:ilvl w:val="0"/>
          <w:numId w:val="17"/>
        </w:numPr>
      </w:pPr>
      <w:r w:rsidRPr="001E7018">
        <w:t xml:space="preserve">This means that a device that calculates its nominal paging group to occur within any of the last 281 51-multiframes of a 2549 51-multiframe eDRX cycle will not actually have its nominal paging group occur within the 21st eDRX cycle (see </w:t>
      </w:r>
      <w:r w:rsidR="006F7E60" w:rsidRPr="001E7018">
        <w:fldChar w:fldCharType="begin"/>
      </w:r>
      <w:r w:rsidR="006F7E60" w:rsidRPr="001E7018">
        <w:instrText xml:space="preserve"> REF _Ref406656728 \h </w:instrText>
      </w:r>
      <w:r w:rsidR="001E7018" w:rsidRPr="001E7018">
        <w:instrText xml:space="preserve"> \* MERGEFORMAT </w:instrText>
      </w:r>
      <w:r w:rsidR="006F7E60" w:rsidRPr="001E7018">
        <w:fldChar w:fldCharType="separate"/>
      </w:r>
      <w:r w:rsidR="006F7E60" w:rsidRPr="001E7018">
        <w:t>Figure 2</w:t>
      </w:r>
      <w:r w:rsidR="006F7E60" w:rsidRPr="001E7018">
        <w:fldChar w:fldCharType="end"/>
      </w:r>
      <w:r w:rsidRPr="001E7018">
        <w:t xml:space="preserve">). </w:t>
      </w:r>
    </w:p>
    <w:p w:rsidR="00E94C83" w:rsidRPr="001E7018" w:rsidRDefault="001E7018" w:rsidP="001E7018">
      <w:pPr>
        <w:pStyle w:val="B1"/>
        <w:numPr>
          <w:ilvl w:val="0"/>
          <w:numId w:val="17"/>
        </w:numPr>
      </w:pPr>
      <w:r w:rsidRPr="001E7018">
        <w:t xml:space="preserve">This </w:t>
      </w:r>
      <w:r w:rsidR="00E94C83" w:rsidRPr="001E7018">
        <w:t>results in such a device experiencing a major delay until its next nominal paging group occurs (i.e. an extra delay of 2268 51-multiframes or about 8.9 minutes using the example of a 2549 51-multiframe eDRX cycle).</w:t>
      </w:r>
    </w:p>
    <w:p w:rsidR="00E94C83" w:rsidRDefault="00E94C83" w:rsidP="00E94C83">
      <w:pPr>
        <w:pStyle w:val="BodyText"/>
      </w:pPr>
    </w:p>
    <w:p w:rsidR="00E94C83" w:rsidRDefault="00E94C83" w:rsidP="00E94C83">
      <w:pPr>
        <w:pStyle w:val="BodyText"/>
        <w:jc w:val="center"/>
      </w:pPr>
      <w:r w:rsidRPr="009D78C9">
        <w:rPr>
          <w:noProof/>
        </w:rPr>
        <w:drawing>
          <wp:inline distT="0" distB="0" distL="0" distR="0" wp14:anchorId="51441133" wp14:editId="3B54B076">
            <wp:extent cx="4999512" cy="1277653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5598" cy="1279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C83" w:rsidRDefault="00E94C83" w:rsidP="00E94C83">
      <w:pPr>
        <w:pStyle w:val="Caption"/>
      </w:pPr>
      <w:bookmarkStart w:id="3" w:name="_Ref406656728"/>
      <w:r>
        <w:t xml:space="preserve">Figure </w:t>
      </w:r>
      <w:r w:rsidR="00234555">
        <w:fldChar w:fldCharType="begin"/>
      </w:r>
      <w:r w:rsidR="00234555">
        <w:instrText xml:space="preserve"> SEQ Figure \* ARABIC </w:instrText>
      </w:r>
      <w:r w:rsidR="00234555">
        <w:fldChar w:fldCharType="separate"/>
      </w:r>
      <w:r>
        <w:rPr>
          <w:noProof/>
        </w:rPr>
        <w:t>2</w:t>
      </w:r>
      <w:r w:rsidR="00234555">
        <w:rPr>
          <w:noProof/>
        </w:rPr>
        <w:fldChar w:fldCharType="end"/>
      </w:r>
      <w:bookmarkEnd w:id="3"/>
      <w:r>
        <w:t>. eDRX Cycle Discontinuity</w:t>
      </w:r>
    </w:p>
    <w:p w:rsidR="00E94C83" w:rsidRDefault="00E94C83" w:rsidP="00E94C83">
      <w:pPr>
        <w:pStyle w:val="BodyText"/>
      </w:pPr>
      <w:r>
        <w:t xml:space="preserve">The longer the eDRX cycle is the greater the possible delay from the last occurrence of a device’s nominal paging group prior to TDMA FN space wrap-around until its first occurrence after TDMA FN space wrap-around. As such, to avoid </w:t>
      </w:r>
      <w:r w:rsidRPr="004762F6">
        <w:t>the possi</w:t>
      </w:r>
      <w:r>
        <w:t>bility of substantial delays in device</w:t>
      </w:r>
      <w:r w:rsidRPr="004762F6">
        <w:t xml:space="preserve"> reachability </w:t>
      </w:r>
      <w:r>
        <w:t xml:space="preserve">that can occur at TDMA FN space wrap-around, </w:t>
      </w:r>
      <w:r w:rsidRPr="004762F6">
        <w:t xml:space="preserve">it is </w:t>
      </w:r>
      <w:r>
        <w:t>proposed</w:t>
      </w:r>
      <w:r w:rsidRPr="004762F6">
        <w:t xml:space="preserve"> </w:t>
      </w:r>
      <w:r>
        <w:t xml:space="preserve">to adopt </w:t>
      </w:r>
      <w:r w:rsidRPr="004762F6">
        <w:t xml:space="preserve">the requirement that all supported </w:t>
      </w:r>
      <w:r>
        <w:t>e</w:t>
      </w:r>
      <w:r w:rsidRPr="004762F6">
        <w:t xml:space="preserve">DRX cycle lengths necessarily occur an integral number of times within the overall TDMA FN space. </w:t>
      </w:r>
    </w:p>
    <w:p w:rsidR="00BE6E3C" w:rsidRDefault="00BE6E3C" w:rsidP="00BE6E3C">
      <w:r>
        <w:rPr>
          <w:b/>
        </w:rPr>
        <w:t>Working Assumption</w:t>
      </w:r>
      <w:r w:rsidRPr="00890C7D">
        <w:rPr>
          <w:b/>
        </w:rPr>
        <w:t xml:space="preserve"> 1:</w:t>
      </w:r>
      <w:r>
        <w:t xml:space="preserve"> To avoid </w:t>
      </w:r>
      <w:r w:rsidRPr="004762F6">
        <w:t>the possi</w:t>
      </w:r>
      <w:r>
        <w:t>bility of substantial delays in device</w:t>
      </w:r>
      <w:r w:rsidRPr="004762F6">
        <w:t xml:space="preserve"> reachability </w:t>
      </w:r>
      <w:r>
        <w:t xml:space="preserve">that can occur at TDMA FN space wrap-around, it is proposed that MTC devices only operate using eDRX cycle lengths that occur an integral number of times within the full TDMA FN space. </w:t>
      </w:r>
    </w:p>
    <w:p w:rsidR="00E94C83" w:rsidRPr="00DE6D20" w:rsidRDefault="00E94C83" w:rsidP="00E94C83">
      <w:pPr>
        <w:pStyle w:val="Heading1"/>
        <w:rPr>
          <w:bCs/>
          <w:iCs w:val="0"/>
        </w:rPr>
      </w:pPr>
      <w:r>
        <w:t>Way Forward</w:t>
      </w:r>
    </w:p>
    <w:p w:rsidR="008C3E44" w:rsidRPr="00357E05" w:rsidRDefault="00537E1F" w:rsidP="008F54FB">
      <w:r w:rsidRPr="00357E05">
        <w:t>Table 1 provides a</w:t>
      </w:r>
      <w:r w:rsidR="00D23F2C" w:rsidRPr="00357E05">
        <w:t xml:space="preserve"> set of</w:t>
      </w:r>
      <w:r w:rsidR="00E94C83" w:rsidRPr="00357E05">
        <w:t xml:space="preserve"> pre-defined eDRX cycle lengths that can be support</w:t>
      </w:r>
      <w:r w:rsidR="00A65BC0">
        <w:t xml:space="preserve">ed in a cell that supports </w:t>
      </w:r>
      <w:r w:rsidR="00E94C83" w:rsidRPr="00357E05">
        <w:t>eDRX based reachabilit</w:t>
      </w:r>
      <w:r w:rsidR="00A65BC0">
        <w:t>y</w:t>
      </w:r>
      <w:r w:rsidR="00E94C83" w:rsidRPr="00357E05">
        <w:t>.</w:t>
      </w:r>
      <w:r w:rsidRPr="00357E05">
        <w:t xml:space="preserve"> </w:t>
      </w:r>
      <w:r w:rsidR="00D23F2C" w:rsidRPr="00357E05">
        <w:t>If the maximum amount of time that any given SGSN implementation supports for buffering a downlink IP Packet before s</w:t>
      </w:r>
      <w:r w:rsidR="00357E05" w:rsidRPr="00357E05">
        <w:t xml:space="preserve">ending it to a BSS is X minutes </w:t>
      </w:r>
      <w:r w:rsidR="00D23F2C" w:rsidRPr="00357E05">
        <w:t xml:space="preserve">then </w:t>
      </w:r>
      <w:r w:rsidR="00ED6A1B" w:rsidRPr="00357E05">
        <w:t>MTC devices operating in these cells should not attempt to make use of eDRX cycles lengths that exceed X minutes</w:t>
      </w:r>
      <w:r w:rsidR="00357E05" w:rsidRPr="00357E05">
        <w:t xml:space="preserve"> (see [3])</w:t>
      </w:r>
      <w:r w:rsidR="00ED6A1B" w:rsidRPr="00357E05">
        <w:t xml:space="preserve">. </w:t>
      </w:r>
    </w:p>
    <w:p w:rsidR="00E94C83" w:rsidRPr="00357E05" w:rsidRDefault="00E94C83" w:rsidP="00E94C83">
      <w:pPr>
        <w:pStyle w:val="BodyText"/>
      </w:pPr>
      <w:r w:rsidRPr="009B5503">
        <w:lastRenderedPageBreak/>
        <w:t>When sending a RAU Request</w:t>
      </w:r>
      <w:r w:rsidR="000F3BA8">
        <w:t>,</w:t>
      </w:r>
      <w:r w:rsidRPr="009B5503">
        <w:t xml:space="preserve"> a device </w:t>
      </w:r>
      <w:r w:rsidR="008C3E44">
        <w:t>can include</w:t>
      </w:r>
      <w:r w:rsidRPr="009B5503">
        <w:t xml:space="preserve"> a new parameter called EXTENDED_DRX (4 bit field) </w:t>
      </w:r>
      <w:r w:rsidR="00A65BC0">
        <w:t xml:space="preserve">and wait for the RAU Response to determine the eDRX cycle length supported/allowed by the SGSN. </w:t>
      </w:r>
      <w:r w:rsidR="00ED6A1B" w:rsidRPr="00357E05">
        <w:t>Alternatively,</w:t>
      </w:r>
      <w:r w:rsidR="001A1B42" w:rsidRPr="00357E05">
        <w:t xml:space="preserve"> </w:t>
      </w:r>
      <w:r w:rsidR="00ED6A1B" w:rsidRPr="00357E05">
        <w:t xml:space="preserve">a multiplication factor N </w:t>
      </w:r>
      <w:r w:rsidR="001A1B42" w:rsidRPr="00357E05">
        <w:t xml:space="preserve">based method can be used whereby a value for N is included </w:t>
      </w:r>
      <w:r w:rsidR="00036180" w:rsidRPr="00357E05">
        <w:t>in a RAU Request such that</w:t>
      </w:r>
      <w:r w:rsidR="00ED6A1B" w:rsidRPr="00357E05">
        <w:t xml:space="preserve"> </w:t>
      </w:r>
      <w:r w:rsidR="008C3E44" w:rsidRPr="00357E05">
        <w:t xml:space="preserve">the preferred </w:t>
      </w:r>
      <w:r w:rsidR="00ED6A1B" w:rsidRPr="00357E05">
        <w:t>eDR</w:t>
      </w:r>
      <w:r w:rsidR="00E776A6" w:rsidRPr="00357E05">
        <w:t>X cycle length is expressed as</w:t>
      </w:r>
      <w:r w:rsidR="00ED6A1B" w:rsidRPr="00357E05">
        <w:t xml:space="preserve"> </w:t>
      </w:r>
      <w:r w:rsidR="00E776A6" w:rsidRPr="00357E05">
        <w:t xml:space="preserve">N*BS-PA-MFRMS where BS-PA-MFRMS is the legacy parameter used to indicate the DRX cycle length used in a cell. </w:t>
      </w:r>
    </w:p>
    <w:p w:rsidR="00E776A6" w:rsidRPr="00357E05" w:rsidRDefault="00E776A6" w:rsidP="00E776A6">
      <w:pPr>
        <w:pStyle w:val="B1"/>
        <w:numPr>
          <w:ilvl w:val="0"/>
          <w:numId w:val="17"/>
        </w:numPr>
      </w:pPr>
      <w:r w:rsidRPr="00357E05">
        <w:t>For example, if BS-PA-MFRMS = 8 and a devices wants to use an eDRX cycle length of ~ 4 minutes (i.e. 1024 51-multiframes) then N = 128</w:t>
      </w:r>
      <w:r w:rsidR="00036180" w:rsidRPr="00357E05">
        <w:t>.</w:t>
      </w:r>
    </w:p>
    <w:p w:rsidR="00E776A6" w:rsidRPr="00357E05" w:rsidRDefault="00E776A6" w:rsidP="00E776A6">
      <w:pPr>
        <w:pStyle w:val="B1"/>
        <w:numPr>
          <w:ilvl w:val="0"/>
          <w:numId w:val="17"/>
        </w:numPr>
      </w:pPr>
      <w:r w:rsidRPr="00357E05">
        <w:t xml:space="preserve">With the requirement that all eDRX cycle lengths occur an integral number of times within the full TDMA FN space </w:t>
      </w:r>
      <w:r w:rsidR="00036180" w:rsidRPr="00357E05">
        <w:t>(i.e. as per the 3</w:t>
      </w:r>
      <w:r w:rsidR="00036180" w:rsidRPr="00357E05">
        <w:rPr>
          <w:vertAlign w:val="superscript"/>
        </w:rPr>
        <w:t>rd</w:t>
      </w:r>
      <w:r w:rsidR="00036180" w:rsidRPr="00357E05">
        <w:t xml:space="preserve"> column of Table 1) </w:t>
      </w:r>
      <w:r w:rsidR="008A4D6A" w:rsidRPr="00357E05">
        <w:t>then</w:t>
      </w:r>
      <w:r w:rsidRPr="00357E05">
        <w:t xml:space="preserve"> </w:t>
      </w:r>
      <w:r w:rsidR="00036180" w:rsidRPr="00357E05">
        <w:t>BS-PA-MFRMS will be limited to values 1, 2, 4, and 8</w:t>
      </w:r>
      <w:r w:rsidR="001A1B42" w:rsidRPr="00357E05">
        <w:t xml:space="preserve"> since only these values allow the multiplication factor N to consist of a whole number</w:t>
      </w:r>
      <w:r w:rsidR="0064218E" w:rsidRPr="00357E05">
        <w:t xml:space="preserve"> so that N*BS-PA-MFRMS </w:t>
      </w:r>
      <w:r w:rsidR="008A4D6A" w:rsidRPr="00357E05">
        <w:t>can have</w:t>
      </w:r>
      <w:r w:rsidR="0064218E" w:rsidRPr="00357E05">
        <w:t xml:space="preserve"> a value included within </w:t>
      </w:r>
      <w:r w:rsidR="00357E05" w:rsidRPr="00357E05">
        <w:t>column 3 of Table 1.</w:t>
      </w:r>
    </w:p>
    <w:p w:rsidR="001A1B42" w:rsidRPr="00357E05" w:rsidRDefault="00036180" w:rsidP="00E776A6">
      <w:pPr>
        <w:pStyle w:val="B1"/>
        <w:numPr>
          <w:ilvl w:val="0"/>
          <w:numId w:val="17"/>
        </w:numPr>
      </w:pPr>
      <w:r w:rsidRPr="00357E05">
        <w:t>Depending on the value of BS-PA-MFRMS</w:t>
      </w:r>
      <w:r w:rsidR="001A1B42" w:rsidRPr="00357E05">
        <w:t xml:space="preserve"> and the preferred</w:t>
      </w:r>
      <w:r w:rsidRPr="00357E05">
        <w:t xml:space="preserve"> eDRX cycle length</w:t>
      </w:r>
      <w:r w:rsidR="001A1B42" w:rsidRPr="00357E05">
        <w:t>,</w:t>
      </w:r>
      <w:r w:rsidRPr="00357E05">
        <w:t xml:space="preserve"> the value of N can grow to require 14 bits of space and as such the </w:t>
      </w:r>
      <w:r w:rsidR="001A1B42" w:rsidRPr="00357E05">
        <w:t>method of including an</w:t>
      </w:r>
      <w:r w:rsidRPr="00357E05">
        <w:t xml:space="preserve"> EXTENDED_DRX </w:t>
      </w:r>
      <w:r w:rsidR="001A1B42" w:rsidRPr="00357E05">
        <w:t xml:space="preserve">value </w:t>
      </w:r>
      <w:r w:rsidRPr="00357E05">
        <w:t xml:space="preserve">(a 4 bit field) in the RAU Request may be the preferred approach. </w:t>
      </w:r>
    </w:p>
    <w:p w:rsidR="00036180" w:rsidRPr="00357E05" w:rsidRDefault="00036180" w:rsidP="00E776A6">
      <w:pPr>
        <w:pStyle w:val="B1"/>
        <w:numPr>
          <w:ilvl w:val="0"/>
          <w:numId w:val="17"/>
        </w:numPr>
      </w:pPr>
      <w:r w:rsidRPr="00357E05">
        <w:t xml:space="preserve">Both methods </w:t>
      </w:r>
      <w:r w:rsidR="001A1B42" w:rsidRPr="00357E05">
        <w:t xml:space="preserve">for indicating the preferred eDRX cycle of a device </w:t>
      </w:r>
      <w:r w:rsidRPr="00357E05">
        <w:t xml:space="preserve">are logically equivalent </w:t>
      </w:r>
      <w:r w:rsidR="001A1B42" w:rsidRPr="00357E05">
        <w:t>(i.e. they both require the inclusion of a new field in the RAU Request</w:t>
      </w:r>
      <w:r w:rsidR="00A65BC0">
        <w:t>/RAU Accept</w:t>
      </w:r>
      <w:r w:rsidR="00157381" w:rsidRPr="00357E05">
        <w:t xml:space="preserve"> that allow the SGSN to determine the preferred eDRX cycle</w:t>
      </w:r>
      <w:r w:rsidR="001A1B42" w:rsidRPr="00357E05">
        <w:t xml:space="preserve">) </w:t>
      </w:r>
      <w:r w:rsidRPr="00357E05">
        <w:t>except that the multiplication factor approach will impose restrictions on the value of BS-PA-MFRMS sent in system information.</w:t>
      </w:r>
    </w:p>
    <w:p w:rsidR="00BE6E3C" w:rsidRDefault="00BE6E3C" w:rsidP="00BE6E3C">
      <w:r>
        <w:rPr>
          <w:b/>
        </w:rPr>
        <w:t>Working Assumption</w:t>
      </w:r>
      <w:r w:rsidRPr="00890C7D">
        <w:rPr>
          <w:b/>
        </w:rPr>
        <w:t xml:space="preserve"> 2:</w:t>
      </w:r>
      <w:r w:rsidRPr="007B76CC">
        <w:rPr>
          <w:b/>
        </w:rPr>
        <w:t xml:space="preserve"> A pre-defined set of eDRX cycle lengths that span the range ~30 seconds</w:t>
      </w:r>
      <w:r w:rsidR="00D23F2C">
        <w:rPr>
          <w:b/>
        </w:rPr>
        <w:t xml:space="preserve"> to ~52 minutes </w:t>
      </w:r>
      <w:r w:rsidR="00357E05">
        <w:rPr>
          <w:b/>
        </w:rPr>
        <w:t xml:space="preserve">shall be supported for EC-GSM </w:t>
      </w:r>
      <w:r w:rsidR="00357E05" w:rsidRPr="007B76CC">
        <w:rPr>
          <w:b/>
        </w:rPr>
        <w:t>(</w:t>
      </w:r>
      <w:r w:rsidR="00357E05">
        <w:rPr>
          <w:b/>
        </w:rPr>
        <w:t xml:space="preserve">i.e. </w:t>
      </w:r>
      <w:r w:rsidR="00357E05" w:rsidRPr="007B76CC">
        <w:rPr>
          <w:b/>
        </w:rPr>
        <w:t>those defined in Table 1)</w:t>
      </w:r>
      <w:r w:rsidRPr="007B76CC">
        <w:rPr>
          <w:b/>
        </w:rPr>
        <w:t>.</w:t>
      </w:r>
      <w:r>
        <w:t xml:space="preserve"> </w:t>
      </w:r>
    </w:p>
    <w:p w:rsidR="001A1B42" w:rsidRPr="00357E05" w:rsidRDefault="00357E05" w:rsidP="00BE6E3C">
      <w:pPr>
        <w:rPr>
          <w:b/>
        </w:rPr>
      </w:pPr>
      <w:r>
        <w:rPr>
          <w:b/>
        </w:rPr>
        <w:t>Working Assumption 3</w:t>
      </w:r>
      <w:r w:rsidR="001A1B42" w:rsidRPr="00357E05">
        <w:rPr>
          <w:b/>
        </w:rPr>
        <w:t>: A RAU Request</w:t>
      </w:r>
      <w:r>
        <w:rPr>
          <w:b/>
        </w:rPr>
        <w:t>/RAU Accept</w:t>
      </w:r>
      <w:r w:rsidR="001A1B42" w:rsidRPr="00357E05">
        <w:rPr>
          <w:b/>
        </w:rPr>
        <w:t xml:space="preserve"> includes a new parameter called EXTENDED_DRX (4 bit f</w:t>
      </w:r>
      <w:r>
        <w:rPr>
          <w:b/>
        </w:rPr>
        <w:t xml:space="preserve">ield) to indicate </w:t>
      </w:r>
      <w:r w:rsidR="001A1B42" w:rsidRPr="00357E05">
        <w:rPr>
          <w:b/>
        </w:rPr>
        <w:t xml:space="preserve">eDRX cycle length </w:t>
      </w:r>
      <w:r>
        <w:rPr>
          <w:b/>
        </w:rPr>
        <w:t>information (i.e. a multiplication factor shall not be included)</w:t>
      </w:r>
      <w:r w:rsidR="001A1B42" w:rsidRPr="00357E05">
        <w:rPr>
          <w:b/>
        </w:rPr>
        <w:t xml:space="preserve">. </w:t>
      </w:r>
    </w:p>
    <w:p w:rsidR="00E94C83" w:rsidRPr="0091722A" w:rsidRDefault="00E94C83" w:rsidP="00E94C83">
      <w:pPr>
        <w:pStyle w:val="Caption"/>
      </w:pPr>
      <w:r>
        <w:t xml:space="preserve">Table </w:t>
      </w:r>
      <w:r w:rsidR="00234555">
        <w:fldChar w:fldCharType="begin"/>
      </w:r>
      <w:r w:rsidR="00234555">
        <w:instrText xml:space="preserve"> SEQ Table \* ARABIC </w:instrText>
      </w:r>
      <w:r w:rsidR="00234555">
        <w:fldChar w:fldCharType="separate"/>
      </w:r>
      <w:r>
        <w:rPr>
          <w:noProof/>
        </w:rPr>
        <w:t>1</w:t>
      </w:r>
      <w:r w:rsidR="00234555">
        <w:rPr>
          <w:noProof/>
        </w:rPr>
        <w:fldChar w:fldCharType="end"/>
      </w:r>
      <w:r w:rsidR="00D23F2C">
        <w:t>. Set of</w:t>
      </w:r>
      <w:r>
        <w:t xml:space="preserve"> eDRX Cycles Supported</w:t>
      </w:r>
    </w:p>
    <w:tbl>
      <w:tblPr>
        <w:tblStyle w:val="TableGrid"/>
        <w:tblW w:w="8388" w:type="dxa"/>
        <w:tblLayout w:type="fixed"/>
        <w:tblLook w:val="04A0" w:firstRow="1" w:lastRow="0" w:firstColumn="1" w:lastColumn="0" w:noHBand="0" w:noVBand="1"/>
      </w:tblPr>
      <w:tblGrid>
        <w:gridCol w:w="1347"/>
        <w:gridCol w:w="1731"/>
        <w:gridCol w:w="2970"/>
        <w:gridCol w:w="2340"/>
      </w:tblGrid>
      <w:tr w:rsidR="00E94C83" w:rsidRPr="0091722A" w:rsidTr="000F3BA8">
        <w:tc>
          <w:tcPr>
            <w:tcW w:w="1347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Extended DRX</w:t>
            </w:r>
            <w:r w:rsidRPr="0091722A">
              <w:t xml:space="preserve"> Cycle Value (</w:t>
            </w:r>
            <w:r>
              <w:t>EXTENDED_DRX</w:t>
            </w:r>
            <w:r w:rsidRPr="0091722A">
              <w:t>)</w:t>
            </w:r>
          </w:p>
        </w:tc>
        <w:tc>
          <w:tcPr>
            <w:tcW w:w="1731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 xml:space="preserve"> </w:t>
            </w:r>
            <w:r>
              <w:t>Target Extended DRX Cycle Length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8CCE4" w:themeFill="accent1" w:themeFillTint="66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 xml:space="preserve">Number of </w:t>
            </w:r>
            <w:r w:rsidRPr="0091722A">
              <w:t xml:space="preserve">51-MF per </w:t>
            </w:r>
            <w:r>
              <w:t>Extended DRX</w:t>
            </w:r>
            <w:r w:rsidRPr="0091722A">
              <w:t xml:space="preserve"> Cycle (</w:t>
            </w:r>
            <w:r>
              <w:t>EXTENDED_DRX</w:t>
            </w:r>
            <w:r w:rsidRPr="0091722A">
              <w:t>_MFRMS)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B8CCE4" w:themeFill="accent1" w:themeFillTint="66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Extended DRX</w:t>
            </w:r>
            <w:r w:rsidRPr="0091722A">
              <w:t xml:space="preserve"> Cycles per TDMA FN Space</w:t>
            </w:r>
          </w:p>
        </w:tc>
      </w:tr>
      <w:tr w:rsidR="00E94C83" w:rsidRPr="0091722A" w:rsidTr="00234C8E">
        <w:tc>
          <w:tcPr>
            <w:tcW w:w="1347" w:type="dxa"/>
            <w:tcBorders>
              <w:top w:val="double" w:sz="4" w:space="0" w:color="auto"/>
            </w:tcBorders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0</w:t>
            </w:r>
          </w:p>
        </w:tc>
        <w:tc>
          <w:tcPr>
            <w:tcW w:w="1731" w:type="dxa"/>
            <w:tcBorders>
              <w:top w:val="double" w:sz="4" w:space="0" w:color="auto"/>
            </w:tcBorders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~30 seconds</w:t>
            </w:r>
          </w:p>
        </w:tc>
        <w:tc>
          <w:tcPr>
            <w:tcW w:w="2970" w:type="dxa"/>
            <w:tcBorders>
              <w:top w:val="double" w:sz="4" w:space="0" w:color="auto"/>
            </w:tcBorders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128</w:t>
            </w:r>
          </w:p>
        </w:tc>
        <w:tc>
          <w:tcPr>
            <w:tcW w:w="2340" w:type="dxa"/>
            <w:tcBorders>
              <w:top w:val="double" w:sz="4" w:space="0" w:color="auto"/>
            </w:tcBorders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416</w:t>
            </w:r>
          </w:p>
        </w:tc>
      </w:tr>
      <w:tr w:rsidR="00E94C83" w:rsidRPr="0091722A" w:rsidTr="00234C8E">
        <w:tc>
          <w:tcPr>
            <w:tcW w:w="1347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1</w:t>
            </w:r>
          </w:p>
        </w:tc>
        <w:tc>
          <w:tcPr>
            <w:tcW w:w="1731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~60 seconds</w:t>
            </w:r>
          </w:p>
        </w:tc>
        <w:tc>
          <w:tcPr>
            <w:tcW w:w="297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256</w:t>
            </w:r>
          </w:p>
        </w:tc>
        <w:tc>
          <w:tcPr>
            <w:tcW w:w="234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208</w:t>
            </w:r>
          </w:p>
        </w:tc>
      </w:tr>
      <w:tr w:rsidR="00E94C83" w:rsidRPr="0091722A" w:rsidTr="00234C8E">
        <w:tc>
          <w:tcPr>
            <w:tcW w:w="1347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2</w:t>
            </w:r>
          </w:p>
        </w:tc>
        <w:tc>
          <w:tcPr>
            <w:tcW w:w="1731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~2 minutes</w:t>
            </w:r>
          </w:p>
        </w:tc>
        <w:tc>
          <w:tcPr>
            <w:tcW w:w="297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512</w:t>
            </w:r>
          </w:p>
        </w:tc>
        <w:tc>
          <w:tcPr>
            <w:tcW w:w="234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104</w:t>
            </w:r>
          </w:p>
        </w:tc>
      </w:tr>
      <w:tr w:rsidR="00E94C83" w:rsidRPr="0091722A" w:rsidTr="00234C8E">
        <w:tc>
          <w:tcPr>
            <w:tcW w:w="1347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3</w:t>
            </w:r>
          </w:p>
        </w:tc>
        <w:tc>
          <w:tcPr>
            <w:tcW w:w="1731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~4 minutes</w:t>
            </w:r>
          </w:p>
        </w:tc>
        <w:tc>
          <w:tcPr>
            <w:tcW w:w="297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1024</w:t>
            </w:r>
          </w:p>
        </w:tc>
        <w:tc>
          <w:tcPr>
            <w:tcW w:w="234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52</w:t>
            </w:r>
          </w:p>
        </w:tc>
      </w:tr>
      <w:tr w:rsidR="00E94C83" w:rsidRPr="0091722A" w:rsidTr="00234C8E">
        <w:tc>
          <w:tcPr>
            <w:tcW w:w="1347" w:type="dxa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731" w:type="dxa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~6.5</w:t>
            </w:r>
            <w:r w:rsidRPr="0091722A">
              <w:t xml:space="preserve"> minutes</w:t>
            </w:r>
          </w:p>
        </w:tc>
        <w:tc>
          <w:tcPr>
            <w:tcW w:w="2970" w:type="dxa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1664</w:t>
            </w:r>
          </w:p>
        </w:tc>
        <w:tc>
          <w:tcPr>
            <w:tcW w:w="2340" w:type="dxa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32</w:t>
            </w:r>
          </w:p>
        </w:tc>
      </w:tr>
      <w:tr w:rsidR="00E94C83" w:rsidRPr="0091722A" w:rsidTr="00234C8E">
        <w:tc>
          <w:tcPr>
            <w:tcW w:w="1347" w:type="dxa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5</w:t>
            </w:r>
          </w:p>
        </w:tc>
        <w:tc>
          <w:tcPr>
            <w:tcW w:w="1731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~8 minutes</w:t>
            </w:r>
          </w:p>
        </w:tc>
        <w:tc>
          <w:tcPr>
            <w:tcW w:w="297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2048</w:t>
            </w:r>
          </w:p>
        </w:tc>
        <w:tc>
          <w:tcPr>
            <w:tcW w:w="234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26</w:t>
            </w:r>
          </w:p>
        </w:tc>
      </w:tr>
      <w:tr w:rsidR="00E94C83" w:rsidRPr="0091722A" w:rsidTr="00234C8E">
        <w:tc>
          <w:tcPr>
            <w:tcW w:w="1347" w:type="dxa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lastRenderedPageBreak/>
              <w:t>6</w:t>
            </w:r>
          </w:p>
        </w:tc>
        <w:tc>
          <w:tcPr>
            <w:tcW w:w="1731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~13 minutes</w:t>
            </w:r>
          </w:p>
        </w:tc>
        <w:tc>
          <w:tcPr>
            <w:tcW w:w="297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3328</w:t>
            </w:r>
          </w:p>
        </w:tc>
        <w:tc>
          <w:tcPr>
            <w:tcW w:w="234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16</w:t>
            </w:r>
          </w:p>
        </w:tc>
      </w:tr>
      <w:tr w:rsidR="00E94C83" w:rsidRPr="0091722A" w:rsidTr="00234C8E">
        <w:tc>
          <w:tcPr>
            <w:tcW w:w="1347" w:type="dxa"/>
          </w:tcPr>
          <w:p w:rsidR="00E94C83" w:rsidRPr="0091722A" w:rsidRDefault="00E94C83" w:rsidP="00234C8E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731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~16 minutes</w:t>
            </w:r>
          </w:p>
        </w:tc>
        <w:tc>
          <w:tcPr>
            <w:tcW w:w="297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4096</w:t>
            </w:r>
          </w:p>
        </w:tc>
        <w:tc>
          <w:tcPr>
            <w:tcW w:w="2340" w:type="dxa"/>
          </w:tcPr>
          <w:p w:rsidR="00E94C83" w:rsidRPr="0091722A" w:rsidRDefault="00E94C83" w:rsidP="00234C8E">
            <w:pPr>
              <w:pStyle w:val="BodyText"/>
              <w:jc w:val="center"/>
            </w:pPr>
            <w:r w:rsidRPr="0091722A">
              <w:t>13</w:t>
            </w:r>
          </w:p>
        </w:tc>
      </w:tr>
      <w:tr w:rsidR="00E94C83" w:rsidTr="00234C8E">
        <w:tc>
          <w:tcPr>
            <w:tcW w:w="1347" w:type="dxa"/>
          </w:tcPr>
          <w:p w:rsidR="00E94C83" w:rsidRPr="0000515D" w:rsidRDefault="00E94C83" w:rsidP="00234C8E">
            <w:pPr>
              <w:pStyle w:val="BodyText"/>
              <w:jc w:val="center"/>
            </w:pPr>
            <w:r w:rsidRPr="0000515D">
              <w:t>8</w:t>
            </w:r>
          </w:p>
        </w:tc>
        <w:tc>
          <w:tcPr>
            <w:tcW w:w="1731" w:type="dxa"/>
          </w:tcPr>
          <w:p w:rsidR="00E94C83" w:rsidRPr="0000515D" w:rsidRDefault="00E94C83" w:rsidP="00234C8E">
            <w:pPr>
              <w:pStyle w:val="BodyText"/>
              <w:jc w:val="center"/>
            </w:pPr>
            <w:r w:rsidRPr="0000515D">
              <w:t>~26 minutes</w:t>
            </w:r>
          </w:p>
        </w:tc>
        <w:tc>
          <w:tcPr>
            <w:tcW w:w="2970" w:type="dxa"/>
          </w:tcPr>
          <w:p w:rsidR="00E94C83" w:rsidRPr="0000515D" w:rsidRDefault="00E94C83" w:rsidP="00234C8E">
            <w:pPr>
              <w:pStyle w:val="BodyText"/>
              <w:jc w:val="center"/>
            </w:pPr>
            <w:r w:rsidRPr="0000515D">
              <w:t>6656</w:t>
            </w:r>
          </w:p>
        </w:tc>
        <w:tc>
          <w:tcPr>
            <w:tcW w:w="2340" w:type="dxa"/>
          </w:tcPr>
          <w:p w:rsidR="00E94C83" w:rsidRPr="0000515D" w:rsidRDefault="00E94C83" w:rsidP="00234C8E">
            <w:pPr>
              <w:pStyle w:val="BodyText"/>
              <w:jc w:val="center"/>
            </w:pPr>
            <w:r w:rsidRPr="0000515D">
              <w:t>8</w:t>
            </w:r>
          </w:p>
        </w:tc>
      </w:tr>
      <w:tr w:rsidR="001C39FD" w:rsidTr="00234C8E">
        <w:tc>
          <w:tcPr>
            <w:tcW w:w="1347" w:type="dxa"/>
          </w:tcPr>
          <w:p w:rsidR="001C39FD" w:rsidRPr="0000515D" w:rsidRDefault="001C39FD" w:rsidP="00234C8E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731" w:type="dxa"/>
          </w:tcPr>
          <w:p w:rsidR="001C39FD" w:rsidRPr="0000515D" w:rsidRDefault="001C39FD" w:rsidP="00234C8E">
            <w:pPr>
              <w:pStyle w:val="BodyText"/>
              <w:jc w:val="center"/>
            </w:pPr>
            <w:r>
              <w:t>~52 minutes</w:t>
            </w:r>
          </w:p>
        </w:tc>
        <w:tc>
          <w:tcPr>
            <w:tcW w:w="2970" w:type="dxa"/>
          </w:tcPr>
          <w:p w:rsidR="001C39FD" w:rsidRPr="0000515D" w:rsidRDefault="001C39FD" w:rsidP="00234C8E">
            <w:pPr>
              <w:pStyle w:val="BodyText"/>
              <w:jc w:val="center"/>
            </w:pPr>
            <w:r>
              <w:t>13312</w:t>
            </w:r>
          </w:p>
        </w:tc>
        <w:tc>
          <w:tcPr>
            <w:tcW w:w="2340" w:type="dxa"/>
          </w:tcPr>
          <w:p w:rsidR="001C39FD" w:rsidRPr="0000515D" w:rsidRDefault="001C39FD" w:rsidP="00234C8E">
            <w:pPr>
              <w:pStyle w:val="BodyText"/>
              <w:jc w:val="center"/>
            </w:pPr>
            <w:r>
              <w:t>4</w:t>
            </w:r>
          </w:p>
        </w:tc>
      </w:tr>
      <w:tr w:rsidR="00E94C83" w:rsidTr="00234C8E">
        <w:tc>
          <w:tcPr>
            <w:tcW w:w="8388" w:type="dxa"/>
            <w:gridSpan w:val="4"/>
          </w:tcPr>
          <w:p w:rsidR="00E94C83" w:rsidRDefault="00E94C83" w:rsidP="00234C8E">
            <w:pPr>
              <w:pStyle w:val="BodyText"/>
              <w:jc w:val="left"/>
            </w:pPr>
            <w:r>
              <w:t>Note 1: 53248  51-multiframes occur with the TDMA FN space (</w:t>
            </w:r>
            <w:r w:rsidRPr="00974723">
              <w:t>2715648 TDMA frames</w:t>
            </w:r>
            <w:r>
              <w:t>)</w:t>
            </w:r>
          </w:p>
          <w:p w:rsidR="00E94C83" w:rsidRDefault="00E94C83" w:rsidP="00234C8E">
            <w:pPr>
              <w:pStyle w:val="BodyText"/>
              <w:jc w:val="left"/>
            </w:pPr>
            <w:r>
              <w:t>Note 2: All remaining EXTENDED_DRX values are reserved</w:t>
            </w:r>
          </w:p>
        </w:tc>
      </w:tr>
    </w:tbl>
    <w:p w:rsidR="00E94C83" w:rsidRDefault="00E94C83" w:rsidP="00E94C83">
      <w:pPr>
        <w:rPr>
          <w:color w:val="FF0000"/>
        </w:rPr>
      </w:pPr>
    </w:p>
    <w:p w:rsidR="00E94C83" w:rsidRPr="000B4B73" w:rsidRDefault="00E94C83" w:rsidP="00E94C83">
      <w:pPr>
        <w:pStyle w:val="Heading1"/>
        <w:rPr>
          <w:bCs/>
          <w:iCs w:val="0"/>
        </w:rPr>
      </w:pPr>
      <w:r w:rsidRPr="000B4B73">
        <w:t>Proposal</w:t>
      </w:r>
    </w:p>
    <w:p w:rsidR="00BE6E3C" w:rsidRDefault="00BE6E3C" w:rsidP="00BE6E3C">
      <w:pPr>
        <w:rPr>
          <w:lang w:val="en-GB"/>
        </w:rPr>
      </w:pPr>
      <w:r>
        <w:rPr>
          <w:lang w:val="en-GB"/>
        </w:rPr>
        <w:t xml:space="preserve">It is proposed that the </w:t>
      </w:r>
      <w:r w:rsidRPr="006F14E2">
        <w:rPr>
          <w:lang w:val="en-GB"/>
        </w:rPr>
        <w:t xml:space="preserve">working assumptions listed above </w:t>
      </w:r>
      <w:r>
        <w:rPr>
          <w:lang w:val="en-GB"/>
        </w:rPr>
        <w:t xml:space="preserve">be used to </w:t>
      </w:r>
      <w:r>
        <w:t xml:space="preserve">avoid </w:t>
      </w:r>
      <w:r w:rsidRPr="004762F6">
        <w:t>the possi</w:t>
      </w:r>
      <w:r>
        <w:t>bility of substantial delays in device</w:t>
      </w:r>
      <w:r w:rsidRPr="004762F6">
        <w:t xml:space="preserve"> reachability </w:t>
      </w:r>
      <w:r>
        <w:t xml:space="preserve">that can occur at TDMA FN space wrap-around when </w:t>
      </w:r>
      <w:r>
        <w:rPr>
          <w:lang w:val="en-GB"/>
        </w:rPr>
        <w:t>eDRX is supported within</w:t>
      </w:r>
      <w:r w:rsidRPr="006F14E2">
        <w:rPr>
          <w:lang w:val="en-GB"/>
        </w:rPr>
        <w:t xml:space="preserve"> </w:t>
      </w:r>
      <w:r w:rsidR="00BD0358">
        <w:rPr>
          <w:lang w:val="en-GB"/>
        </w:rPr>
        <w:t>EC-GSM cells.</w:t>
      </w:r>
      <w:r w:rsidRPr="006F14E2">
        <w:rPr>
          <w:lang w:val="en-GB"/>
        </w:rPr>
        <w:t xml:space="preserve"> </w:t>
      </w:r>
    </w:p>
    <w:p w:rsidR="00E94C83" w:rsidRDefault="00E94C83" w:rsidP="00E94C83">
      <w:pPr>
        <w:pStyle w:val="Heading1"/>
      </w:pPr>
      <w:r>
        <w:t>References</w:t>
      </w:r>
    </w:p>
    <w:bookmarkStart w:id="4" w:name="_Ref406656717"/>
    <w:p w:rsidR="002A1B11" w:rsidRDefault="00E94C83" w:rsidP="00E94C83">
      <w:pPr>
        <w:pStyle w:val="Reference"/>
        <w:tabs>
          <w:tab w:val="num" w:pos="360"/>
        </w:tabs>
        <w:ind w:left="360" w:hanging="360"/>
      </w:pPr>
      <w:r>
        <w:fldChar w:fldCharType="begin"/>
      </w:r>
      <w:r>
        <w:instrText xml:space="preserve"> HYPERLINK "ftp://www.3gpp.org/tsg_geran/TSG_GERAN/GERAN_64_San_Francisco/Docs/GP-140894.zip" </w:instrText>
      </w:r>
      <w:r>
        <w:fldChar w:fldCharType="separate"/>
      </w:r>
      <w:r>
        <w:rPr>
          <w:rStyle w:val="Hyperlink"/>
        </w:rPr>
        <w:t>GP-140894</w:t>
      </w:r>
      <w:r>
        <w:fldChar w:fldCharType="end"/>
      </w:r>
      <w:r w:rsidRPr="00C63329">
        <w:t xml:space="preserve">, </w:t>
      </w:r>
      <w:r w:rsidR="00E62964">
        <w:t>“</w:t>
      </w:r>
      <w:r>
        <w:t>Supporting eDRX for uPoD</w:t>
      </w:r>
      <w:r w:rsidR="00E62964">
        <w:t>”</w:t>
      </w:r>
      <w:r>
        <w:t xml:space="preserve">, </w:t>
      </w:r>
      <w:r w:rsidR="00E62964">
        <w:t xml:space="preserve">source </w:t>
      </w:r>
      <w:r>
        <w:t>Ericsson</w:t>
      </w:r>
      <w:r w:rsidR="00E62964">
        <w:t xml:space="preserve">. </w:t>
      </w:r>
      <w:r>
        <w:t>TSG GERAN #64</w:t>
      </w:r>
      <w:bookmarkEnd w:id="4"/>
    </w:p>
    <w:bookmarkStart w:id="5" w:name="_Ref406657087"/>
    <w:p w:rsidR="00E31566" w:rsidRDefault="007B76CC" w:rsidP="0014753C">
      <w:pPr>
        <w:pStyle w:val="Reference"/>
      </w:pPr>
      <w:r>
        <w:fldChar w:fldCharType="begin"/>
      </w:r>
      <w:r>
        <w:instrText xml:space="preserve"> HYPERLINK "http://www.3gpp.org/ftp/tsg_geran/TSG_GERAN/GERAN_64_San_Francisco/Docs/GP-140895.zip" </w:instrText>
      </w:r>
      <w:r>
        <w:fldChar w:fldCharType="separate"/>
      </w:r>
      <w:r w:rsidR="00E31566" w:rsidRPr="007B76CC">
        <w:rPr>
          <w:rStyle w:val="Hyperlink"/>
        </w:rPr>
        <w:t>GP</w:t>
      </w:r>
      <w:r w:rsidR="00E62964" w:rsidRPr="007B76CC">
        <w:rPr>
          <w:rStyle w:val="Hyperlink"/>
        </w:rPr>
        <w:t>-</w:t>
      </w:r>
      <w:r w:rsidR="00E31566" w:rsidRPr="007B76CC">
        <w:rPr>
          <w:rStyle w:val="Hyperlink"/>
        </w:rPr>
        <w:t>140895</w:t>
      </w:r>
      <w:r>
        <w:fldChar w:fldCharType="end"/>
      </w:r>
      <w:r w:rsidR="00E31566">
        <w:t xml:space="preserve">, </w:t>
      </w:r>
      <w:r w:rsidR="00E62964">
        <w:t>“Realizing eDRX for uPOD”, source Ericsson. TSG GERAN#64.</w:t>
      </w:r>
      <w:bookmarkEnd w:id="5"/>
    </w:p>
    <w:p w:rsidR="008F54FB" w:rsidRPr="00E94C83" w:rsidRDefault="005231A8" w:rsidP="008F54FB">
      <w:pPr>
        <w:pStyle w:val="Reference"/>
      </w:pPr>
      <w:r>
        <w:t>GPC150080, “</w:t>
      </w:r>
      <w:r w:rsidR="00357E05">
        <w:t xml:space="preserve">EC-GSM - </w:t>
      </w:r>
      <w:r w:rsidR="008F54FB">
        <w:t xml:space="preserve">Realizing </w:t>
      </w:r>
      <w:r w:rsidR="008F54FB" w:rsidRPr="00EC566B">
        <w:t>eDRX</w:t>
      </w:r>
      <w:r w:rsidR="00357E05">
        <w:t xml:space="preserve"> Using TDMA FN Information</w:t>
      </w:r>
      <w:r>
        <w:t>”</w:t>
      </w:r>
      <w:r w:rsidR="008F54FB">
        <w:t>, source Ericsson. CIoT Ad Hoc#1.</w:t>
      </w:r>
    </w:p>
    <w:sectPr w:rsidR="008F54FB" w:rsidRPr="00E94C83" w:rsidSect="002D4F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555" w:rsidRDefault="00234555">
      <w:r>
        <w:separator/>
      </w:r>
    </w:p>
  </w:endnote>
  <w:endnote w:type="continuationSeparator" w:id="0">
    <w:p w:rsidR="00234555" w:rsidRDefault="0023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0B48" w:rsidRDefault="00810B48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40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505CA" w:rsidRDefault="00D505CA">
    <w:pPr>
      <w:pStyle w:val="Footer"/>
      <w:ind w:right="-152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140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140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555" w:rsidRDefault="00234555">
      <w:r>
        <w:separator/>
      </w:r>
    </w:p>
  </w:footnote>
  <w:footnote w:type="continuationSeparator" w:id="0">
    <w:p w:rsidR="00234555" w:rsidRDefault="0023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BD0358" w:rsidRDefault="00BD0358" w:rsidP="00BD0358">
    <w:pPr>
      <w:pStyle w:val="Header"/>
      <w:spacing w:after="0"/>
    </w:pPr>
    <w:r w:rsidRPr="00805759">
      <w:t>3GPP TSG GERAN Ad Hoc#1 on FS_IoT_LC</w:t>
    </w:r>
    <w:r w:rsidRPr="00805759">
      <w:tab/>
    </w:r>
    <w:r w:rsidRPr="00805759">
      <w:tab/>
    </w:r>
    <w:r w:rsidRPr="005231A8">
      <w:t>Tdoc GPC150</w:t>
    </w:r>
    <w:r w:rsidR="005231A8" w:rsidRPr="005231A8">
      <w:t>081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63B" w:rsidRPr="00805759" w:rsidRDefault="00D4063B" w:rsidP="00D4063B">
    <w:pPr>
      <w:pStyle w:val="Header"/>
      <w:spacing w:after="0"/>
    </w:pPr>
    <w:r w:rsidRPr="00805759">
      <w:t>3GPP TSG GERAN Ad Hoc#1 on FS_IoT_LC</w:t>
    </w:r>
    <w:r w:rsidRPr="00805759">
      <w:tab/>
    </w:r>
    <w:r w:rsidRPr="00805759">
      <w:tab/>
      <w:t>Tdoc G</w:t>
    </w:r>
    <w:r w:rsidRPr="005231A8">
      <w:t>PC150</w:t>
    </w:r>
    <w:r w:rsidR="005231A8" w:rsidRPr="005231A8">
      <w:t>081</w:t>
    </w:r>
  </w:p>
  <w:p w:rsidR="00D4063B" w:rsidRPr="00F171F5" w:rsidRDefault="00D4063B" w:rsidP="00D4063B">
    <w:pPr>
      <w:pStyle w:val="Header"/>
      <w:spacing w:after="0"/>
      <w:rPr>
        <w:lang w:val="it-IT"/>
      </w:rPr>
    </w:pPr>
    <w:r>
      <w:rPr>
        <w:lang w:val="it-IT"/>
      </w:rPr>
      <w:t>Sofia Antipolis, France</w:t>
    </w:r>
    <w:r w:rsidRPr="00F171F5">
      <w:rPr>
        <w:lang w:val="it-IT"/>
      </w:rPr>
      <w:tab/>
    </w:r>
    <w:r w:rsidRPr="00F171F5">
      <w:rPr>
        <w:lang w:val="it-IT"/>
      </w:rPr>
      <w:tab/>
    </w:r>
    <w:r w:rsidRPr="005231A8">
      <w:t xml:space="preserve">Agenda item </w:t>
    </w:r>
    <w:r w:rsidR="005231A8" w:rsidRPr="00793122">
      <w:t>1.4.3.1, 2.4.7</w:t>
    </w:r>
  </w:p>
  <w:p w:rsidR="00D4063B" w:rsidRPr="00264773" w:rsidRDefault="00D4063B" w:rsidP="00D4063B">
    <w:pPr>
      <w:pStyle w:val="Header"/>
      <w:spacing w:after="0"/>
      <w:rPr>
        <w:snapToGrid w:val="0"/>
      </w:rPr>
    </w:pPr>
    <w:r>
      <w:t>2</w:t>
    </w:r>
    <w:r w:rsidRPr="00805759">
      <w:rPr>
        <w:vertAlign w:val="superscript"/>
      </w:rPr>
      <w:t>nd</w:t>
    </w:r>
    <w:r>
      <w:t xml:space="preserve"> – 5</w:t>
    </w:r>
    <w:r w:rsidRPr="00805759">
      <w:rPr>
        <w:vertAlign w:val="superscript"/>
      </w:rPr>
      <w:t>th</w:t>
    </w:r>
    <w:r>
      <w:t xml:space="preserve">  February</w:t>
    </w:r>
    <w:r w:rsidRPr="00264773">
      <w:t xml:space="preserve">, </w:t>
    </w:r>
    <w:r>
      <w:t>2014</w:t>
    </w:r>
    <w:r w:rsidRPr="00264773">
      <w:br/>
      <w:t xml:space="preserve">Source: </w:t>
    </w:r>
    <w:r>
      <w:t>Ericsson</w:t>
    </w:r>
  </w:p>
  <w:p w:rsidR="00D505CA" w:rsidRPr="00264773" w:rsidRDefault="00D505CA" w:rsidP="0015360B">
    <w:pPr>
      <w:pStyle w:val="Header"/>
      <w:spacing w:after="0"/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AAD131F"/>
    <w:multiLevelType w:val="multilevel"/>
    <w:tmpl w:val="54D60C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10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6"/>
  </w:num>
  <w:num w:numId="1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3BA8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975"/>
    <w:rsid w:val="00140B83"/>
    <w:rsid w:val="00144049"/>
    <w:rsid w:val="001449B8"/>
    <w:rsid w:val="00145990"/>
    <w:rsid w:val="00146503"/>
    <w:rsid w:val="00146961"/>
    <w:rsid w:val="001474F8"/>
    <w:rsid w:val="0014753C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B42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4A65"/>
    <w:rsid w:val="001E50C4"/>
    <w:rsid w:val="001E5F92"/>
    <w:rsid w:val="001E62FE"/>
    <w:rsid w:val="001E7018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607"/>
    <w:rsid w:val="00211DCC"/>
    <w:rsid w:val="00212200"/>
    <w:rsid w:val="00214891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DB2"/>
    <w:rsid w:val="002264E4"/>
    <w:rsid w:val="002301B3"/>
    <w:rsid w:val="0023073F"/>
    <w:rsid w:val="00231EC7"/>
    <w:rsid w:val="00232177"/>
    <w:rsid w:val="002325D0"/>
    <w:rsid w:val="00233DA4"/>
    <w:rsid w:val="00234555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402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3DED"/>
    <w:rsid w:val="003549E9"/>
    <w:rsid w:val="0035554D"/>
    <w:rsid w:val="00356ED2"/>
    <w:rsid w:val="00357E05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140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6C8B"/>
    <w:rsid w:val="004B7181"/>
    <w:rsid w:val="004C38D3"/>
    <w:rsid w:val="004C4B4D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1A8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666D4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0B48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175E3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0C00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7E6"/>
    <w:rsid w:val="00894C37"/>
    <w:rsid w:val="008968E2"/>
    <w:rsid w:val="008A09D6"/>
    <w:rsid w:val="008A0FE8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837"/>
    <w:rsid w:val="00A6564E"/>
    <w:rsid w:val="00A65BC0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EE5"/>
    <w:rsid w:val="00BB1FC3"/>
    <w:rsid w:val="00BB26EE"/>
    <w:rsid w:val="00BB2967"/>
    <w:rsid w:val="00BB2ACB"/>
    <w:rsid w:val="00BB424C"/>
    <w:rsid w:val="00BB473E"/>
    <w:rsid w:val="00BB5810"/>
    <w:rsid w:val="00BB5A49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358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56DF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67B2"/>
    <w:rsid w:val="00D279EF"/>
    <w:rsid w:val="00D27CE6"/>
    <w:rsid w:val="00D303D6"/>
    <w:rsid w:val="00D31311"/>
    <w:rsid w:val="00D313A9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063B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66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2964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6A6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574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6A1B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4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E31566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A14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140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4063B"/>
    <w:rPr>
      <w:rFonts w:asciiTheme="minorHAnsi" w:eastAsiaTheme="minorHAnsi" w:hAnsiTheme="minorHAnsi" w:cstheme="minorBid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4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E31566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2A14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140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4063B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9C55-A07F-43E2-B85A-6D319CB0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7694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R3</cp:lastModifiedBy>
  <cp:revision>2</cp:revision>
  <cp:lastPrinted>2013-02-08T15:42:00Z</cp:lastPrinted>
  <dcterms:created xsi:type="dcterms:W3CDTF">2015-01-27T22:56:00Z</dcterms:created>
  <dcterms:modified xsi:type="dcterms:W3CDTF">2015-01-27T22:56:00Z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