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6BEC" w14:textId="34E49713" w:rsidR="00CD3BEE" w:rsidRDefault="00CD3BEE">
      <w:pPr>
        <w:spacing w:before="0"/>
        <w:jc w:val="left"/>
        <w:rPr>
          <w:sz w:val="20"/>
          <w:szCs w:val="22"/>
          <w:lang w:eastAsia="en-GB" w:bidi="ar-SA"/>
        </w:rPr>
      </w:pPr>
      <w:bookmarkStart w:id="0" w:name="_Toc327548004"/>
      <w:bookmarkStart w:id="1" w:name="_Toc327548204"/>
      <w:bookmarkStart w:id="2" w:name="_Toc330993687"/>
      <w:bookmarkStart w:id="3" w:name="_Toc74460299"/>
    </w:p>
    <w:p w14:paraId="33E1FB5A" w14:textId="6B936B8A" w:rsidR="00477CD5" w:rsidRDefault="004C0DAB" w:rsidP="00477CD5">
      <w:pPr>
        <w:pStyle w:val="Header"/>
        <w:tabs>
          <w:tab w:val="right" w:pos="9356"/>
        </w:tabs>
        <w:jc w:val="center"/>
      </w:pPr>
      <w:r>
        <w:rPr>
          <w:noProof/>
        </w:rPr>
        <w:drawing>
          <wp:inline distT="0" distB="0" distL="0" distR="0" wp14:anchorId="1A1F33A6" wp14:editId="3A0D16FF">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14:paraId="7F746982" w14:textId="77777777" w:rsidR="00477CD5" w:rsidRDefault="00477CD5" w:rsidP="003E4579">
      <w:pPr>
        <w:pStyle w:val="Title"/>
        <w:jc w:val="center"/>
      </w:pPr>
      <w:r w:rsidRPr="009D6A6C">
        <w:t xml:space="preserve">Liaison </w:t>
      </w:r>
      <w:r w:rsidRPr="00477CD5">
        <w:t>Statement</w:t>
      </w:r>
    </w:p>
    <w:p w14:paraId="30009ACF"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2ED4CE8B" w14:textId="77777777" w:rsidTr="003E4579">
        <w:trPr>
          <w:trHeight w:val="590"/>
          <w:tblHeader/>
        </w:trPr>
        <w:tc>
          <w:tcPr>
            <w:tcW w:w="3337" w:type="dxa"/>
            <w:shd w:val="clear" w:color="auto" w:fill="DE002B"/>
            <w:vAlign w:val="center"/>
          </w:tcPr>
          <w:p w14:paraId="223FD756" w14:textId="77777777" w:rsidR="00477CD5" w:rsidRDefault="00477CD5" w:rsidP="003E4579">
            <w:pPr>
              <w:pStyle w:val="TableHeader"/>
            </w:pPr>
            <w:r>
              <w:t>Liaison Statement Title:</w:t>
            </w:r>
          </w:p>
        </w:tc>
        <w:tc>
          <w:tcPr>
            <w:tcW w:w="6379" w:type="dxa"/>
            <w:vAlign w:val="center"/>
          </w:tcPr>
          <w:p w14:paraId="0634B372" w14:textId="77777777" w:rsidR="00477CD5" w:rsidRDefault="00A34C8D" w:rsidP="00243007">
            <w:pPr>
              <w:pStyle w:val="TableText"/>
            </w:pPr>
            <w:r>
              <w:t xml:space="preserve">GTP Recovery Counter </w:t>
            </w:r>
            <w:r w:rsidR="008C1C88">
              <w:t>&amp; GSN node behaviour</w:t>
            </w:r>
          </w:p>
        </w:tc>
      </w:tr>
      <w:tr w:rsidR="00E21141" w14:paraId="504DC767" w14:textId="77777777" w:rsidTr="003E4579">
        <w:trPr>
          <w:trHeight w:val="590"/>
          <w:tblHeader/>
        </w:trPr>
        <w:tc>
          <w:tcPr>
            <w:tcW w:w="3337" w:type="dxa"/>
            <w:shd w:val="clear" w:color="auto" w:fill="DE002B"/>
            <w:vAlign w:val="center"/>
          </w:tcPr>
          <w:p w14:paraId="350471D4" w14:textId="77777777" w:rsidR="00E21141" w:rsidRDefault="00E21141" w:rsidP="003E4579">
            <w:pPr>
              <w:pStyle w:val="TableHeader"/>
            </w:pPr>
            <w:r>
              <w:t>Security Classification:</w:t>
            </w:r>
          </w:p>
        </w:tc>
        <w:tc>
          <w:tcPr>
            <w:tcW w:w="6379" w:type="dxa"/>
            <w:vAlign w:val="center"/>
          </w:tcPr>
          <w:p w14:paraId="068FA8DD" w14:textId="6B282276" w:rsidR="00E21141" w:rsidRDefault="00115FED" w:rsidP="00115FED">
            <w:pPr>
              <w:pStyle w:val="TableText"/>
            </w:pPr>
            <w:r>
              <w:t>Non-</w:t>
            </w:r>
            <w:r w:rsidR="00AE7C34">
              <w:t>C</w:t>
            </w:r>
            <w:r w:rsidR="00243007">
              <w:t>onfidential</w:t>
            </w:r>
          </w:p>
        </w:tc>
      </w:tr>
    </w:tbl>
    <w:p w14:paraId="52E79F3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18312BB"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AD326C5" w14:textId="77777777" w:rsidR="00477CD5" w:rsidRDefault="00477CD5" w:rsidP="003E4579">
            <w:pPr>
              <w:pStyle w:val="TableHeader"/>
            </w:pPr>
            <w:r>
              <w:t>Source Meeting Information</w:t>
            </w:r>
          </w:p>
        </w:tc>
      </w:tr>
      <w:tr w:rsidR="00477CD5" w14:paraId="3D05B93E"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726E7F" w14:textId="77777777" w:rsidR="00477CD5" w:rsidRDefault="00477CD5" w:rsidP="00DC5B89">
            <w:pPr>
              <w:pStyle w:val="TableText"/>
            </w:pPr>
            <w:r>
              <w:t>Meeting Number</w:t>
            </w:r>
          </w:p>
        </w:tc>
        <w:tc>
          <w:tcPr>
            <w:tcW w:w="3228" w:type="dxa"/>
            <w:shd w:val="clear" w:color="auto" w:fill="D9D9D9"/>
          </w:tcPr>
          <w:p w14:paraId="1D05BA75" w14:textId="77777777" w:rsidR="00477CD5" w:rsidRDefault="00477CD5" w:rsidP="00DC5B89">
            <w:pPr>
              <w:pStyle w:val="TableText"/>
            </w:pPr>
            <w:r>
              <w:t>Meeting Date</w:t>
            </w:r>
          </w:p>
        </w:tc>
        <w:tc>
          <w:tcPr>
            <w:tcW w:w="3008" w:type="dxa"/>
            <w:shd w:val="clear" w:color="auto" w:fill="D9D9D9"/>
          </w:tcPr>
          <w:p w14:paraId="7FCED671" w14:textId="77777777" w:rsidR="00477CD5" w:rsidRDefault="00477CD5" w:rsidP="00DC5B89">
            <w:pPr>
              <w:pStyle w:val="TableText"/>
            </w:pPr>
            <w:r>
              <w:t>Meeting Location</w:t>
            </w:r>
          </w:p>
        </w:tc>
      </w:tr>
      <w:tr w:rsidR="008C1C88" w14:paraId="431ED302" w14:textId="77777777"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1FA053AC" w14:textId="26A5C82E" w:rsidR="008C1C88" w:rsidRDefault="008C1C88" w:rsidP="00246CC0">
            <w:pPr>
              <w:pStyle w:val="CSFieldInfo"/>
              <w:framePr w:wrap="auto" w:vAnchor="margin" w:hAnchor="text" w:yAlign="inline"/>
            </w:pPr>
            <w:r>
              <w:t>R</w:t>
            </w:r>
            <w:r w:rsidR="004C0DAB">
              <w:t>I</w:t>
            </w:r>
            <w:r>
              <w:t>FS#7</w:t>
            </w:r>
            <w:r w:rsidR="00246CC0">
              <w:t>8</w:t>
            </w:r>
          </w:p>
        </w:tc>
        <w:tc>
          <w:tcPr>
            <w:tcW w:w="3228" w:type="dxa"/>
          </w:tcPr>
          <w:p w14:paraId="64B6A049" w14:textId="16866C44" w:rsidR="008C1C88" w:rsidRDefault="00246CC0" w:rsidP="0094608A">
            <w:pPr>
              <w:pStyle w:val="TableText"/>
            </w:pPr>
            <w:r>
              <w:t>1</w:t>
            </w:r>
            <w:r w:rsidR="0094608A">
              <w:t>2</w:t>
            </w:r>
            <w:r w:rsidR="00613116">
              <w:t>th</w:t>
            </w:r>
            <w:r w:rsidR="004C0DAB">
              <w:t xml:space="preserve"> </w:t>
            </w:r>
            <w:r>
              <w:t xml:space="preserve">June </w:t>
            </w:r>
            <w:r w:rsidR="008C1C88">
              <w:t>201</w:t>
            </w:r>
            <w:r w:rsidR="00613116">
              <w:t>9</w:t>
            </w:r>
          </w:p>
        </w:tc>
        <w:tc>
          <w:tcPr>
            <w:tcW w:w="3008" w:type="dxa"/>
          </w:tcPr>
          <w:p w14:paraId="4D2FF034" w14:textId="77777777" w:rsidR="008C1C88" w:rsidRDefault="008C1C88" w:rsidP="008C1C88">
            <w:pPr>
              <w:pStyle w:val="TableText"/>
            </w:pPr>
            <w:r>
              <w:t xml:space="preserve">Conference Call </w:t>
            </w:r>
          </w:p>
        </w:tc>
      </w:tr>
    </w:tbl>
    <w:p w14:paraId="1091BE9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A3F469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2491F37" w14:textId="77777777" w:rsidR="00477CD5" w:rsidRDefault="00477CD5" w:rsidP="003E4579">
            <w:pPr>
              <w:pStyle w:val="TableHeader"/>
            </w:pPr>
            <w:r>
              <w:t>Document Details</w:t>
            </w:r>
          </w:p>
        </w:tc>
      </w:tr>
      <w:tr w:rsidR="00477CD5" w14:paraId="7134CC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883DEE1" w14:textId="77777777" w:rsidR="00477CD5" w:rsidRDefault="00477CD5" w:rsidP="00DC5B89">
            <w:pPr>
              <w:pStyle w:val="TableText"/>
            </w:pPr>
            <w:r>
              <w:t>Document Number:</w:t>
            </w:r>
          </w:p>
        </w:tc>
        <w:tc>
          <w:tcPr>
            <w:tcW w:w="3228" w:type="dxa"/>
            <w:shd w:val="clear" w:color="auto" w:fill="D9D9D9"/>
          </w:tcPr>
          <w:p w14:paraId="360A3747" w14:textId="77777777" w:rsidR="00477CD5" w:rsidRDefault="00477CD5" w:rsidP="00DC5B89">
            <w:pPr>
              <w:pStyle w:val="TableText"/>
            </w:pPr>
            <w:r>
              <w:t>Creation Date:</w:t>
            </w:r>
          </w:p>
        </w:tc>
        <w:tc>
          <w:tcPr>
            <w:tcW w:w="3008" w:type="dxa"/>
            <w:shd w:val="clear" w:color="auto" w:fill="D9D9D9"/>
          </w:tcPr>
          <w:p w14:paraId="40F77AF4" w14:textId="77777777" w:rsidR="00477CD5" w:rsidRDefault="00477CD5" w:rsidP="00DC5B89">
            <w:pPr>
              <w:pStyle w:val="TableText"/>
            </w:pPr>
            <w:r>
              <w:t>Document Author:</w:t>
            </w:r>
          </w:p>
        </w:tc>
      </w:tr>
      <w:tr w:rsidR="00477CD5" w14:paraId="238BB51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196B0AF" w14:textId="3B788EE5" w:rsidR="00477CD5" w:rsidRDefault="0069239C" w:rsidP="00246CC0">
            <w:pPr>
              <w:pStyle w:val="TableText"/>
            </w:pPr>
            <w:r w:rsidRPr="0069239C">
              <w:t>RIFS Doc 7</w:t>
            </w:r>
            <w:r w:rsidR="00246CC0">
              <w:t>8</w:t>
            </w:r>
            <w:r w:rsidR="00115FED">
              <w:t>_0</w:t>
            </w:r>
            <w:r w:rsidR="00246CC0">
              <w:t>4</w:t>
            </w:r>
          </w:p>
        </w:tc>
        <w:tc>
          <w:tcPr>
            <w:tcW w:w="3228" w:type="dxa"/>
          </w:tcPr>
          <w:p w14:paraId="5D04DD0C" w14:textId="74DF511D" w:rsidR="00477CD5" w:rsidRDefault="00246CC0" w:rsidP="0094608A">
            <w:pPr>
              <w:pStyle w:val="TableText"/>
            </w:pPr>
            <w:r>
              <w:t>1</w:t>
            </w:r>
            <w:r w:rsidR="0094608A">
              <w:t>1</w:t>
            </w:r>
            <w:r w:rsidRPr="00246CC0">
              <w:rPr>
                <w:vertAlign w:val="superscript"/>
              </w:rPr>
              <w:t>th</w:t>
            </w:r>
            <w:r>
              <w:t xml:space="preserve"> June </w:t>
            </w:r>
            <w:r w:rsidR="008C1C88">
              <w:t>201</w:t>
            </w:r>
            <w:r w:rsidR="00613116">
              <w:t>9</w:t>
            </w:r>
          </w:p>
        </w:tc>
        <w:tc>
          <w:tcPr>
            <w:tcW w:w="3008" w:type="dxa"/>
          </w:tcPr>
          <w:p w14:paraId="1EA10D66" w14:textId="01D6D0FE" w:rsidR="00477CD5" w:rsidRDefault="008C1C88" w:rsidP="003E4579">
            <w:pPr>
              <w:pStyle w:val="TableText"/>
            </w:pPr>
            <w:r>
              <w:t>Jerem</w:t>
            </w:r>
            <w:r w:rsidR="002E4ABC">
              <w:t xml:space="preserve">y Norris, </w:t>
            </w:r>
            <w:r w:rsidR="00613116">
              <w:t>Mobileum</w:t>
            </w:r>
          </w:p>
        </w:tc>
      </w:tr>
      <w:tr w:rsidR="00477CD5" w14:paraId="68A82E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1AEB4DB" w14:textId="77777777" w:rsidR="00477CD5" w:rsidRDefault="00477CD5" w:rsidP="00DC5B89">
            <w:pPr>
              <w:pStyle w:val="TableText"/>
            </w:pPr>
            <w:r>
              <w:t>Originating GSMA Source:</w:t>
            </w:r>
          </w:p>
        </w:tc>
        <w:tc>
          <w:tcPr>
            <w:tcW w:w="3228" w:type="dxa"/>
            <w:shd w:val="clear" w:color="auto" w:fill="D9D9D9"/>
          </w:tcPr>
          <w:p w14:paraId="665D014F" w14:textId="77777777" w:rsidR="00477CD5" w:rsidRDefault="00E21141" w:rsidP="00DC5B89">
            <w:pPr>
              <w:pStyle w:val="TableText"/>
            </w:pPr>
            <w:r>
              <w:t>Deadline for response:</w:t>
            </w:r>
          </w:p>
        </w:tc>
        <w:tc>
          <w:tcPr>
            <w:tcW w:w="3008" w:type="dxa"/>
            <w:shd w:val="clear" w:color="auto" w:fill="D9D9D9"/>
          </w:tcPr>
          <w:p w14:paraId="1908260B" w14:textId="77777777" w:rsidR="00477CD5" w:rsidRDefault="00E21141" w:rsidP="00DC5B89">
            <w:pPr>
              <w:pStyle w:val="TableText"/>
            </w:pPr>
            <w:r>
              <w:t>Liaison Statement Contact</w:t>
            </w:r>
          </w:p>
        </w:tc>
      </w:tr>
      <w:tr w:rsidR="008C1C88" w14:paraId="2C2D4C5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70D527A" w14:textId="77777777" w:rsidR="008C1C88" w:rsidRDefault="004C0DAB" w:rsidP="008C1C88">
            <w:pPr>
              <w:pStyle w:val="TableText"/>
            </w:pPr>
            <w:r>
              <w:t>GSMA Roaming and Interconnect Fraud and Security (RIFS) subgroup</w:t>
            </w:r>
          </w:p>
        </w:tc>
        <w:tc>
          <w:tcPr>
            <w:tcW w:w="3228" w:type="dxa"/>
          </w:tcPr>
          <w:p w14:paraId="7521C199" w14:textId="77777777" w:rsidR="008C1C88" w:rsidRDefault="004C0DAB" w:rsidP="008C1C88">
            <w:pPr>
              <w:pStyle w:val="TableText"/>
            </w:pPr>
            <w:r>
              <w:t>-</w:t>
            </w:r>
          </w:p>
        </w:tc>
        <w:tc>
          <w:tcPr>
            <w:tcW w:w="3008" w:type="dxa"/>
          </w:tcPr>
          <w:p w14:paraId="2B0CFC06" w14:textId="77777777" w:rsidR="008C1C88" w:rsidRPr="002E4ABC" w:rsidRDefault="002E4ABC" w:rsidP="002E4ABC">
            <w:pPr>
              <w:pStyle w:val="Default"/>
              <w:rPr>
                <w:sz w:val="20"/>
              </w:rPr>
            </w:pPr>
            <w:r>
              <w:rPr>
                <w:sz w:val="20"/>
                <w:szCs w:val="20"/>
              </w:rPr>
              <w:t xml:space="preserve">David Maxwell, dmaxwell@gsma.com </w:t>
            </w:r>
          </w:p>
        </w:tc>
      </w:tr>
    </w:tbl>
    <w:p w14:paraId="60D5ACF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07C3E083"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059955E" w14:textId="77777777" w:rsidR="00E21141" w:rsidRDefault="00E21141">
            <w:pPr>
              <w:pStyle w:val="TableHeader"/>
            </w:pPr>
            <w:r>
              <w:t>Action Required by Recipient</w:t>
            </w:r>
          </w:p>
        </w:tc>
      </w:tr>
      <w:tr w:rsidR="00831B27" w14:paraId="3317108A"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088BF43"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91E1BA4" w14:textId="77777777"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14:paraId="3F11F436"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6E251C6"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0367DFD1" w14:textId="26B67756" w:rsidR="00831B27" w:rsidRPr="00831B27" w:rsidRDefault="00831B27" w:rsidP="00831B27">
            <w:pPr>
              <w:pStyle w:val="Default"/>
              <w:rPr>
                <w:sz w:val="20"/>
              </w:rPr>
            </w:pPr>
            <w:r w:rsidRPr="00831B27">
              <w:rPr>
                <w:sz w:val="20"/>
              </w:rPr>
              <w:t>To: 3GPP CT4</w:t>
            </w:r>
            <w:r w:rsidR="00C23FD9">
              <w:rPr>
                <w:sz w:val="20"/>
              </w:rPr>
              <w:t xml:space="preserve">, </w:t>
            </w:r>
            <w:r w:rsidR="00C23FD9" w:rsidRPr="00831B27">
              <w:rPr>
                <w:sz w:val="20"/>
              </w:rPr>
              <w:t>3GPP SA3</w:t>
            </w:r>
          </w:p>
          <w:p w14:paraId="430201F5" w14:textId="77777777" w:rsidR="00831B27" w:rsidRPr="002E4ABC" w:rsidRDefault="00831B27" w:rsidP="00831B27">
            <w:pPr>
              <w:pStyle w:val="Default"/>
              <w:rPr>
                <w:sz w:val="20"/>
              </w:rPr>
            </w:pPr>
            <w:r w:rsidRPr="00831B27">
              <w:rPr>
                <w:sz w:val="20"/>
              </w:rPr>
              <w:t xml:space="preserve">Cc: 3GPP SA1, 3GPP CT3 </w:t>
            </w:r>
          </w:p>
        </w:tc>
      </w:tr>
    </w:tbl>
    <w:p w14:paraId="2ED29E26" w14:textId="77777777" w:rsidR="00E21141" w:rsidRDefault="00E21141" w:rsidP="003E4579">
      <w:pPr>
        <w:pStyle w:val="NormalParagraph"/>
      </w:pPr>
    </w:p>
    <w:p w14:paraId="6109EC2C" w14:textId="77777777" w:rsidR="00477CD5" w:rsidRDefault="00477CD5" w:rsidP="003E4579">
      <w:pPr>
        <w:pStyle w:val="NormalParagraph"/>
      </w:pPr>
    </w:p>
    <w:p w14:paraId="54B6420E" w14:textId="040D23EC" w:rsidR="00944378" w:rsidRDefault="00E21141" w:rsidP="00C21179">
      <w:pPr>
        <w:pStyle w:val="Heading1"/>
      </w:pPr>
      <w:r>
        <w:br w:type="page"/>
      </w:r>
      <w:bookmarkEnd w:id="0"/>
      <w:bookmarkEnd w:id="1"/>
      <w:bookmarkEnd w:id="2"/>
      <w:r w:rsidR="00737C33">
        <w:lastRenderedPageBreak/>
        <w:t>Potential risk of denial of service attack</w:t>
      </w:r>
    </w:p>
    <w:p w14:paraId="55151A38" w14:textId="293199A5" w:rsidR="00951C82" w:rsidRDefault="00115FED" w:rsidP="00B90FCE">
      <w:pPr>
        <w:pStyle w:val="NormalParagraph"/>
        <w:rPr>
          <w:lang w:eastAsia="en-US" w:bidi="bn-BD"/>
        </w:rPr>
      </w:pPr>
      <w:r w:rsidRPr="00115FED">
        <w:rPr>
          <w:rFonts w:cs="Arial"/>
          <w:noProof/>
          <w:color w:val="1F497D" w:themeColor="text2"/>
        </w:rPr>
        <mc:AlternateContent>
          <mc:Choice Requires="wps">
            <w:drawing>
              <wp:anchor distT="45720" distB="45720" distL="114300" distR="114300" simplePos="0" relativeHeight="251661312" behindDoc="0" locked="0" layoutInCell="1" allowOverlap="1" wp14:anchorId="523D3E59" wp14:editId="65C6663B">
                <wp:simplePos x="0" y="0"/>
                <wp:positionH relativeFrom="column">
                  <wp:posOffset>-48260</wp:posOffset>
                </wp:positionH>
                <wp:positionV relativeFrom="paragraph">
                  <wp:posOffset>488950</wp:posOffset>
                </wp:positionV>
                <wp:extent cx="55340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solidFill>
                            <a:srgbClr val="000000"/>
                          </a:solidFill>
                          <a:miter lim="800000"/>
                          <a:headEnd/>
                          <a:tailEnd/>
                        </a:ln>
                      </wps:spPr>
                      <wps:txbx>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3D3E59" id="_x0000_t202" coordsize="21600,21600" o:spt="202" path="m,l,21600r21600,l21600,xe">
                <v:stroke joinstyle="miter"/>
                <v:path gradientshapeok="t" o:connecttype="rect"/>
              </v:shapetype>
              <v:shape id="Text Box 2" o:spid="_x0000_s1026" type="#_x0000_t202" style="position:absolute;margin-left:-3.8pt;margin-top:38.5pt;width:43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">
                <v:textbox style="mso-fit-shape-to-text:t">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v:textbox>
                <w10:wrap type="square"/>
              </v:shape>
            </w:pict>
          </mc:Fallback>
        </mc:AlternateContent>
      </w:r>
      <w:r w:rsidR="00C019FB">
        <w:rPr>
          <w:lang w:eastAsia="en-US" w:bidi="bn-BD"/>
        </w:rPr>
        <w:t xml:space="preserve">GSMA </w:t>
      </w:r>
      <w:r>
        <w:rPr>
          <w:lang w:eastAsia="en-US" w:bidi="bn-BD"/>
        </w:rPr>
        <w:t xml:space="preserve">RIFS </w:t>
      </w:r>
      <w:r w:rsidR="00C019FB">
        <w:rPr>
          <w:lang w:eastAsia="en-US" w:bidi="bn-BD"/>
        </w:rPr>
        <w:t xml:space="preserve">notes the response </w:t>
      </w:r>
      <w:r w:rsidRPr="00115FED">
        <w:rPr>
          <w:lang w:eastAsia="en-US" w:bidi="bn-BD"/>
        </w:rPr>
        <w:t>C4-190485</w:t>
      </w:r>
      <w:r>
        <w:rPr>
          <w:lang w:eastAsia="en-US" w:bidi="bn-BD"/>
        </w:rPr>
        <w:t xml:space="preserve"> </w:t>
      </w:r>
      <w:r w:rsidR="00C019FB">
        <w:rPr>
          <w:lang w:eastAsia="en-US" w:bidi="bn-BD"/>
        </w:rPr>
        <w:t>fro</w:t>
      </w:r>
      <w:r w:rsidR="00DA11A0">
        <w:rPr>
          <w:lang w:eastAsia="en-US" w:bidi="bn-BD"/>
        </w:rPr>
        <w:t>m</w:t>
      </w:r>
      <w:r w:rsidR="00C019FB">
        <w:rPr>
          <w:lang w:eastAsia="en-US" w:bidi="bn-BD"/>
        </w:rPr>
        <w:t xml:space="preserve"> CT4 with respect to </w:t>
      </w:r>
      <w:r w:rsidRPr="00115FED">
        <w:rPr>
          <w:lang w:eastAsia="en-US" w:bidi="bn-BD"/>
        </w:rPr>
        <w:t xml:space="preserve">GTP Recovery Counter </w:t>
      </w:r>
      <w:r>
        <w:rPr>
          <w:lang w:eastAsia="en-US" w:bidi="bn-BD"/>
        </w:rPr>
        <w:t>and</w:t>
      </w:r>
      <w:r w:rsidRPr="00115FED">
        <w:rPr>
          <w:lang w:eastAsia="en-US" w:bidi="bn-BD"/>
        </w:rPr>
        <w:t xml:space="preserve"> GSN node behaviour</w:t>
      </w:r>
      <w:r>
        <w:rPr>
          <w:lang w:eastAsia="en-US" w:bidi="bn-BD"/>
        </w:rPr>
        <w:t>, copied below</w:t>
      </w:r>
      <w:r w:rsidR="00C019FB">
        <w:rPr>
          <w:lang w:eastAsia="en-US" w:bidi="bn-BD"/>
        </w:rPr>
        <w:t>:</w:t>
      </w:r>
    </w:p>
    <w:p w14:paraId="1E679355" w14:textId="76E0C1FD" w:rsidR="00C019FB" w:rsidRDefault="00C019FB" w:rsidP="00B90FCE">
      <w:pPr>
        <w:pStyle w:val="NormalParagraph"/>
        <w:rPr>
          <w:lang w:eastAsia="en-US" w:bidi="bn-BD"/>
        </w:rPr>
      </w:pPr>
    </w:p>
    <w:p w14:paraId="28D4C364" w14:textId="5B7A126E" w:rsidR="00FA3C69" w:rsidRDefault="00C019FB" w:rsidP="00B90FCE">
      <w:pPr>
        <w:pStyle w:val="NormalParagraph"/>
        <w:rPr>
          <w:lang w:eastAsia="en-US" w:bidi="bn-BD"/>
        </w:rPr>
      </w:pPr>
      <w:r>
        <w:rPr>
          <w:lang w:eastAsia="en-US" w:bidi="bn-BD"/>
        </w:rPr>
        <w:t>GSMA RIF</w:t>
      </w:r>
      <w:r w:rsidR="00FA3C69">
        <w:rPr>
          <w:lang w:eastAsia="en-US" w:bidi="bn-BD"/>
        </w:rPr>
        <w:t>S</w:t>
      </w:r>
      <w:r>
        <w:rPr>
          <w:lang w:eastAsia="en-US" w:bidi="bn-BD"/>
        </w:rPr>
        <w:t xml:space="preserve"> would like to </w:t>
      </w:r>
      <w:r w:rsidR="00115FED">
        <w:rPr>
          <w:lang w:eastAsia="en-US" w:bidi="bn-BD"/>
        </w:rPr>
        <w:t xml:space="preserve">highlight </w:t>
      </w:r>
      <w:r>
        <w:rPr>
          <w:lang w:eastAsia="en-US" w:bidi="bn-BD"/>
        </w:rPr>
        <w:t xml:space="preserve">that use of a IPSec tunnel as </w:t>
      </w:r>
      <w:r w:rsidR="00792AF5">
        <w:rPr>
          <w:lang w:eastAsia="en-US" w:bidi="bn-BD"/>
        </w:rPr>
        <w:t>advised by C</w:t>
      </w:r>
      <w:r w:rsidR="00161E25">
        <w:rPr>
          <w:lang w:eastAsia="en-US" w:bidi="bn-BD"/>
        </w:rPr>
        <w:t>T</w:t>
      </w:r>
      <w:r w:rsidR="00792AF5">
        <w:rPr>
          <w:lang w:eastAsia="en-US" w:bidi="bn-BD"/>
        </w:rPr>
        <w:t xml:space="preserve">4 </w:t>
      </w:r>
      <w:r>
        <w:rPr>
          <w:lang w:eastAsia="en-US" w:bidi="bn-BD"/>
        </w:rPr>
        <w:t>would not provide any add</w:t>
      </w:r>
      <w:r w:rsidR="00065C5F">
        <w:rPr>
          <w:lang w:eastAsia="en-US" w:bidi="bn-BD"/>
        </w:rPr>
        <w:t>i</w:t>
      </w:r>
      <w:r>
        <w:rPr>
          <w:lang w:eastAsia="en-US" w:bidi="bn-BD"/>
        </w:rPr>
        <w:t>tional protec</w:t>
      </w:r>
      <w:r w:rsidR="00751E68">
        <w:rPr>
          <w:lang w:eastAsia="en-US" w:bidi="bn-BD"/>
        </w:rPr>
        <w:t>tion. The response</w:t>
      </w:r>
      <w:r w:rsidR="005425BF">
        <w:rPr>
          <w:lang w:eastAsia="en-US" w:bidi="bn-BD"/>
        </w:rPr>
        <w:t xml:space="preserve"> </w:t>
      </w:r>
      <w:r w:rsidR="00751E68">
        <w:rPr>
          <w:lang w:eastAsia="en-US" w:bidi="bn-BD"/>
        </w:rPr>
        <w:t xml:space="preserve">implies that there is a IPSec tunnel between </w:t>
      </w:r>
      <w:r w:rsidR="00792AF5">
        <w:rPr>
          <w:lang w:eastAsia="en-US" w:bidi="bn-BD"/>
        </w:rPr>
        <w:t>mobile network operators (</w:t>
      </w:r>
      <w:r w:rsidR="00751E68">
        <w:rPr>
          <w:lang w:eastAsia="en-US" w:bidi="bn-BD"/>
        </w:rPr>
        <w:t>MNOs</w:t>
      </w:r>
      <w:r w:rsidR="00792AF5">
        <w:rPr>
          <w:lang w:eastAsia="en-US" w:bidi="bn-BD"/>
        </w:rPr>
        <w:t>)</w:t>
      </w:r>
      <w:r w:rsidR="00751E68">
        <w:rPr>
          <w:lang w:eastAsia="en-US" w:bidi="bn-BD"/>
        </w:rPr>
        <w:t xml:space="preserve">, and </w:t>
      </w:r>
      <w:r w:rsidR="00792AF5">
        <w:rPr>
          <w:lang w:eastAsia="en-US" w:bidi="bn-BD"/>
        </w:rPr>
        <w:t xml:space="preserve">that </w:t>
      </w:r>
      <w:r w:rsidR="00751E68">
        <w:rPr>
          <w:lang w:eastAsia="en-US" w:bidi="bn-BD"/>
        </w:rPr>
        <w:t>MNO</w:t>
      </w:r>
      <w:r w:rsidR="00792AF5">
        <w:rPr>
          <w:lang w:eastAsia="en-US" w:bidi="bn-BD"/>
        </w:rPr>
        <w:t>s will</w:t>
      </w:r>
      <w:r w:rsidR="00751E68">
        <w:rPr>
          <w:lang w:eastAsia="en-US" w:bidi="bn-BD"/>
        </w:rPr>
        <w:t xml:space="preserve"> have IPSec links with all roaming partners. This is not often the case </w:t>
      </w:r>
      <w:r w:rsidR="00792AF5">
        <w:rPr>
          <w:lang w:eastAsia="en-US" w:bidi="bn-BD"/>
        </w:rPr>
        <w:t xml:space="preserve">between mobile </w:t>
      </w:r>
      <w:r w:rsidR="00751E68">
        <w:rPr>
          <w:lang w:eastAsia="en-US" w:bidi="bn-BD"/>
        </w:rPr>
        <w:t>networks</w:t>
      </w:r>
      <w:r w:rsidR="00792AF5">
        <w:rPr>
          <w:lang w:eastAsia="en-US" w:bidi="bn-BD"/>
        </w:rPr>
        <w:t xml:space="preserve">, as </w:t>
      </w:r>
      <w:r w:rsidR="00FA3C69">
        <w:rPr>
          <w:lang w:eastAsia="en-US" w:bidi="bn-BD"/>
        </w:rPr>
        <w:t xml:space="preserve">GRX/IPX providers are </w:t>
      </w:r>
      <w:r w:rsidR="00792AF5">
        <w:rPr>
          <w:lang w:eastAsia="en-US" w:bidi="bn-BD"/>
        </w:rPr>
        <w:t xml:space="preserve">typically </w:t>
      </w:r>
      <w:r w:rsidR="00FA3C69">
        <w:rPr>
          <w:lang w:eastAsia="en-US" w:bidi="bn-BD"/>
        </w:rPr>
        <w:t>used as interconnection providers between the MNOs</w:t>
      </w:r>
      <w:r w:rsidR="00751E68">
        <w:rPr>
          <w:lang w:eastAsia="en-US" w:bidi="bn-BD"/>
        </w:rPr>
        <w:t xml:space="preserve">. </w:t>
      </w:r>
    </w:p>
    <w:p w14:paraId="061DA5F3" w14:textId="51575E41" w:rsidR="00A728C4" w:rsidRDefault="00751E68" w:rsidP="00B90FCE">
      <w:pPr>
        <w:pStyle w:val="NormalParagraph"/>
        <w:rPr>
          <w:lang w:eastAsia="en-US" w:bidi="bn-BD"/>
        </w:rPr>
      </w:pPr>
      <w:r>
        <w:rPr>
          <w:lang w:eastAsia="en-US" w:bidi="bn-BD"/>
        </w:rPr>
        <w:t>In addition</w:t>
      </w:r>
      <w:r w:rsidR="00792AF5">
        <w:rPr>
          <w:lang w:eastAsia="en-US" w:bidi="bn-BD"/>
        </w:rPr>
        <w:t>,</w:t>
      </w:r>
      <w:r>
        <w:rPr>
          <w:lang w:eastAsia="en-US" w:bidi="bn-BD"/>
        </w:rPr>
        <w:t xml:space="preserve"> the IPSec tunnel would not protect against a malicious </w:t>
      </w:r>
      <w:r w:rsidR="005425BF">
        <w:rPr>
          <w:lang w:eastAsia="en-US" w:bidi="bn-BD"/>
        </w:rPr>
        <w:t xml:space="preserve">attack </w:t>
      </w:r>
      <w:r>
        <w:rPr>
          <w:lang w:eastAsia="en-US" w:bidi="bn-BD"/>
        </w:rPr>
        <w:t>within the tunnel</w:t>
      </w:r>
      <w:r w:rsidR="005425BF">
        <w:rPr>
          <w:lang w:eastAsia="en-US" w:bidi="bn-BD"/>
        </w:rPr>
        <w:t xml:space="preserve">, because </w:t>
      </w:r>
      <w:r w:rsidR="00792AF5">
        <w:rPr>
          <w:lang w:eastAsia="en-US" w:bidi="bn-BD"/>
        </w:rPr>
        <w:t xml:space="preserve">an attacker </w:t>
      </w:r>
      <w:r w:rsidR="005425BF">
        <w:rPr>
          <w:lang w:eastAsia="en-US" w:bidi="bn-BD"/>
        </w:rPr>
        <w:t xml:space="preserve">could still </w:t>
      </w:r>
      <w:r w:rsidR="00134CAA">
        <w:rPr>
          <w:lang w:eastAsia="en-US" w:bidi="bn-BD"/>
        </w:rPr>
        <w:t xml:space="preserve">alter </w:t>
      </w:r>
      <w:r w:rsidR="005425BF">
        <w:rPr>
          <w:lang w:eastAsia="en-US" w:bidi="bn-BD"/>
        </w:rPr>
        <w:t>the recovery counter and cause a denial of service</w:t>
      </w:r>
      <w:r w:rsidR="00A50664">
        <w:rPr>
          <w:lang w:eastAsia="en-US" w:bidi="bn-BD"/>
        </w:rPr>
        <w:t xml:space="preserve"> on a per</w:t>
      </w:r>
      <w:r w:rsidR="00134CAA">
        <w:rPr>
          <w:lang w:eastAsia="en-US" w:bidi="bn-BD"/>
        </w:rPr>
        <w:t>-</w:t>
      </w:r>
      <w:r w:rsidR="00A50664">
        <w:rPr>
          <w:lang w:eastAsia="en-US" w:bidi="bn-BD"/>
        </w:rPr>
        <w:t>peer basis.</w:t>
      </w:r>
      <w:r w:rsidR="00FA3C69">
        <w:rPr>
          <w:lang w:eastAsia="en-US" w:bidi="bn-BD"/>
        </w:rPr>
        <w:t xml:space="preserve"> Mor</w:t>
      </w:r>
      <w:r w:rsidR="004E57CC">
        <w:rPr>
          <w:lang w:eastAsia="en-US" w:bidi="bn-BD"/>
        </w:rPr>
        <w:t>e</w:t>
      </w:r>
      <w:r w:rsidR="00FA3C69">
        <w:rPr>
          <w:lang w:eastAsia="en-US" w:bidi="bn-BD"/>
        </w:rPr>
        <w:t>over</w:t>
      </w:r>
      <w:r w:rsidR="00134CAA">
        <w:rPr>
          <w:lang w:eastAsia="en-US" w:bidi="bn-BD"/>
        </w:rPr>
        <w:t>,</w:t>
      </w:r>
      <w:r w:rsidR="00FA3C69">
        <w:rPr>
          <w:lang w:eastAsia="en-US" w:bidi="bn-BD"/>
        </w:rPr>
        <w:t xml:space="preserve"> the GTP traffic could be spoofed because the UDP</w:t>
      </w:r>
      <w:r w:rsidR="0073577B">
        <w:rPr>
          <w:lang w:eastAsia="en-US" w:bidi="bn-BD"/>
        </w:rPr>
        <w:t xml:space="preserve"> transport</w:t>
      </w:r>
      <w:r w:rsidR="00FA3C69">
        <w:rPr>
          <w:lang w:eastAsia="en-US" w:bidi="bn-BD"/>
        </w:rPr>
        <w:t xml:space="preserve"> is vulnerable to IP spoofing. Such spoofed malicious traffic could be received </w:t>
      </w:r>
      <w:r w:rsidR="002079FF">
        <w:rPr>
          <w:lang w:eastAsia="en-US" w:bidi="bn-BD"/>
        </w:rPr>
        <w:t>from any interconnect and even</w:t>
      </w:r>
      <w:r w:rsidR="00FA3C69">
        <w:rPr>
          <w:lang w:eastAsia="en-US" w:bidi="bn-BD"/>
        </w:rPr>
        <w:t xml:space="preserve"> </w:t>
      </w:r>
      <w:r w:rsidR="00B72171">
        <w:rPr>
          <w:lang w:eastAsia="en-US" w:bidi="bn-BD"/>
        </w:rPr>
        <w:t>from the</w:t>
      </w:r>
      <w:r w:rsidR="00FA3C69">
        <w:rPr>
          <w:lang w:eastAsia="en-US" w:bidi="bn-BD"/>
        </w:rPr>
        <w:t xml:space="preserve"> IPSec</w:t>
      </w:r>
      <w:r w:rsidR="00134CAA">
        <w:rPr>
          <w:lang w:eastAsia="en-US" w:bidi="bn-BD"/>
        </w:rPr>
        <w:t>-</w:t>
      </w:r>
      <w:r w:rsidR="008A45EC">
        <w:rPr>
          <w:lang w:eastAsia="en-US" w:bidi="bn-BD"/>
        </w:rPr>
        <w:t>protected interconne</w:t>
      </w:r>
      <w:r w:rsidR="0009219A">
        <w:rPr>
          <w:lang w:eastAsia="en-US" w:bidi="bn-BD"/>
        </w:rPr>
        <w:t>c</w:t>
      </w:r>
      <w:r w:rsidR="008A45EC">
        <w:rPr>
          <w:lang w:eastAsia="en-US" w:bidi="bn-BD"/>
        </w:rPr>
        <w:t>t</w:t>
      </w:r>
      <w:r w:rsidR="00FA3C69">
        <w:rPr>
          <w:lang w:eastAsia="en-US" w:bidi="bn-BD"/>
        </w:rPr>
        <w:t>.</w:t>
      </w:r>
    </w:p>
    <w:p w14:paraId="1FC7D4D5" w14:textId="77777777" w:rsidR="00A728C4" w:rsidRDefault="00A728C4">
      <w:pPr>
        <w:spacing w:before="0"/>
        <w:jc w:val="left"/>
        <w:rPr>
          <w:szCs w:val="22"/>
          <w:lang w:eastAsia="en-US"/>
        </w:rPr>
      </w:pPr>
      <w:r>
        <w:rPr>
          <w:lang w:eastAsia="en-US"/>
        </w:rPr>
        <w:lastRenderedPageBreak/>
        <w:br w:type="page"/>
      </w:r>
    </w:p>
    <w:p w14:paraId="5CC37474" w14:textId="77777777" w:rsidR="00B9623F" w:rsidRDefault="00B9623F" w:rsidP="00B90FCE">
      <w:pPr>
        <w:pStyle w:val="NormalParagraph"/>
        <w:rPr>
          <w:lang w:eastAsia="en-US" w:bidi="bn-BD"/>
        </w:rPr>
      </w:pPr>
    </w:p>
    <w:p w14:paraId="04B8F7AA" w14:textId="7437D327" w:rsidR="00EE160F" w:rsidRDefault="00161E25" w:rsidP="00EE160F">
      <w:pPr>
        <w:pStyle w:val="NormalParagraph"/>
        <w:rPr>
          <w:lang w:eastAsia="en-US" w:bidi="bn-BD"/>
        </w:rPr>
      </w:pPr>
      <w:r>
        <w:rPr>
          <w:lang w:eastAsia="en-US" w:bidi="bn-BD"/>
        </w:rPr>
        <w:t>The GSMA therefore suggest</w:t>
      </w:r>
      <w:r w:rsidR="00203F00">
        <w:rPr>
          <w:lang w:eastAsia="en-US" w:bidi="bn-BD"/>
        </w:rPr>
        <w:t>s that</w:t>
      </w:r>
      <w:r>
        <w:rPr>
          <w:lang w:eastAsia="en-US" w:bidi="bn-BD"/>
        </w:rPr>
        <w:t xml:space="preserve"> </w:t>
      </w:r>
      <w:r w:rsidR="00203F00">
        <w:rPr>
          <w:lang w:eastAsia="en-US" w:bidi="bn-BD"/>
        </w:rPr>
        <w:t xml:space="preserve">in the absence of </w:t>
      </w:r>
      <w:r w:rsidR="00EE160F">
        <w:rPr>
          <w:lang w:eastAsia="en-US" w:bidi="bn-BD"/>
        </w:rPr>
        <w:t xml:space="preserve">full signalling protection, </w:t>
      </w:r>
      <w:r w:rsidR="00203F00">
        <w:rPr>
          <w:lang w:eastAsia="en-US" w:bidi="bn-BD"/>
        </w:rPr>
        <w:t xml:space="preserve">other </w:t>
      </w:r>
      <w:r w:rsidR="00EE160F">
        <w:rPr>
          <w:lang w:eastAsia="en-US" w:bidi="bn-BD"/>
        </w:rPr>
        <w:t>more secure mechanism</w:t>
      </w:r>
      <w:r w:rsidR="00531BB2">
        <w:rPr>
          <w:lang w:eastAsia="en-US" w:bidi="bn-BD"/>
        </w:rPr>
        <w:t>s</w:t>
      </w:r>
      <w:r w:rsidR="00EE160F">
        <w:rPr>
          <w:lang w:eastAsia="en-US" w:bidi="bn-BD"/>
        </w:rPr>
        <w:t xml:space="preserve"> possibly could be developed</w:t>
      </w:r>
      <w:r w:rsidR="00531BB2">
        <w:rPr>
          <w:lang w:eastAsia="en-US" w:bidi="bn-BD"/>
        </w:rPr>
        <w:t>, such as described below:</w:t>
      </w:r>
    </w:p>
    <w:p w14:paraId="4701F280" w14:textId="77777777" w:rsidR="00EE160F" w:rsidRPr="00EE160F" w:rsidRDefault="00EE160F" w:rsidP="00EE160F">
      <w:pPr>
        <w:pStyle w:val="NormalParagraph"/>
        <w:rPr>
          <w:b/>
          <w:lang w:eastAsia="en-US" w:bidi="bn-BD"/>
        </w:rPr>
      </w:pPr>
      <w:r w:rsidRPr="00EE160F">
        <w:rPr>
          <w:b/>
          <w:lang w:eastAsia="en-US" w:bidi="bn-BD"/>
        </w:rPr>
        <w:t>Option 1:</w:t>
      </w:r>
    </w:p>
    <w:p w14:paraId="30C0E5C1" w14:textId="34487D95" w:rsidR="00EE160F" w:rsidRDefault="00EE160F" w:rsidP="00EE160F">
      <w:pPr>
        <w:pStyle w:val="NormalParagraph"/>
        <w:rPr>
          <w:lang w:eastAsia="en-US" w:bidi="bn-BD"/>
        </w:rPr>
      </w:pPr>
      <w:r>
        <w:rPr>
          <w:lang w:eastAsia="en-US" w:bidi="bn-BD"/>
        </w:rPr>
        <w:t xml:space="preserve">Here is </w:t>
      </w:r>
      <w:r w:rsidR="00203F00">
        <w:rPr>
          <w:lang w:eastAsia="en-US" w:bidi="bn-BD"/>
        </w:rPr>
        <w:t xml:space="preserve">an </w:t>
      </w:r>
      <w:r>
        <w:rPr>
          <w:lang w:eastAsia="en-US" w:bidi="bn-BD"/>
        </w:rPr>
        <w:t xml:space="preserve">example of </w:t>
      </w:r>
      <w:r w:rsidR="00203F00">
        <w:rPr>
          <w:lang w:eastAsia="en-US" w:bidi="bn-BD"/>
        </w:rPr>
        <w:t xml:space="preserve">a </w:t>
      </w:r>
      <w:r>
        <w:rPr>
          <w:lang w:eastAsia="en-US" w:bidi="bn-BD"/>
        </w:rPr>
        <w:t xml:space="preserve">possible handshake mechanism (this could prevent IP spoofing and the attack would not be possible with just </w:t>
      </w:r>
      <w:r w:rsidR="00203F00">
        <w:rPr>
          <w:lang w:eastAsia="en-US" w:bidi="bn-BD"/>
        </w:rPr>
        <w:t xml:space="preserve">a </w:t>
      </w:r>
      <w:r>
        <w:rPr>
          <w:lang w:eastAsia="en-US" w:bidi="bn-BD"/>
        </w:rPr>
        <w:t>single message):</w:t>
      </w:r>
    </w:p>
    <w:p w14:paraId="733ADB00" w14:textId="77777777" w:rsidR="00EE160F" w:rsidRDefault="00EE160F" w:rsidP="00EE160F">
      <w:pPr>
        <w:pStyle w:val="NormalParagraph"/>
        <w:rPr>
          <w:lang w:eastAsia="en-US" w:bidi="bn-BD"/>
        </w:rPr>
      </w:pPr>
      <w:r>
        <w:rPr>
          <w:lang w:eastAsia="en-US" w:bidi="bn-BD"/>
        </w:rPr>
        <w:t>1. The receiving node after receiving restart counter with higher counter value could initiate the following counter verification procedure:</w:t>
      </w:r>
    </w:p>
    <w:p w14:paraId="33F0908D" w14:textId="49DBFEAE" w:rsidR="00EE160F" w:rsidRDefault="00EE160F" w:rsidP="00EE160F">
      <w:pPr>
        <w:pStyle w:val="NormalParagraph"/>
        <w:rPr>
          <w:lang w:eastAsia="en-US" w:bidi="bn-BD"/>
        </w:rPr>
      </w:pPr>
      <w:r>
        <w:rPr>
          <w:lang w:eastAsia="en-US" w:bidi="bn-BD"/>
        </w:rPr>
        <w:t>2. Send GTP-Echo back to the restarted node with some specific IE (e.g. some cookie)</w:t>
      </w:r>
      <w:r w:rsidR="00203F00">
        <w:rPr>
          <w:lang w:eastAsia="en-US" w:bidi="bn-BD"/>
        </w:rPr>
        <w:t>.</w:t>
      </w:r>
    </w:p>
    <w:p w14:paraId="2EE64D50" w14:textId="2A514DB9" w:rsidR="00EE160F" w:rsidRDefault="00EE160F" w:rsidP="00EE160F">
      <w:pPr>
        <w:pStyle w:val="NormalParagraph"/>
        <w:rPr>
          <w:lang w:eastAsia="en-US" w:bidi="bn-BD"/>
        </w:rPr>
      </w:pPr>
      <w:r>
        <w:rPr>
          <w:lang w:eastAsia="en-US" w:bidi="bn-BD"/>
        </w:rPr>
        <w:t>3. The restarted node should return back the restart counter to confirm the value + replay that specific IE (cookie)</w:t>
      </w:r>
      <w:r w:rsidR="00203F00">
        <w:rPr>
          <w:lang w:eastAsia="en-US" w:bidi="bn-BD"/>
        </w:rPr>
        <w:t>.</w:t>
      </w:r>
    </w:p>
    <w:p w14:paraId="5430B29B" w14:textId="2D17E9F1" w:rsidR="00EE160F" w:rsidRDefault="00EE160F" w:rsidP="00EE160F">
      <w:pPr>
        <w:pStyle w:val="NormalParagraph"/>
        <w:rPr>
          <w:lang w:eastAsia="en-US" w:bidi="bn-BD"/>
        </w:rPr>
      </w:pPr>
      <w:r>
        <w:rPr>
          <w:lang w:eastAsia="en-US" w:bidi="bn-BD"/>
        </w:rPr>
        <w:t>4. If the restarted counter match</w:t>
      </w:r>
      <w:r w:rsidR="00203F00">
        <w:rPr>
          <w:lang w:eastAsia="en-US" w:bidi="bn-BD"/>
        </w:rPr>
        <w:t>es</w:t>
      </w:r>
      <w:r>
        <w:rPr>
          <w:lang w:eastAsia="en-US" w:bidi="bn-BD"/>
        </w:rPr>
        <w:t xml:space="preserve"> in </w:t>
      </w:r>
      <w:r w:rsidR="00203F00">
        <w:rPr>
          <w:lang w:eastAsia="en-US" w:bidi="bn-BD"/>
        </w:rPr>
        <w:t>(</w:t>
      </w:r>
      <w:r>
        <w:rPr>
          <w:lang w:eastAsia="en-US" w:bidi="bn-BD"/>
        </w:rPr>
        <w:t>1</w:t>
      </w:r>
      <w:r w:rsidR="00203F00">
        <w:rPr>
          <w:lang w:eastAsia="en-US" w:bidi="bn-BD"/>
        </w:rPr>
        <w:t>)</w:t>
      </w:r>
      <w:r>
        <w:rPr>
          <w:lang w:eastAsia="en-US" w:bidi="bn-BD"/>
        </w:rPr>
        <w:t xml:space="preserve"> and </w:t>
      </w:r>
      <w:r w:rsidR="00203F00">
        <w:rPr>
          <w:lang w:eastAsia="en-US" w:bidi="bn-BD"/>
        </w:rPr>
        <w:t>(</w:t>
      </w:r>
      <w:r>
        <w:rPr>
          <w:lang w:eastAsia="en-US" w:bidi="bn-BD"/>
        </w:rPr>
        <w:t>3</w:t>
      </w:r>
      <w:r w:rsidR="00203F00">
        <w:rPr>
          <w:lang w:eastAsia="en-US" w:bidi="bn-BD"/>
        </w:rPr>
        <w:t>),</w:t>
      </w:r>
      <w:r>
        <w:rPr>
          <w:lang w:eastAsia="en-US" w:bidi="bn-BD"/>
        </w:rPr>
        <w:t xml:space="preserve"> then </w:t>
      </w:r>
      <w:r w:rsidR="00203F00">
        <w:rPr>
          <w:lang w:eastAsia="en-US" w:bidi="bn-BD"/>
        </w:rPr>
        <w:t xml:space="preserve">the </w:t>
      </w:r>
      <w:r>
        <w:rPr>
          <w:lang w:eastAsia="en-US" w:bidi="bn-BD"/>
        </w:rPr>
        <w:t>receiving node accept</w:t>
      </w:r>
      <w:r w:rsidR="00203F00">
        <w:rPr>
          <w:lang w:eastAsia="en-US" w:bidi="bn-BD"/>
        </w:rPr>
        <w:t>s</w:t>
      </w:r>
      <w:r>
        <w:rPr>
          <w:lang w:eastAsia="en-US" w:bidi="bn-BD"/>
        </w:rPr>
        <w:t xml:space="preserve"> the restart indication </w:t>
      </w:r>
      <w:r w:rsidR="00203F00">
        <w:rPr>
          <w:lang w:eastAsia="en-US" w:bidi="bn-BD"/>
        </w:rPr>
        <w:t>.</w:t>
      </w:r>
    </w:p>
    <w:p w14:paraId="6B40B527" w14:textId="1A15F1D2" w:rsidR="00EE160F" w:rsidRDefault="00EE160F" w:rsidP="00EE160F">
      <w:pPr>
        <w:pStyle w:val="NormalParagraph"/>
        <w:rPr>
          <w:lang w:eastAsia="en-US" w:bidi="bn-BD"/>
        </w:rPr>
      </w:pPr>
      <w:r>
        <w:rPr>
          <w:lang w:eastAsia="en-US" w:bidi="bn-BD"/>
        </w:rPr>
        <w:t xml:space="preserve">5. It is possible </w:t>
      </w:r>
      <w:r w:rsidR="00203F00">
        <w:rPr>
          <w:lang w:eastAsia="en-US" w:bidi="bn-BD"/>
        </w:rPr>
        <w:t xml:space="preserve">to </w:t>
      </w:r>
      <w:r>
        <w:rPr>
          <w:lang w:eastAsia="en-US" w:bidi="bn-BD"/>
        </w:rPr>
        <w:t xml:space="preserve">use </w:t>
      </w:r>
      <w:r w:rsidR="00203F00">
        <w:rPr>
          <w:lang w:eastAsia="en-US" w:bidi="bn-BD"/>
        </w:rPr>
        <w:t xml:space="preserve">a </w:t>
      </w:r>
      <w:r>
        <w:rPr>
          <w:lang w:eastAsia="en-US" w:bidi="bn-BD"/>
        </w:rPr>
        <w:t>private</w:t>
      </w:r>
      <w:r w:rsidR="00203F00">
        <w:rPr>
          <w:lang w:eastAsia="en-US" w:bidi="bn-BD"/>
        </w:rPr>
        <w:t xml:space="preserve"> </w:t>
      </w:r>
      <w:r w:rsidR="00203F00" w:rsidRPr="00203F00">
        <w:rPr>
          <w:lang w:eastAsia="en-US" w:bidi="bn-BD"/>
        </w:rPr>
        <w:t>Information-Element-Identifier</w:t>
      </w:r>
      <w:r>
        <w:rPr>
          <w:lang w:eastAsia="en-US" w:bidi="bn-BD"/>
        </w:rPr>
        <w:t xml:space="preserve"> </w:t>
      </w:r>
      <w:r w:rsidR="00203F00">
        <w:rPr>
          <w:lang w:eastAsia="en-US" w:bidi="bn-BD"/>
        </w:rPr>
        <w:t>(</w:t>
      </w:r>
      <w:r>
        <w:rPr>
          <w:lang w:eastAsia="en-US" w:bidi="bn-BD"/>
        </w:rPr>
        <w:t>IEI</w:t>
      </w:r>
      <w:r w:rsidR="00203F00">
        <w:rPr>
          <w:lang w:eastAsia="en-US" w:bidi="bn-BD"/>
        </w:rPr>
        <w:t>)</w:t>
      </w:r>
      <w:r>
        <w:rPr>
          <w:lang w:eastAsia="en-US" w:bidi="bn-BD"/>
        </w:rPr>
        <w:t xml:space="preserve"> for this exchange thus the original protocol structure is retained, but the use of the interface would enable </w:t>
      </w:r>
      <w:r w:rsidR="00203F00">
        <w:rPr>
          <w:lang w:eastAsia="en-US" w:bidi="bn-BD"/>
        </w:rPr>
        <w:t>backward</w:t>
      </w:r>
      <w:r>
        <w:rPr>
          <w:lang w:eastAsia="en-US" w:bidi="bn-BD"/>
        </w:rPr>
        <w:t xml:space="preserve"> compatib</w:t>
      </w:r>
      <w:r w:rsidR="00203F00">
        <w:rPr>
          <w:lang w:eastAsia="en-US" w:bidi="bn-BD"/>
        </w:rPr>
        <w:t xml:space="preserve">ility, </w:t>
      </w:r>
      <w:r>
        <w:rPr>
          <w:lang w:eastAsia="en-US" w:bidi="bn-BD"/>
        </w:rPr>
        <w:t xml:space="preserve">and it would be up to the </w:t>
      </w:r>
      <w:r w:rsidR="00203F00">
        <w:rPr>
          <w:lang w:eastAsia="en-US" w:bidi="bn-BD"/>
        </w:rPr>
        <w:t>MNO</w:t>
      </w:r>
      <w:r>
        <w:rPr>
          <w:lang w:eastAsia="en-US" w:bidi="bn-BD"/>
        </w:rPr>
        <w:t xml:space="preserve"> to enable the spoofing validation or not.</w:t>
      </w:r>
    </w:p>
    <w:p w14:paraId="2C7298FF" w14:textId="77777777" w:rsidR="00EE160F" w:rsidRDefault="00EE160F" w:rsidP="00EE160F">
      <w:pPr>
        <w:pStyle w:val="NormalParagraph"/>
        <w:rPr>
          <w:lang w:eastAsia="en-US" w:bidi="bn-BD"/>
        </w:rPr>
      </w:pPr>
      <w:r>
        <w:rPr>
          <w:lang w:eastAsia="en-US" w:bidi="bn-BD"/>
        </w:rPr>
        <w:t>6. The IEIs are allowed to be nested so if a private IEI is in use already then others can be used.</w:t>
      </w:r>
    </w:p>
    <w:p w14:paraId="436443FB" w14:textId="38561AA5" w:rsidR="00EE160F" w:rsidRDefault="00EE160F" w:rsidP="00EE160F">
      <w:pPr>
        <w:pStyle w:val="NormalParagraph"/>
        <w:rPr>
          <w:lang w:eastAsia="en-US" w:bidi="bn-BD"/>
        </w:rPr>
      </w:pPr>
      <w:r>
        <w:rPr>
          <w:lang w:eastAsia="en-US" w:bidi="bn-BD"/>
        </w:rPr>
        <w:t xml:space="preserve">7. The interface itself doesn’t also preclude using new IEIs either these are just some initial </w:t>
      </w:r>
      <w:r w:rsidR="00067378">
        <w:rPr>
          <w:lang w:eastAsia="en-US" w:bidi="bn-BD"/>
        </w:rPr>
        <w:t>suggestions</w:t>
      </w:r>
      <w:r>
        <w:rPr>
          <w:lang w:eastAsia="en-US" w:bidi="bn-BD"/>
        </w:rPr>
        <w:t xml:space="preserve"> on the matter.</w:t>
      </w:r>
    </w:p>
    <w:p w14:paraId="7890C9C0" w14:textId="77777777" w:rsidR="00EE160F" w:rsidRPr="00EE160F" w:rsidRDefault="00EE160F" w:rsidP="00EE160F">
      <w:pPr>
        <w:pStyle w:val="NormalParagraph"/>
        <w:rPr>
          <w:b/>
          <w:lang w:eastAsia="en-US" w:bidi="bn-BD"/>
        </w:rPr>
      </w:pPr>
      <w:r w:rsidRPr="00EE160F">
        <w:rPr>
          <w:b/>
          <w:lang w:eastAsia="en-US" w:bidi="bn-BD"/>
        </w:rPr>
        <w:t>Option 2:</w:t>
      </w:r>
    </w:p>
    <w:p w14:paraId="6598B539" w14:textId="795DE1BB" w:rsidR="00EE160F" w:rsidRDefault="00203F00" w:rsidP="00EE160F">
      <w:pPr>
        <w:pStyle w:val="NormalParagraph"/>
        <w:rPr>
          <w:lang w:eastAsia="en-US" w:bidi="bn-BD"/>
        </w:rPr>
      </w:pPr>
      <w:r>
        <w:rPr>
          <w:lang w:eastAsia="en-US" w:bidi="bn-BD"/>
        </w:rPr>
        <w:t>Ano</w:t>
      </w:r>
      <w:r w:rsidR="00EE160F">
        <w:rPr>
          <w:lang w:eastAsia="en-US" w:bidi="bn-BD"/>
        </w:rPr>
        <w:t xml:space="preserve">ther solution could be that the </w:t>
      </w:r>
      <w:r>
        <w:rPr>
          <w:lang w:eastAsia="en-US" w:bidi="bn-BD"/>
        </w:rPr>
        <w:t>p</w:t>
      </w:r>
      <w:r w:rsidR="00EE160F">
        <w:rPr>
          <w:lang w:eastAsia="en-US" w:bidi="bn-BD"/>
        </w:rPr>
        <w:t xml:space="preserve">acket </w:t>
      </w:r>
      <w:r>
        <w:rPr>
          <w:lang w:eastAsia="en-US" w:bidi="bn-BD"/>
        </w:rPr>
        <w:t>c</w:t>
      </w:r>
      <w:r w:rsidR="00EE160F">
        <w:rPr>
          <w:lang w:eastAsia="en-US" w:bidi="bn-BD"/>
        </w:rPr>
        <w:t xml:space="preserve">ore nodes should not rely on such restart indication mechanisms. </w:t>
      </w:r>
    </w:p>
    <w:p w14:paraId="2E6D29E5" w14:textId="5BF4051F" w:rsidR="00DD401F" w:rsidRDefault="00E44F9D" w:rsidP="00EE160F">
      <w:pPr>
        <w:pStyle w:val="NormalParagraph"/>
        <w:rPr>
          <w:lang w:eastAsia="en-US" w:bidi="bn-BD"/>
        </w:rPr>
      </w:pPr>
      <w:r>
        <w:rPr>
          <w:lang w:eastAsia="en-US" w:bidi="bn-BD"/>
        </w:rPr>
        <w:t>Instead, t</w:t>
      </w:r>
      <w:r w:rsidR="00EE160F">
        <w:rPr>
          <w:lang w:eastAsia="en-US" w:bidi="bn-BD"/>
        </w:rPr>
        <w:t>he inactive PD</w:t>
      </w:r>
      <w:r w:rsidR="00203F00">
        <w:rPr>
          <w:lang w:eastAsia="en-US" w:bidi="bn-BD"/>
        </w:rPr>
        <w:t>P c</w:t>
      </w:r>
      <w:r w:rsidR="00EE160F">
        <w:rPr>
          <w:lang w:eastAsia="en-US" w:bidi="bn-BD"/>
        </w:rPr>
        <w:t xml:space="preserve">ontexts </w:t>
      </w:r>
      <w:r w:rsidR="00787544">
        <w:rPr>
          <w:lang w:eastAsia="en-US" w:bidi="bn-BD"/>
        </w:rPr>
        <w:t xml:space="preserve">/ </w:t>
      </w:r>
      <w:r w:rsidR="00203F00">
        <w:rPr>
          <w:lang w:eastAsia="en-US" w:bidi="bn-BD"/>
        </w:rPr>
        <w:t>s</w:t>
      </w:r>
      <w:r w:rsidR="00EE160F">
        <w:rPr>
          <w:lang w:eastAsia="en-US" w:bidi="bn-BD"/>
        </w:rPr>
        <w:t xml:space="preserve">essions </w:t>
      </w:r>
      <w:r>
        <w:rPr>
          <w:lang w:eastAsia="en-US" w:bidi="bn-BD"/>
        </w:rPr>
        <w:t>c</w:t>
      </w:r>
      <w:r w:rsidR="00EE160F">
        <w:rPr>
          <w:lang w:eastAsia="en-US" w:bidi="bn-BD"/>
        </w:rPr>
        <w:t xml:space="preserve">ould expire </w:t>
      </w:r>
      <w:r>
        <w:rPr>
          <w:lang w:eastAsia="en-US" w:bidi="bn-BD"/>
        </w:rPr>
        <w:t xml:space="preserve">based on a </w:t>
      </w:r>
      <w:r w:rsidR="00EE160F">
        <w:rPr>
          <w:lang w:eastAsia="en-US" w:bidi="bn-BD"/>
        </w:rPr>
        <w:t xml:space="preserve">timer or be overwritten for the same subscriber. The network elements could </w:t>
      </w:r>
      <w:r>
        <w:rPr>
          <w:lang w:eastAsia="en-US" w:bidi="bn-BD"/>
        </w:rPr>
        <w:t>therefore be self-correcting</w:t>
      </w:r>
      <w:r w:rsidR="00EE160F">
        <w:rPr>
          <w:lang w:eastAsia="en-US" w:bidi="bn-BD"/>
        </w:rPr>
        <w:t xml:space="preserve"> without depending on </w:t>
      </w:r>
      <w:r>
        <w:rPr>
          <w:lang w:eastAsia="en-US" w:bidi="bn-BD"/>
        </w:rPr>
        <w:t xml:space="preserve">a </w:t>
      </w:r>
      <w:r w:rsidR="00EE160F">
        <w:rPr>
          <w:lang w:eastAsia="en-US" w:bidi="bn-BD"/>
        </w:rPr>
        <w:t>restart indication</w:t>
      </w:r>
      <w:r>
        <w:rPr>
          <w:lang w:eastAsia="en-US" w:bidi="bn-BD"/>
        </w:rPr>
        <w:t xml:space="preserve"> from another node</w:t>
      </w:r>
      <w:r w:rsidR="00EE160F">
        <w:rPr>
          <w:lang w:eastAsia="en-US" w:bidi="bn-BD"/>
        </w:rPr>
        <w:t>.</w:t>
      </w:r>
    </w:p>
    <w:p w14:paraId="7A282DCB" w14:textId="54761E3A" w:rsidR="00EE160F" w:rsidRPr="00DD401F" w:rsidRDefault="00DD401F" w:rsidP="00DD401F">
      <w:pPr>
        <w:spacing w:before="0"/>
        <w:jc w:val="left"/>
        <w:rPr>
          <w:szCs w:val="22"/>
          <w:lang w:eastAsia="en-US"/>
        </w:rPr>
      </w:pPr>
      <w:r>
        <w:rPr>
          <w:lang w:eastAsia="en-US"/>
        </w:rPr>
        <w:br w:type="page"/>
      </w:r>
    </w:p>
    <w:p w14:paraId="259BA878" w14:textId="77777777" w:rsidR="00944378" w:rsidRPr="004757A4" w:rsidRDefault="00737C33" w:rsidP="00B90FCE">
      <w:pPr>
        <w:pStyle w:val="Heading1"/>
      </w:pPr>
      <w:r>
        <w:lastRenderedPageBreak/>
        <w:t>Action Required</w:t>
      </w:r>
    </w:p>
    <w:p w14:paraId="5F9ABA11" w14:textId="68E23905" w:rsidR="00FA4AFA" w:rsidRDefault="00FA4AFA" w:rsidP="00E57461">
      <w:pPr>
        <w:pStyle w:val="NormalParagraph"/>
      </w:pPr>
      <w:bookmarkStart w:id="4" w:name="_Toc437780036"/>
      <w:bookmarkStart w:id="5" w:name="_Toc51656806"/>
      <w:bookmarkStart w:id="6" w:name="_Toc74460304"/>
      <w:bookmarkEnd w:id="3"/>
      <w:r>
        <w:t xml:space="preserve">GSMA RIFS </w:t>
      </w:r>
      <w:r w:rsidR="008948FB">
        <w:t xml:space="preserve">would like to ask the 3GPP CT4 group to </w:t>
      </w:r>
      <w:r w:rsidR="00134CAA">
        <w:t xml:space="preserve">note this vulnerability and </w:t>
      </w:r>
      <w:r w:rsidR="00161E25">
        <w:t xml:space="preserve">consider the suggested options, and any others CT4 may suggest. In the meantime the GSMA will continue to maintain the risk and </w:t>
      </w:r>
      <w:r w:rsidR="00422620">
        <w:t>RIFS</w:t>
      </w:r>
      <w:r w:rsidR="00A50664">
        <w:t xml:space="preserve"> will </w:t>
      </w:r>
      <w:r w:rsidR="00B9623F">
        <w:t>continu</w:t>
      </w:r>
      <w:r w:rsidR="00161E25">
        <w:t>e</w:t>
      </w:r>
      <w:r w:rsidR="00B9623F">
        <w:t xml:space="preserve"> to </w:t>
      </w:r>
      <w:r w:rsidR="00422620">
        <w:t xml:space="preserve">maintain its </w:t>
      </w:r>
      <w:r w:rsidR="00A50664">
        <w:t xml:space="preserve">advice </w:t>
      </w:r>
      <w:r w:rsidR="00422620">
        <w:t>to members as specified below</w:t>
      </w:r>
      <w:r w:rsidR="00A50664">
        <w:t>:</w:t>
      </w:r>
    </w:p>
    <w:tbl>
      <w:tblPr>
        <w:tblStyle w:val="TableGrid"/>
        <w:tblW w:w="5000" w:type="pct"/>
        <w:tblLook w:val="04A0" w:firstRow="1" w:lastRow="0" w:firstColumn="1" w:lastColumn="0" w:noHBand="0" w:noVBand="1"/>
      </w:tblPr>
      <w:tblGrid>
        <w:gridCol w:w="1600"/>
        <w:gridCol w:w="2164"/>
        <w:gridCol w:w="1050"/>
        <w:gridCol w:w="1560"/>
        <w:gridCol w:w="2642"/>
      </w:tblGrid>
      <w:tr w:rsidR="00BC4AD9" w14:paraId="776C5FB8" w14:textId="77777777" w:rsidTr="00BC4AD9">
        <w:trPr>
          <w:tblHeader/>
        </w:trPr>
        <w:tc>
          <w:tcPr>
            <w:tcW w:w="887" w:type="pct"/>
            <w:tcBorders>
              <w:top w:val="single" w:sz="4" w:space="0" w:color="auto"/>
              <w:left w:val="single" w:sz="4" w:space="0" w:color="auto"/>
              <w:bottom w:val="single" w:sz="4" w:space="0" w:color="auto"/>
              <w:right w:val="single" w:sz="4" w:space="0" w:color="auto"/>
            </w:tcBorders>
            <w:shd w:val="clear" w:color="auto" w:fill="DE002B"/>
            <w:hideMark/>
          </w:tcPr>
          <w:p w14:paraId="701B44A7"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w:t>
            </w:r>
          </w:p>
        </w:tc>
        <w:tc>
          <w:tcPr>
            <w:tcW w:w="1200" w:type="pct"/>
            <w:tcBorders>
              <w:top w:val="single" w:sz="4" w:space="0" w:color="auto"/>
              <w:left w:val="single" w:sz="4" w:space="0" w:color="auto"/>
              <w:bottom w:val="single" w:sz="4" w:space="0" w:color="auto"/>
              <w:right w:val="single" w:sz="4" w:space="0" w:color="auto"/>
            </w:tcBorders>
            <w:shd w:val="clear" w:color="auto" w:fill="DE002B"/>
            <w:hideMark/>
          </w:tcPr>
          <w:p w14:paraId="6125BCBE"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Method</w:t>
            </w:r>
          </w:p>
        </w:tc>
        <w:tc>
          <w:tcPr>
            <w:tcW w:w="582" w:type="pct"/>
            <w:tcBorders>
              <w:top w:val="single" w:sz="4" w:space="0" w:color="auto"/>
              <w:left w:val="single" w:sz="4" w:space="0" w:color="auto"/>
              <w:bottom w:val="single" w:sz="4" w:space="0" w:color="auto"/>
              <w:right w:val="single" w:sz="4" w:space="0" w:color="auto"/>
            </w:tcBorders>
            <w:shd w:val="clear" w:color="auto" w:fill="DE002B"/>
            <w:hideMark/>
          </w:tcPr>
          <w:p w14:paraId="7FC6AB72"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 Type</w:t>
            </w:r>
          </w:p>
        </w:tc>
        <w:tc>
          <w:tcPr>
            <w:tcW w:w="865" w:type="pct"/>
            <w:tcBorders>
              <w:top w:val="single" w:sz="4" w:space="0" w:color="auto"/>
              <w:left w:val="single" w:sz="4" w:space="0" w:color="auto"/>
              <w:bottom w:val="single" w:sz="4" w:space="0" w:color="auto"/>
              <w:right w:val="single" w:sz="4" w:space="0" w:color="auto"/>
            </w:tcBorders>
            <w:shd w:val="clear" w:color="auto" w:fill="DE002B"/>
            <w:hideMark/>
          </w:tcPr>
          <w:p w14:paraId="03AC403C"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Attack Pre-conditions</w:t>
            </w:r>
          </w:p>
        </w:tc>
        <w:tc>
          <w:tcPr>
            <w:tcW w:w="1465" w:type="pct"/>
            <w:tcBorders>
              <w:top w:val="single" w:sz="4" w:space="0" w:color="auto"/>
              <w:left w:val="single" w:sz="4" w:space="0" w:color="auto"/>
              <w:bottom w:val="single" w:sz="4" w:space="0" w:color="auto"/>
              <w:right w:val="single" w:sz="4" w:space="0" w:color="auto"/>
            </w:tcBorders>
            <w:shd w:val="clear" w:color="auto" w:fill="DE002B"/>
            <w:hideMark/>
          </w:tcPr>
          <w:p w14:paraId="0228EF2E"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Mitigation</w:t>
            </w:r>
          </w:p>
        </w:tc>
      </w:tr>
      <w:tr w:rsidR="00BC4AD9" w14:paraId="5C9EC7AB" w14:textId="77777777" w:rsidTr="00BC4AD9">
        <w:tc>
          <w:tcPr>
            <w:tcW w:w="887" w:type="pct"/>
            <w:tcBorders>
              <w:top w:val="single" w:sz="4" w:space="0" w:color="auto"/>
              <w:left w:val="single" w:sz="4" w:space="0" w:color="auto"/>
              <w:bottom w:val="single" w:sz="4" w:space="0" w:color="auto"/>
              <w:right w:val="single" w:sz="4" w:space="0" w:color="auto"/>
            </w:tcBorders>
            <w:vAlign w:val="center"/>
            <w:hideMark/>
          </w:tcPr>
          <w:p w14:paraId="13A115E7" w14:textId="77777777" w:rsidR="00BC4AD9" w:rsidRDefault="00BC4AD9">
            <w:pPr>
              <w:spacing w:before="40" w:after="40" w:line="276" w:lineRule="auto"/>
              <w:jc w:val="left"/>
              <w:rPr>
                <w:rFonts w:cs="Arial"/>
                <w:b/>
                <w:sz w:val="20"/>
                <w:szCs w:val="22"/>
                <w:lang w:eastAsia="de-DE" w:bidi="ar-SA"/>
              </w:rPr>
            </w:pPr>
            <w:bookmarkStart w:id="7" w:name="_Hlk528571209"/>
            <w:r>
              <w:rPr>
                <w:rFonts w:cs="Arial"/>
                <w:b/>
                <w:sz w:val="20"/>
                <w:szCs w:val="22"/>
                <w:lang w:eastAsia="de-DE" w:bidi="ar-SA"/>
              </w:rPr>
              <w:t>Denial of service on all subscribers on the same SGSN/SGW</w:t>
            </w:r>
          </w:p>
        </w:tc>
        <w:tc>
          <w:tcPr>
            <w:tcW w:w="1200" w:type="pct"/>
            <w:tcBorders>
              <w:top w:val="single" w:sz="4" w:space="0" w:color="auto"/>
              <w:left w:val="single" w:sz="4" w:space="0" w:color="auto"/>
              <w:bottom w:val="single" w:sz="4" w:space="0" w:color="auto"/>
              <w:right w:val="single" w:sz="4" w:space="0" w:color="auto"/>
            </w:tcBorders>
            <w:vAlign w:val="center"/>
            <w:hideMark/>
          </w:tcPr>
          <w:p w14:paraId="25D1F34B" w14:textId="77777777" w:rsidR="00BC4AD9" w:rsidRDefault="00BC4AD9">
            <w:pPr>
              <w:spacing w:before="40" w:after="40" w:line="276" w:lineRule="auto"/>
              <w:jc w:val="left"/>
              <w:rPr>
                <w:sz w:val="20"/>
                <w:szCs w:val="22"/>
                <w:lang w:eastAsia="de-DE" w:bidi="ar-SA"/>
              </w:rPr>
            </w:pPr>
            <w:r>
              <w:rPr>
                <w:rFonts w:cs="Arial"/>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tcBorders>
              <w:top w:val="single" w:sz="4" w:space="0" w:color="auto"/>
              <w:left w:val="single" w:sz="4" w:space="0" w:color="auto"/>
              <w:bottom w:val="single" w:sz="4" w:space="0" w:color="auto"/>
              <w:right w:val="single" w:sz="4" w:space="0" w:color="auto"/>
            </w:tcBorders>
            <w:vAlign w:val="center"/>
            <w:hideMark/>
          </w:tcPr>
          <w:p w14:paraId="026F5CD1"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Actively send malicious message</w:t>
            </w:r>
          </w:p>
        </w:tc>
        <w:tc>
          <w:tcPr>
            <w:tcW w:w="865" w:type="pct"/>
            <w:tcBorders>
              <w:top w:val="single" w:sz="4" w:space="0" w:color="auto"/>
              <w:left w:val="single" w:sz="4" w:space="0" w:color="auto"/>
              <w:bottom w:val="single" w:sz="4" w:space="0" w:color="auto"/>
              <w:right w:val="single" w:sz="4" w:space="0" w:color="auto"/>
            </w:tcBorders>
            <w:vAlign w:val="center"/>
            <w:hideMark/>
          </w:tcPr>
          <w:p w14:paraId="054865DE"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Target node IP reachability (e.g. access to the GRX/IPX, Internet exposure)</w:t>
            </w:r>
          </w:p>
        </w:tc>
        <w:tc>
          <w:tcPr>
            <w:tcW w:w="1465" w:type="pct"/>
            <w:tcBorders>
              <w:top w:val="single" w:sz="4" w:space="0" w:color="auto"/>
              <w:left w:val="single" w:sz="4" w:space="0" w:color="auto"/>
              <w:bottom w:val="single" w:sz="4" w:space="0" w:color="auto"/>
              <w:right w:val="single" w:sz="4" w:space="0" w:color="auto"/>
            </w:tcBorders>
            <w:vAlign w:val="center"/>
            <w:hideMark/>
          </w:tcPr>
          <w:p w14:paraId="4578A202"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14:paraId="3FEC0594"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Ensure the recovery counter is sequential and monitor counter values on GTP-C messages.</w:t>
            </w:r>
          </w:p>
        </w:tc>
      </w:tr>
      <w:bookmarkEnd w:id="7"/>
    </w:tbl>
    <w:p w14:paraId="525EE135" w14:textId="77777777" w:rsidR="00BC4AD9" w:rsidRDefault="00BC4AD9" w:rsidP="00BC4AD9">
      <w:pPr>
        <w:pStyle w:val="NormalParagraph"/>
        <w:rPr>
          <w:rFonts w:cs="Arial"/>
          <w:lang w:eastAsia="en-US" w:bidi="bn-BD"/>
        </w:rPr>
      </w:pPr>
    </w:p>
    <w:bookmarkEnd w:id="4"/>
    <w:bookmarkEnd w:id="5"/>
    <w:bookmarkEnd w:id="6"/>
    <w:p w14:paraId="4E3F1CED" w14:textId="77777777" w:rsidR="0069239C" w:rsidRDefault="0069239C" w:rsidP="0069239C">
      <w:pPr>
        <w:pStyle w:val="Heading1"/>
      </w:pPr>
      <w:r>
        <w:t>Next Meetings</w:t>
      </w:r>
    </w:p>
    <w:p w14:paraId="3A94FEA9" w14:textId="512396D2" w:rsidR="0069239C" w:rsidRPr="00203F00" w:rsidRDefault="0069239C" w:rsidP="00416660">
      <w:pPr>
        <w:pStyle w:val="ListBullet1"/>
        <w:rPr>
          <w:lang w:val="fr-FR"/>
        </w:rPr>
      </w:pPr>
      <w:r w:rsidRPr="00203F00">
        <w:rPr>
          <w:lang w:val="fr-FR"/>
        </w:rPr>
        <w:t>RIFS</w:t>
      </w:r>
      <w:r w:rsidR="00203F00" w:rsidRPr="00203F00">
        <w:rPr>
          <w:lang w:val="fr-FR"/>
        </w:rPr>
        <w:t xml:space="preserve"> holds </w:t>
      </w:r>
      <w:r w:rsidR="00203F00">
        <w:rPr>
          <w:lang w:val="fr-FR"/>
        </w:rPr>
        <w:t xml:space="preserve">conference </w:t>
      </w:r>
      <w:r w:rsidR="00203F00" w:rsidRPr="00203F00">
        <w:rPr>
          <w:lang w:val="fr-FR"/>
        </w:rPr>
        <w:t>call</w:t>
      </w:r>
      <w:r w:rsidR="00203F00">
        <w:rPr>
          <w:lang w:val="fr-FR"/>
        </w:rPr>
        <w:t>s</w:t>
      </w:r>
      <w:r w:rsidR="00203F00" w:rsidRPr="00203F00">
        <w:rPr>
          <w:lang w:val="fr-FR"/>
        </w:rPr>
        <w:t xml:space="preserve"> at </w:t>
      </w:r>
      <w:r w:rsidRPr="00203F00">
        <w:rPr>
          <w:lang w:val="fr-FR"/>
        </w:rPr>
        <w:t>approximately 3-4 week intervals.</w:t>
      </w:r>
    </w:p>
    <w:sectPr w:rsidR="0069239C" w:rsidRPr="00203F00" w:rsidSect="003E4579">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D04D5" w14:textId="77777777" w:rsidR="002E2476" w:rsidRDefault="002E2476">
      <w:pPr>
        <w:spacing w:before="0"/>
      </w:pPr>
      <w:r>
        <w:separator/>
      </w:r>
    </w:p>
    <w:p w14:paraId="512F25F6" w14:textId="77777777" w:rsidR="002E2476" w:rsidRDefault="002E2476"/>
  </w:endnote>
  <w:endnote w:type="continuationSeparator" w:id="0">
    <w:p w14:paraId="053E83F2" w14:textId="77777777" w:rsidR="002E2476" w:rsidRDefault="002E2476">
      <w:pPr>
        <w:spacing w:before="0"/>
      </w:pPr>
      <w:r>
        <w:continuationSeparator/>
      </w:r>
    </w:p>
    <w:p w14:paraId="4A589595" w14:textId="77777777" w:rsidR="002E2476" w:rsidRDefault="002E2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4727F" w14:textId="77777777" w:rsidR="00150EC5" w:rsidRDefault="00150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D979" w14:textId="61350355" w:rsidR="00BA7BD4" w:rsidRDefault="00BA7BD4" w:rsidP="00A95E1E">
    <w:pPr>
      <w:pStyle w:val="Footer"/>
      <w:rPr>
        <w:i/>
      </w:rPr>
    </w:pPr>
    <w:r>
      <w:tab/>
      <w:t xml:space="preserve">Page </w:t>
    </w:r>
    <w:r>
      <w:fldChar w:fldCharType="begin"/>
    </w:r>
    <w:r>
      <w:instrText xml:space="preserve"> PAGE </w:instrText>
    </w:r>
    <w:r>
      <w:fldChar w:fldCharType="separate"/>
    </w:r>
    <w:r w:rsidR="006E2957">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6E2957">
      <w:rPr>
        <w:noProof/>
      </w:rPr>
      <w:t>4</w:t>
    </w:r>
    <w:r w:rsidR="005B6D5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E222" w14:textId="77777777" w:rsidR="00150EC5" w:rsidRDefault="00150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472E6" w14:textId="77777777" w:rsidR="002E2476" w:rsidRDefault="002E2476" w:rsidP="009527C9">
      <w:pPr>
        <w:spacing w:before="0"/>
      </w:pPr>
      <w:r>
        <w:separator/>
      </w:r>
    </w:p>
  </w:footnote>
  <w:footnote w:type="continuationSeparator" w:id="0">
    <w:p w14:paraId="6A6D5EE5" w14:textId="77777777" w:rsidR="002E2476" w:rsidRDefault="002E2476" w:rsidP="009527C9">
      <w:pPr>
        <w:spacing w:before="0"/>
      </w:pPr>
      <w:r>
        <w:continuationSeparator/>
      </w:r>
    </w:p>
  </w:footnote>
  <w:footnote w:type="continuationNotice" w:id="1">
    <w:p w14:paraId="6D3341ED" w14:textId="77777777" w:rsidR="002E2476" w:rsidRDefault="002E247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5BC6" w14:textId="77777777" w:rsidR="00BA7BD4" w:rsidRDefault="00BA7BD4" w:rsidP="00427F8A">
    <w:pPr>
      <w:pStyle w:val="NormalParagraph"/>
    </w:pPr>
  </w:p>
  <w:p w14:paraId="7F9A81E2"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4BDFA" w14:textId="7C72C315" w:rsidR="00150EC5" w:rsidRDefault="00150EC5" w:rsidP="00150EC5">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Pr>
        <w:b/>
        <w:noProof/>
        <w:sz w:val="24"/>
      </w:rPr>
      <w:t>301</w:t>
    </w:r>
    <w:bookmarkStart w:id="8" w:name="_GoBack"/>
    <w:bookmarkEnd w:id="8"/>
  </w:p>
  <w:p w14:paraId="3358C2AA" w14:textId="77777777" w:rsidR="00150EC5" w:rsidRDefault="00150EC5" w:rsidP="00150EC5">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7DE0BD95" w14:textId="256251A8" w:rsidR="00D35065" w:rsidRDefault="00D35065" w:rsidP="00D35065">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C4-194274</w:t>
    </w:r>
  </w:p>
  <w:p w14:paraId="31D60294" w14:textId="77777777" w:rsidR="00D35065" w:rsidRDefault="00D35065" w:rsidP="00D35065">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ACD7997" w14:textId="7DBB96F3" w:rsidR="00E21679" w:rsidRDefault="00E21679" w:rsidP="00E21679">
    <w:pPr>
      <w:pStyle w:val="CRCoverPage"/>
      <w:tabs>
        <w:tab w:val="right" w:pos="9639"/>
      </w:tabs>
      <w:spacing w:after="0"/>
      <w:rPr>
        <w:rFonts w:eastAsia="SimSun"/>
        <w:b/>
        <w:i/>
        <w:noProof/>
        <w:sz w:val="28"/>
      </w:rPr>
    </w:pPr>
    <w:r>
      <w:rPr>
        <w:b/>
        <w:noProof/>
        <w:sz w:val="24"/>
      </w:rPr>
      <w:t>3GPP TSG-CT WG4 Meeting #93</w:t>
    </w:r>
    <w:r>
      <w:rPr>
        <w:b/>
        <w:i/>
        <w:noProof/>
        <w:sz w:val="28"/>
      </w:rPr>
      <w:tab/>
    </w:r>
    <w:r>
      <w:rPr>
        <w:b/>
        <w:noProof/>
        <w:sz w:val="24"/>
      </w:rPr>
      <w:t>C4-193012</w:t>
    </w:r>
  </w:p>
  <w:p w14:paraId="17BE81FB" w14:textId="77777777" w:rsidR="00E21679" w:rsidRDefault="00E21679" w:rsidP="00E21679">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70B39040" w14:textId="0CA29144" w:rsidR="00BA7BD4" w:rsidRPr="00F04B04" w:rsidRDefault="00BA7BD4" w:rsidP="00A95E1E">
    <w:pPr>
      <w:pStyle w:val="Header"/>
    </w:pPr>
    <w:r>
      <w:t>GSM Association</w:t>
    </w:r>
    <w:r>
      <w:tab/>
    </w:r>
    <w:r w:rsidR="00115FED">
      <w:t>Non-</w:t>
    </w:r>
    <w:r w:rsidR="00AE7C34">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11C96" w14:textId="77777777" w:rsidR="00150EC5" w:rsidRDefault="00150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hideSpellingErrors/>
  <w:hideGrammaticalErrors/>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2803"/>
    <w:rsid w:val="00002E89"/>
    <w:rsid w:val="0001024B"/>
    <w:rsid w:val="000248AC"/>
    <w:rsid w:val="0003298E"/>
    <w:rsid w:val="00036CC7"/>
    <w:rsid w:val="00041759"/>
    <w:rsid w:val="00046D01"/>
    <w:rsid w:val="00052FE2"/>
    <w:rsid w:val="00065C5F"/>
    <w:rsid w:val="00067378"/>
    <w:rsid w:val="000713B1"/>
    <w:rsid w:val="00074898"/>
    <w:rsid w:val="00076BDF"/>
    <w:rsid w:val="000774DD"/>
    <w:rsid w:val="0009219A"/>
    <w:rsid w:val="000A0FB0"/>
    <w:rsid w:val="000B02F8"/>
    <w:rsid w:val="000B4F7B"/>
    <w:rsid w:val="000D20CB"/>
    <w:rsid w:val="000E2366"/>
    <w:rsid w:val="000E6BB7"/>
    <w:rsid w:val="000F6B8B"/>
    <w:rsid w:val="0010050B"/>
    <w:rsid w:val="001010C7"/>
    <w:rsid w:val="00107619"/>
    <w:rsid w:val="00115FED"/>
    <w:rsid w:val="00122968"/>
    <w:rsid w:val="00134CAA"/>
    <w:rsid w:val="00141190"/>
    <w:rsid w:val="001455A2"/>
    <w:rsid w:val="00150EC5"/>
    <w:rsid w:val="0016026E"/>
    <w:rsid w:val="00161E25"/>
    <w:rsid w:val="00163998"/>
    <w:rsid w:val="00165872"/>
    <w:rsid w:val="00176186"/>
    <w:rsid w:val="0018002B"/>
    <w:rsid w:val="001A4B7A"/>
    <w:rsid w:val="001E0694"/>
    <w:rsid w:val="001F08AC"/>
    <w:rsid w:val="001F2D3A"/>
    <w:rsid w:val="00202265"/>
    <w:rsid w:val="00203F00"/>
    <w:rsid w:val="002079FF"/>
    <w:rsid w:val="00207D34"/>
    <w:rsid w:val="002111D3"/>
    <w:rsid w:val="002200A1"/>
    <w:rsid w:val="0022220E"/>
    <w:rsid w:val="0023227F"/>
    <w:rsid w:val="00243007"/>
    <w:rsid w:val="00243CE1"/>
    <w:rsid w:val="00246CC0"/>
    <w:rsid w:val="00254E4D"/>
    <w:rsid w:val="00274FB8"/>
    <w:rsid w:val="002766F0"/>
    <w:rsid w:val="00283857"/>
    <w:rsid w:val="002859F6"/>
    <w:rsid w:val="002873C5"/>
    <w:rsid w:val="00294E91"/>
    <w:rsid w:val="00294F1F"/>
    <w:rsid w:val="002A18B3"/>
    <w:rsid w:val="002A7CAD"/>
    <w:rsid w:val="002C097B"/>
    <w:rsid w:val="002E2476"/>
    <w:rsid w:val="002E4ABC"/>
    <w:rsid w:val="002F7DBE"/>
    <w:rsid w:val="00331905"/>
    <w:rsid w:val="0034268E"/>
    <w:rsid w:val="003549D3"/>
    <w:rsid w:val="00360660"/>
    <w:rsid w:val="00360ED9"/>
    <w:rsid w:val="00361471"/>
    <w:rsid w:val="00372203"/>
    <w:rsid w:val="00373C4C"/>
    <w:rsid w:val="00373FBC"/>
    <w:rsid w:val="00376BF3"/>
    <w:rsid w:val="00383ADA"/>
    <w:rsid w:val="00397B86"/>
    <w:rsid w:val="003A0DA5"/>
    <w:rsid w:val="003A3B36"/>
    <w:rsid w:val="003A7D25"/>
    <w:rsid w:val="003B164B"/>
    <w:rsid w:val="003C5CE6"/>
    <w:rsid w:val="003C5D67"/>
    <w:rsid w:val="003D0069"/>
    <w:rsid w:val="003D0CD1"/>
    <w:rsid w:val="003D4034"/>
    <w:rsid w:val="003E4579"/>
    <w:rsid w:val="003F4D31"/>
    <w:rsid w:val="003F75FD"/>
    <w:rsid w:val="00405BA8"/>
    <w:rsid w:val="00406873"/>
    <w:rsid w:val="00417276"/>
    <w:rsid w:val="00422620"/>
    <w:rsid w:val="00427F8A"/>
    <w:rsid w:val="00440119"/>
    <w:rsid w:val="0044325C"/>
    <w:rsid w:val="00446532"/>
    <w:rsid w:val="00471F96"/>
    <w:rsid w:val="00476E46"/>
    <w:rsid w:val="00477CD5"/>
    <w:rsid w:val="00481653"/>
    <w:rsid w:val="00492071"/>
    <w:rsid w:val="00494E41"/>
    <w:rsid w:val="004B1958"/>
    <w:rsid w:val="004B7801"/>
    <w:rsid w:val="004C0DAB"/>
    <w:rsid w:val="004C114A"/>
    <w:rsid w:val="004E57CC"/>
    <w:rsid w:val="004F4891"/>
    <w:rsid w:val="00504394"/>
    <w:rsid w:val="00511DAC"/>
    <w:rsid w:val="00515A23"/>
    <w:rsid w:val="00525783"/>
    <w:rsid w:val="00531BB2"/>
    <w:rsid w:val="005425BF"/>
    <w:rsid w:val="00542D36"/>
    <w:rsid w:val="00551AB7"/>
    <w:rsid w:val="00553839"/>
    <w:rsid w:val="00554E35"/>
    <w:rsid w:val="00555CF1"/>
    <w:rsid w:val="00566342"/>
    <w:rsid w:val="005840AA"/>
    <w:rsid w:val="00584B29"/>
    <w:rsid w:val="00584E27"/>
    <w:rsid w:val="00585714"/>
    <w:rsid w:val="005942AF"/>
    <w:rsid w:val="005A1013"/>
    <w:rsid w:val="005A675F"/>
    <w:rsid w:val="005B0278"/>
    <w:rsid w:val="005B6D5C"/>
    <w:rsid w:val="005E10AA"/>
    <w:rsid w:val="005F2010"/>
    <w:rsid w:val="00606293"/>
    <w:rsid w:val="00611B6E"/>
    <w:rsid w:val="00613116"/>
    <w:rsid w:val="00640911"/>
    <w:rsid w:val="00642A24"/>
    <w:rsid w:val="00642D43"/>
    <w:rsid w:val="006618AE"/>
    <w:rsid w:val="00666096"/>
    <w:rsid w:val="00666EEC"/>
    <w:rsid w:val="0069239C"/>
    <w:rsid w:val="006A01A9"/>
    <w:rsid w:val="006A3A08"/>
    <w:rsid w:val="006C3E00"/>
    <w:rsid w:val="006D67B8"/>
    <w:rsid w:val="006E00A2"/>
    <w:rsid w:val="006E03E2"/>
    <w:rsid w:val="006E2957"/>
    <w:rsid w:val="006E5FA5"/>
    <w:rsid w:val="00701821"/>
    <w:rsid w:val="00725F15"/>
    <w:rsid w:val="007261E1"/>
    <w:rsid w:val="00726CF1"/>
    <w:rsid w:val="0073577B"/>
    <w:rsid w:val="00737C33"/>
    <w:rsid w:val="00751E68"/>
    <w:rsid w:val="0075588E"/>
    <w:rsid w:val="00787544"/>
    <w:rsid w:val="0079023B"/>
    <w:rsid w:val="00792AF5"/>
    <w:rsid w:val="00797566"/>
    <w:rsid w:val="007A4853"/>
    <w:rsid w:val="007B31FE"/>
    <w:rsid w:val="00802201"/>
    <w:rsid w:val="00811EAB"/>
    <w:rsid w:val="00817A76"/>
    <w:rsid w:val="00824D1D"/>
    <w:rsid w:val="00831655"/>
    <w:rsid w:val="00831B27"/>
    <w:rsid w:val="008371B1"/>
    <w:rsid w:val="008418DE"/>
    <w:rsid w:val="00850C66"/>
    <w:rsid w:val="00854B5B"/>
    <w:rsid w:val="00871A1B"/>
    <w:rsid w:val="00873AD5"/>
    <w:rsid w:val="00875B0B"/>
    <w:rsid w:val="00883C62"/>
    <w:rsid w:val="008948FB"/>
    <w:rsid w:val="008A45EC"/>
    <w:rsid w:val="008B643F"/>
    <w:rsid w:val="008C1C88"/>
    <w:rsid w:val="008C2C00"/>
    <w:rsid w:val="008C477F"/>
    <w:rsid w:val="008C4F3B"/>
    <w:rsid w:val="008C57F0"/>
    <w:rsid w:val="00911617"/>
    <w:rsid w:val="0091226B"/>
    <w:rsid w:val="00914756"/>
    <w:rsid w:val="009177CC"/>
    <w:rsid w:val="00925B3D"/>
    <w:rsid w:val="00944378"/>
    <w:rsid w:val="0094608A"/>
    <w:rsid w:val="00951C82"/>
    <w:rsid w:val="009527C9"/>
    <w:rsid w:val="00955DF7"/>
    <w:rsid w:val="00960027"/>
    <w:rsid w:val="0096263C"/>
    <w:rsid w:val="00982C92"/>
    <w:rsid w:val="0098351C"/>
    <w:rsid w:val="009968FB"/>
    <w:rsid w:val="009A3919"/>
    <w:rsid w:val="009A47B9"/>
    <w:rsid w:val="009C1E2C"/>
    <w:rsid w:val="009D7FFC"/>
    <w:rsid w:val="009E2799"/>
    <w:rsid w:val="00A0052C"/>
    <w:rsid w:val="00A01934"/>
    <w:rsid w:val="00A04A56"/>
    <w:rsid w:val="00A10707"/>
    <w:rsid w:val="00A315A9"/>
    <w:rsid w:val="00A34C8D"/>
    <w:rsid w:val="00A419CF"/>
    <w:rsid w:val="00A50664"/>
    <w:rsid w:val="00A50E7A"/>
    <w:rsid w:val="00A54D0C"/>
    <w:rsid w:val="00A647B7"/>
    <w:rsid w:val="00A66939"/>
    <w:rsid w:val="00A728C4"/>
    <w:rsid w:val="00A777F1"/>
    <w:rsid w:val="00A91734"/>
    <w:rsid w:val="00A95E1E"/>
    <w:rsid w:val="00A95FF2"/>
    <w:rsid w:val="00AA4C56"/>
    <w:rsid w:val="00AB695F"/>
    <w:rsid w:val="00AC2FCC"/>
    <w:rsid w:val="00AD22EA"/>
    <w:rsid w:val="00AD7636"/>
    <w:rsid w:val="00AE7C34"/>
    <w:rsid w:val="00AF4FB4"/>
    <w:rsid w:val="00B023D3"/>
    <w:rsid w:val="00B22FE8"/>
    <w:rsid w:val="00B260AE"/>
    <w:rsid w:val="00B6305A"/>
    <w:rsid w:val="00B65662"/>
    <w:rsid w:val="00B673FE"/>
    <w:rsid w:val="00B72171"/>
    <w:rsid w:val="00B82FEE"/>
    <w:rsid w:val="00B8382B"/>
    <w:rsid w:val="00B90FCE"/>
    <w:rsid w:val="00B9623F"/>
    <w:rsid w:val="00BA7BD4"/>
    <w:rsid w:val="00BB12B8"/>
    <w:rsid w:val="00BB28AC"/>
    <w:rsid w:val="00BB3673"/>
    <w:rsid w:val="00BB5F46"/>
    <w:rsid w:val="00BB7AD1"/>
    <w:rsid w:val="00BC0319"/>
    <w:rsid w:val="00BC4AD9"/>
    <w:rsid w:val="00BD7276"/>
    <w:rsid w:val="00C001BA"/>
    <w:rsid w:val="00C019FB"/>
    <w:rsid w:val="00C13782"/>
    <w:rsid w:val="00C21179"/>
    <w:rsid w:val="00C213B4"/>
    <w:rsid w:val="00C23FD9"/>
    <w:rsid w:val="00C25E2B"/>
    <w:rsid w:val="00C30152"/>
    <w:rsid w:val="00C455AF"/>
    <w:rsid w:val="00C6177A"/>
    <w:rsid w:val="00C64B39"/>
    <w:rsid w:val="00C73250"/>
    <w:rsid w:val="00C82208"/>
    <w:rsid w:val="00C83C23"/>
    <w:rsid w:val="00C93769"/>
    <w:rsid w:val="00CA0190"/>
    <w:rsid w:val="00CA563E"/>
    <w:rsid w:val="00CB219E"/>
    <w:rsid w:val="00CB4912"/>
    <w:rsid w:val="00CB637D"/>
    <w:rsid w:val="00CC3014"/>
    <w:rsid w:val="00CC667C"/>
    <w:rsid w:val="00CD3BEE"/>
    <w:rsid w:val="00CE1C2A"/>
    <w:rsid w:val="00CE4204"/>
    <w:rsid w:val="00CF0218"/>
    <w:rsid w:val="00CF7A51"/>
    <w:rsid w:val="00D32793"/>
    <w:rsid w:val="00D34853"/>
    <w:rsid w:val="00D35065"/>
    <w:rsid w:val="00D406CB"/>
    <w:rsid w:val="00D430E2"/>
    <w:rsid w:val="00D46357"/>
    <w:rsid w:val="00D55883"/>
    <w:rsid w:val="00D64A0E"/>
    <w:rsid w:val="00D7048E"/>
    <w:rsid w:val="00D75061"/>
    <w:rsid w:val="00D77C8B"/>
    <w:rsid w:val="00D84468"/>
    <w:rsid w:val="00D96C6E"/>
    <w:rsid w:val="00DA11A0"/>
    <w:rsid w:val="00DA7467"/>
    <w:rsid w:val="00DC5B89"/>
    <w:rsid w:val="00DD401F"/>
    <w:rsid w:val="00DD490F"/>
    <w:rsid w:val="00DD7477"/>
    <w:rsid w:val="00DE1719"/>
    <w:rsid w:val="00DF3B91"/>
    <w:rsid w:val="00DF6CBC"/>
    <w:rsid w:val="00E14ABA"/>
    <w:rsid w:val="00E21141"/>
    <w:rsid w:val="00E21679"/>
    <w:rsid w:val="00E34134"/>
    <w:rsid w:val="00E36118"/>
    <w:rsid w:val="00E376E1"/>
    <w:rsid w:val="00E44F9D"/>
    <w:rsid w:val="00E5129B"/>
    <w:rsid w:val="00E56A14"/>
    <w:rsid w:val="00E57461"/>
    <w:rsid w:val="00E72D86"/>
    <w:rsid w:val="00E7347D"/>
    <w:rsid w:val="00E7772A"/>
    <w:rsid w:val="00E77B57"/>
    <w:rsid w:val="00EA332A"/>
    <w:rsid w:val="00EC1C5A"/>
    <w:rsid w:val="00ED0002"/>
    <w:rsid w:val="00ED24CD"/>
    <w:rsid w:val="00EE160F"/>
    <w:rsid w:val="00EE6C6A"/>
    <w:rsid w:val="00F046D7"/>
    <w:rsid w:val="00F14715"/>
    <w:rsid w:val="00F30187"/>
    <w:rsid w:val="00F308D9"/>
    <w:rsid w:val="00F33D50"/>
    <w:rsid w:val="00F63C58"/>
    <w:rsid w:val="00F8395D"/>
    <w:rsid w:val="00F86362"/>
    <w:rsid w:val="00F94034"/>
    <w:rsid w:val="00FA3C69"/>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790E0"/>
  <w15:docId w15:val="{19BAE5DA-E649-4764-912B-B6C10E3E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B1Char">
    <w:name w:val="B1 Char"/>
    <w:link w:val="B1"/>
    <w:locked/>
    <w:rsid w:val="00C019FB"/>
    <w:rPr>
      <w:rFonts w:ascii="Arial" w:hAnsi="Arial" w:cs="Arial"/>
      <w:lang w:eastAsia="en-US"/>
    </w:rPr>
  </w:style>
  <w:style w:type="paragraph" w:customStyle="1" w:styleId="B1">
    <w:name w:val="B1"/>
    <w:basedOn w:val="Normal"/>
    <w:link w:val="B1Char"/>
    <w:qFormat/>
    <w:rsid w:val="00C019FB"/>
    <w:pPr>
      <w:spacing w:before="0"/>
      <w:ind w:left="567" w:hanging="567"/>
    </w:pPr>
    <w:rPr>
      <w:rFonts w:eastAsia="Calibri" w:cs="Arial"/>
      <w:sz w:val="20"/>
      <w:lang w:eastAsia="en-US" w:bidi="ar-SA"/>
    </w:rPr>
  </w:style>
  <w:style w:type="character" w:customStyle="1" w:styleId="CRCoverPageChar">
    <w:name w:val="CR Cover Page Char"/>
    <w:link w:val="CRCoverPage"/>
    <w:locked/>
    <w:rsid w:val="00E21679"/>
    <w:rPr>
      <w:rFonts w:ascii="Arial" w:hAnsi="Arial" w:cs="Arial"/>
      <w:lang w:eastAsia="en-US"/>
    </w:rPr>
  </w:style>
  <w:style w:type="paragraph" w:customStyle="1" w:styleId="CRCoverPage">
    <w:name w:val="CR Cover Page"/>
    <w:link w:val="CRCoverPageChar"/>
    <w:rsid w:val="00E21679"/>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978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561551086">
      <w:bodyDiv w:val="1"/>
      <w:marLeft w:val="0"/>
      <w:marRight w:val="0"/>
      <w:marTop w:val="0"/>
      <w:marBottom w:val="0"/>
      <w:divBdr>
        <w:top w:val="none" w:sz="0" w:space="0" w:color="auto"/>
        <w:left w:val="none" w:sz="0" w:space="0" w:color="auto"/>
        <w:bottom w:val="none" w:sz="0" w:space="0" w:color="auto"/>
        <w:right w:val="none" w:sz="0" w:space="0" w:color="auto"/>
      </w:divBdr>
    </w:div>
    <w:div w:id="1729105897">
      <w:bodyDiv w:val="1"/>
      <w:marLeft w:val="0"/>
      <w:marRight w:val="0"/>
      <w:marTop w:val="0"/>
      <w:marBottom w:val="0"/>
      <w:divBdr>
        <w:top w:val="none" w:sz="0" w:space="0" w:color="auto"/>
        <w:left w:val="none" w:sz="0" w:space="0" w:color="auto"/>
        <w:bottom w:val="none" w:sz="0" w:space="0" w:color="auto"/>
        <w:right w:val="none" w:sz="0" w:space="0" w:color="auto"/>
      </w:divBdr>
    </w:div>
    <w:div w:id="2007051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A7131F-432E-4B0A-89DE-651F9195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1</TotalTime>
  <Pages>5</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LS1</vt:lpstr>
    </vt:vector>
  </TitlesOfParts>
  <Company>GSMA</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David Maxwell</dc:creator>
  <cp:lastModifiedBy>Kimmo Kymalainen</cp:lastModifiedBy>
  <cp:revision>2</cp:revision>
  <dcterms:created xsi:type="dcterms:W3CDTF">2019-11-01T09:09:00Z</dcterms:created>
  <dcterms:modified xsi:type="dcterms:W3CDTF">2019-11-01T09:09:00Z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