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3A99" w:rsidRDefault="00E03A99" w:rsidP="00E03A99">
      <w:pPr>
        <w:pStyle w:val="CRCoverPage"/>
        <w:tabs>
          <w:tab w:val="right" w:pos="9639"/>
        </w:tabs>
        <w:spacing w:after="0"/>
        <w:rPr>
          <w:b/>
          <w:i/>
          <w:noProof/>
          <w:sz w:val="28"/>
        </w:rPr>
      </w:pPr>
      <w:r>
        <w:rPr>
          <w:b/>
          <w:noProof/>
          <w:sz w:val="24"/>
        </w:rPr>
        <w:t>3GPP TSG-CT WG4 Meeting #94</w:t>
      </w:r>
      <w:r>
        <w:rPr>
          <w:b/>
          <w:i/>
          <w:noProof/>
          <w:sz w:val="28"/>
        </w:rPr>
        <w:tab/>
      </w:r>
      <w:r w:rsidR="00072E71">
        <w:rPr>
          <w:b/>
          <w:noProof/>
          <w:sz w:val="24"/>
        </w:rPr>
        <w:t>C4-194131</w:t>
      </w:r>
    </w:p>
    <w:p w:rsidR="00E03A99" w:rsidRDefault="00E03A99" w:rsidP="00E03A99">
      <w:pPr>
        <w:pStyle w:val="CRCoverPage"/>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p>
    <w:p w:rsidR="00DD40D2" w:rsidRDefault="00DD40D2">
      <w:pPr>
        <w:spacing w:after="120"/>
        <w:ind w:left="1985" w:hanging="1985"/>
        <w:rPr>
          <w:rFonts w:ascii="Arial" w:hAnsi="Arial" w:cs="Arial"/>
          <w:b/>
          <w:bCs/>
        </w:rPr>
      </w:pPr>
    </w:p>
    <w:p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D619F2">
        <w:rPr>
          <w:rFonts w:ascii="Arial" w:hAnsi="Arial" w:cs="Arial"/>
          <w:b/>
          <w:bCs/>
        </w:rPr>
        <w:t>Huawei</w:t>
      </w:r>
    </w:p>
    <w:p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D619F2">
        <w:rPr>
          <w:rFonts w:ascii="Arial" w:hAnsi="Arial" w:cs="Arial"/>
          <w:b/>
          <w:bCs/>
        </w:rPr>
        <w:t xml:space="preserve">Discussion paper on </w:t>
      </w:r>
      <w:r w:rsidR="00D00E09">
        <w:rPr>
          <w:rFonts w:ascii="Arial" w:hAnsi="Arial" w:cs="Arial"/>
          <w:b/>
          <w:bCs/>
        </w:rPr>
        <w:t>Overload Control options</w:t>
      </w:r>
    </w:p>
    <w:p w:rsidR="00236D1F" w:rsidRDefault="00BF435E">
      <w:pPr>
        <w:spacing w:after="120"/>
        <w:ind w:left="1985" w:hanging="1985"/>
        <w:rPr>
          <w:rFonts w:ascii="Arial" w:hAnsi="Arial" w:cs="Arial"/>
          <w:b/>
          <w:bCs/>
        </w:rPr>
      </w:pPr>
      <w:r>
        <w:rPr>
          <w:rFonts w:ascii="Arial" w:hAnsi="Arial" w:cs="Arial"/>
          <w:b/>
          <w:bCs/>
        </w:rPr>
        <w:t>Agenda item:</w:t>
      </w:r>
      <w:r>
        <w:rPr>
          <w:rFonts w:ascii="Arial" w:hAnsi="Arial" w:cs="Arial"/>
          <w:b/>
          <w:bCs/>
        </w:rPr>
        <w:tab/>
        <w:t>6.1.2</w:t>
      </w:r>
    </w:p>
    <w:p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r w:rsidR="00D00E09">
        <w:rPr>
          <w:rFonts w:ascii="Arial" w:hAnsi="Arial" w:cs="Arial"/>
          <w:b/>
          <w:bCs/>
        </w:rPr>
        <w:t>/DECISION</w:t>
      </w:r>
    </w:p>
    <w:p w:rsidR="00236D1F" w:rsidRDefault="00236D1F">
      <w:pPr>
        <w:pBdr>
          <w:bottom w:val="single" w:sz="4" w:space="1" w:color="auto"/>
        </w:pBdr>
        <w:rPr>
          <w:rFonts w:ascii="Arial" w:hAnsi="Arial" w:cs="Arial"/>
          <w:b/>
          <w:bCs/>
        </w:rPr>
      </w:pPr>
    </w:p>
    <w:p w:rsidR="00236D1F" w:rsidRPr="00E827F5" w:rsidRDefault="00236D1F">
      <w:pPr>
        <w:rPr>
          <w:bCs/>
        </w:rPr>
      </w:pPr>
    </w:p>
    <w:p w:rsidR="009A3FBF" w:rsidRPr="009A3FBF" w:rsidRDefault="009A3FBF" w:rsidP="00E827F5">
      <w:pPr>
        <w:rPr>
          <w:rFonts w:ascii="Arial" w:hAnsi="Arial" w:cs="Arial"/>
          <w:b/>
          <w:bCs/>
        </w:rPr>
      </w:pPr>
      <w:r w:rsidRPr="009A3FBF">
        <w:rPr>
          <w:rFonts w:ascii="Arial" w:hAnsi="Arial" w:cs="Arial"/>
          <w:b/>
          <w:bCs/>
        </w:rPr>
        <w:t xml:space="preserve">1. </w:t>
      </w:r>
      <w:r w:rsidR="00D00E09">
        <w:rPr>
          <w:rFonts w:ascii="Arial" w:hAnsi="Arial" w:cs="Arial"/>
          <w:b/>
          <w:bCs/>
        </w:rPr>
        <w:t>Introduction</w:t>
      </w:r>
    </w:p>
    <w:p w:rsidR="009A3FBF" w:rsidRDefault="009A3FBF" w:rsidP="00E827F5">
      <w:pPr>
        <w:rPr>
          <w:bCs/>
        </w:rPr>
      </w:pPr>
    </w:p>
    <w:p w:rsidR="00D00E09" w:rsidRDefault="00D00E09" w:rsidP="00E827F5">
      <w:pPr>
        <w:rPr>
          <w:bCs/>
        </w:rPr>
      </w:pPr>
      <w:r>
        <w:rPr>
          <w:bCs/>
        </w:rPr>
        <w:t xml:space="preserve">The agreed </w:t>
      </w:r>
      <w:r w:rsidR="00B47D8E">
        <w:rPr>
          <w:bCs/>
        </w:rPr>
        <w:t xml:space="preserve">new </w:t>
      </w:r>
      <w:r>
        <w:rPr>
          <w:bCs/>
        </w:rPr>
        <w:t>WID</w:t>
      </w:r>
      <w:r w:rsidR="00B47D8E">
        <w:rPr>
          <w:bCs/>
        </w:rPr>
        <w:t>/Feature on LOLC (</w:t>
      </w:r>
      <w:r w:rsidR="00B47D8E" w:rsidRPr="00B47D8E">
        <w:rPr>
          <w:bCs/>
        </w:rPr>
        <w:t>C4-193509</w:t>
      </w:r>
      <w:r w:rsidR="00B47D8E">
        <w:rPr>
          <w:bCs/>
        </w:rPr>
        <w:t>) has a provisional objective, which reads:</w:t>
      </w:r>
    </w:p>
    <w:p w:rsidR="00B47D8E" w:rsidRDefault="00B47D8E" w:rsidP="00E827F5">
      <w:pPr>
        <w:rPr>
          <w:bCs/>
        </w:rPr>
      </w:pPr>
    </w:p>
    <w:p w:rsidR="00B47D8E" w:rsidRPr="0094181D" w:rsidRDefault="00B47D8E" w:rsidP="00B47D8E">
      <w:pPr>
        <w:ind w:left="360"/>
        <w:rPr>
          <w:color w:val="2F5496"/>
        </w:rPr>
      </w:pPr>
      <w:r w:rsidRPr="0094181D">
        <w:rPr>
          <w:rFonts w:hint="eastAsia"/>
          <w:color w:val="2F5496"/>
        </w:rPr>
        <w:t xml:space="preserve">The </w:t>
      </w:r>
      <w:r w:rsidRPr="0094181D">
        <w:rPr>
          <w:color w:val="2F5496"/>
        </w:rPr>
        <w:t>work</w:t>
      </w:r>
      <w:r w:rsidRPr="0094181D">
        <w:rPr>
          <w:rFonts w:hint="eastAsia"/>
          <w:color w:val="2F5496"/>
        </w:rPr>
        <w:t xml:space="preserve"> item will focus on th</w:t>
      </w:r>
      <w:r w:rsidRPr="0094181D">
        <w:rPr>
          <w:color w:val="2F5496"/>
        </w:rPr>
        <w:t>e following objectives:</w:t>
      </w:r>
    </w:p>
    <w:p w:rsidR="00B47D8E" w:rsidRPr="0094181D" w:rsidRDefault="00B47D8E" w:rsidP="00B47D8E">
      <w:pPr>
        <w:numPr>
          <w:ilvl w:val="0"/>
          <w:numId w:val="11"/>
        </w:numPr>
        <w:overflowPunct w:val="0"/>
        <w:autoSpaceDE w:val="0"/>
        <w:autoSpaceDN w:val="0"/>
        <w:adjustRightInd w:val="0"/>
        <w:ind w:left="720"/>
        <w:textAlignment w:val="baseline"/>
        <w:rPr>
          <w:color w:val="2F5496"/>
        </w:rPr>
      </w:pPr>
      <w:r w:rsidRPr="0094181D">
        <w:rPr>
          <w:color w:val="2F5496"/>
        </w:rPr>
        <w:t>Before starting the normative work consider the following alternative solutions:</w:t>
      </w:r>
    </w:p>
    <w:p w:rsidR="00B47D8E" w:rsidRPr="0094181D" w:rsidRDefault="00B47D8E" w:rsidP="00B47D8E">
      <w:pPr>
        <w:numPr>
          <w:ilvl w:val="1"/>
          <w:numId w:val="11"/>
        </w:numPr>
        <w:overflowPunct w:val="0"/>
        <w:autoSpaceDE w:val="0"/>
        <w:autoSpaceDN w:val="0"/>
        <w:adjustRightInd w:val="0"/>
        <w:ind w:left="1200"/>
        <w:textAlignment w:val="baseline"/>
        <w:rPr>
          <w:color w:val="2F5496"/>
        </w:rPr>
      </w:pPr>
      <w:r w:rsidRPr="0094181D">
        <w:rPr>
          <w:color w:val="2F5496"/>
        </w:rPr>
        <w:t>Standardizing two solutions, a mandatory solution utilizing piggybacking and another optional solution  for HATEOAS deployments</w:t>
      </w:r>
    </w:p>
    <w:p w:rsidR="00B47D8E" w:rsidRPr="0094181D" w:rsidRDefault="00B47D8E" w:rsidP="00B47D8E">
      <w:pPr>
        <w:numPr>
          <w:ilvl w:val="1"/>
          <w:numId w:val="11"/>
        </w:numPr>
        <w:overflowPunct w:val="0"/>
        <w:autoSpaceDE w:val="0"/>
        <w:autoSpaceDN w:val="0"/>
        <w:adjustRightInd w:val="0"/>
        <w:ind w:left="1200"/>
        <w:textAlignment w:val="baseline"/>
        <w:rPr>
          <w:color w:val="2F5496"/>
        </w:rPr>
      </w:pPr>
      <w:r w:rsidRPr="0094181D">
        <w:rPr>
          <w:color w:val="2F5496"/>
        </w:rPr>
        <w:t xml:space="preserve">Standardizing a single, mandatory solution utilizing piggybacking </w:t>
      </w:r>
    </w:p>
    <w:p w:rsidR="00B47D8E" w:rsidRPr="0094181D" w:rsidRDefault="00B47D8E" w:rsidP="00B47D8E">
      <w:pPr>
        <w:numPr>
          <w:ilvl w:val="1"/>
          <w:numId w:val="11"/>
        </w:numPr>
        <w:overflowPunct w:val="0"/>
        <w:autoSpaceDE w:val="0"/>
        <w:autoSpaceDN w:val="0"/>
        <w:adjustRightInd w:val="0"/>
        <w:ind w:left="1200"/>
        <w:textAlignment w:val="baseline"/>
        <w:rPr>
          <w:color w:val="2F5496"/>
        </w:rPr>
      </w:pPr>
      <w:r w:rsidRPr="0094181D">
        <w:rPr>
          <w:color w:val="2F5496"/>
        </w:rPr>
        <w:t>Standardizing a single, mandatory solution for HATEOAS deployments</w:t>
      </w:r>
    </w:p>
    <w:p w:rsidR="00B47D8E" w:rsidRDefault="00B47D8E" w:rsidP="00E827F5">
      <w:pPr>
        <w:rPr>
          <w:bCs/>
        </w:rPr>
      </w:pPr>
    </w:p>
    <w:p w:rsidR="00B47D8E" w:rsidRDefault="00B47D8E" w:rsidP="00E827F5">
      <w:pPr>
        <w:rPr>
          <w:bCs/>
        </w:rPr>
      </w:pPr>
      <w:r>
        <w:rPr>
          <w:bCs/>
        </w:rPr>
        <w:t>CT4#93 agreed to address the matter and resolve the open issue before starting the normative work.</w:t>
      </w:r>
    </w:p>
    <w:p w:rsidR="00B23AF5" w:rsidRDefault="00B23AF5" w:rsidP="00E827F5">
      <w:pPr>
        <w:rPr>
          <w:bCs/>
        </w:rPr>
      </w:pPr>
    </w:p>
    <w:p w:rsidR="00B23AF5" w:rsidRDefault="00B23AF5" w:rsidP="00B23AF5">
      <w:pPr>
        <w:rPr>
          <w:bCs/>
        </w:rPr>
      </w:pPr>
      <w:r>
        <w:rPr>
          <w:bCs/>
        </w:rPr>
        <w:t>Piggybacking solution is already adopted as the mandatory solution for the Load Control</w:t>
      </w:r>
      <w:r w:rsidR="00264D58">
        <w:rPr>
          <w:bCs/>
        </w:rPr>
        <w:t xml:space="preserve"> </w:t>
      </w:r>
      <w:r>
        <w:rPr>
          <w:bCs/>
        </w:rPr>
        <w:t>across SBI interfaces. Therefore, in order to minimise impact on the implementation, integration and the actual deployment of LOLC feature across SBI, the piggybacking solution should be made mandatory also for the Overload Control</w:t>
      </w:r>
      <w:r w:rsidR="00264D58">
        <w:rPr>
          <w:bCs/>
        </w:rPr>
        <w:t xml:space="preserve"> (OLC)</w:t>
      </w:r>
      <w:r>
        <w:rPr>
          <w:bCs/>
        </w:rPr>
        <w:t xml:space="preserve">. </w:t>
      </w:r>
    </w:p>
    <w:p w:rsidR="00B23AF5" w:rsidRDefault="00B23AF5" w:rsidP="00B23AF5">
      <w:pPr>
        <w:rPr>
          <w:bCs/>
        </w:rPr>
      </w:pPr>
    </w:p>
    <w:p w:rsidR="00B47D8E" w:rsidRDefault="00B23AF5" w:rsidP="00E827F5">
      <w:pPr>
        <w:rPr>
          <w:bCs/>
        </w:rPr>
      </w:pPr>
      <w:r>
        <w:rPr>
          <w:bCs/>
        </w:rPr>
        <w:t xml:space="preserve">As long as HATEOS is a valid stage 2 option, we believe that </w:t>
      </w:r>
      <w:r w:rsidR="00264D58">
        <w:rPr>
          <w:bCs/>
        </w:rPr>
        <w:t xml:space="preserve">OLC specific </w:t>
      </w:r>
      <w:r>
        <w:rPr>
          <w:bCs/>
        </w:rPr>
        <w:t xml:space="preserve">solution #12 from the finalized TR </w:t>
      </w:r>
      <w:r w:rsidRPr="00B23AF5">
        <w:rPr>
          <w:bCs/>
        </w:rPr>
        <w:t>29</w:t>
      </w:r>
      <w:r>
        <w:rPr>
          <w:bCs/>
        </w:rPr>
        <w:t>.</w:t>
      </w:r>
      <w:r w:rsidRPr="00B23AF5">
        <w:rPr>
          <w:bCs/>
        </w:rPr>
        <w:t>843</w:t>
      </w:r>
      <w:r>
        <w:rPr>
          <w:bCs/>
        </w:rPr>
        <w:t>v2.0.0 may also be selected as an optional feature.</w:t>
      </w:r>
    </w:p>
    <w:p w:rsidR="00303F93" w:rsidRDefault="00303F93" w:rsidP="00E827F5">
      <w:pPr>
        <w:rPr>
          <w:bCs/>
        </w:rPr>
      </w:pPr>
    </w:p>
    <w:p w:rsidR="00464260" w:rsidRDefault="00464260" w:rsidP="00464260">
      <w:pPr>
        <w:rPr>
          <w:rFonts w:ascii="Arial" w:hAnsi="Arial" w:cs="Arial"/>
          <w:b/>
          <w:bCs/>
        </w:rPr>
      </w:pPr>
      <w:r>
        <w:rPr>
          <w:rFonts w:ascii="Arial" w:hAnsi="Arial" w:cs="Arial"/>
          <w:b/>
          <w:bCs/>
        </w:rPr>
        <w:t>2</w:t>
      </w:r>
      <w:r w:rsidRPr="009A3FBF">
        <w:rPr>
          <w:rFonts w:ascii="Arial" w:hAnsi="Arial" w:cs="Arial"/>
          <w:b/>
          <w:bCs/>
        </w:rPr>
        <w:t xml:space="preserve">. </w:t>
      </w:r>
      <w:r>
        <w:rPr>
          <w:rFonts w:ascii="Arial" w:hAnsi="Arial" w:cs="Arial"/>
          <w:b/>
          <w:bCs/>
        </w:rPr>
        <w:t>Proposal</w:t>
      </w:r>
    </w:p>
    <w:p w:rsidR="00464260" w:rsidRDefault="00464260" w:rsidP="00464260">
      <w:pPr>
        <w:rPr>
          <w:bCs/>
        </w:rPr>
      </w:pPr>
    </w:p>
    <w:p w:rsidR="00B23AF5" w:rsidRDefault="00B23AF5" w:rsidP="00B23AF5">
      <w:pPr>
        <w:rPr>
          <w:bCs/>
        </w:rPr>
      </w:pPr>
      <w:r>
        <w:rPr>
          <w:bCs/>
        </w:rPr>
        <w:t>T</w:t>
      </w:r>
      <w:r>
        <w:rPr>
          <w:bCs/>
        </w:rPr>
        <w:t xml:space="preserve">he above </w:t>
      </w:r>
      <w:r w:rsidR="00264D58">
        <w:rPr>
          <w:bCs/>
        </w:rPr>
        <w:t xml:space="preserve">OLC </w:t>
      </w:r>
      <w:r>
        <w:rPr>
          <w:bCs/>
        </w:rPr>
        <w:t>solution (a)</w:t>
      </w:r>
      <w:r>
        <w:rPr>
          <w:bCs/>
        </w:rPr>
        <w:t xml:space="preserve"> on s</w:t>
      </w:r>
      <w:r w:rsidRPr="00B23AF5">
        <w:rPr>
          <w:bCs/>
        </w:rPr>
        <w:t xml:space="preserve">tandardizing a mandatory </w:t>
      </w:r>
      <w:r>
        <w:rPr>
          <w:bCs/>
        </w:rPr>
        <w:t>and an optional solution</w:t>
      </w:r>
      <w:r>
        <w:rPr>
          <w:bCs/>
        </w:rPr>
        <w:t xml:space="preserve"> offers a balanced compromise as the way forward.</w:t>
      </w:r>
    </w:p>
    <w:p w:rsidR="00B23AF5" w:rsidRDefault="00B23AF5" w:rsidP="00B23AF5">
      <w:pPr>
        <w:rPr>
          <w:bCs/>
        </w:rPr>
      </w:pPr>
    </w:p>
    <w:p w:rsidR="00464260" w:rsidRPr="00E827F5" w:rsidRDefault="00B23AF5" w:rsidP="00B23AF5">
      <w:pPr>
        <w:rPr>
          <w:bCs/>
        </w:rPr>
      </w:pPr>
      <w:r>
        <w:rPr>
          <w:bCs/>
        </w:rPr>
        <w:t xml:space="preserve">If CT4 however decides to select only one, mandatory </w:t>
      </w:r>
      <w:r w:rsidR="00DF4156">
        <w:rPr>
          <w:bCs/>
        </w:rPr>
        <w:t xml:space="preserve">OLC </w:t>
      </w:r>
      <w:bookmarkStart w:id="0" w:name="_GoBack"/>
      <w:bookmarkEnd w:id="0"/>
      <w:r>
        <w:rPr>
          <w:bCs/>
        </w:rPr>
        <w:t xml:space="preserve">solution, then </w:t>
      </w:r>
      <w:r>
        <w:rPr>
          <w:bCs/>
        </w:rPr>
        <w:t>we will support the above solution (b) on s</w:t>
      </w:r>
      <w:r w:rsidRPr="00B23AF5">
        <w:rPr>
          <w:bCs/>
        </w:rPr>
        <w:t xml:space="preserve">tandardizing a single, mandatory </w:t>
      </w:r>
      <w:r w:rsidRPr="00B23AF5">
        <w:rPr>
          <w:bCs/>
        </w:rPr>
        <w:t>piggybacking</w:t>
      </w:r>
      <w:r w:rsidRPr="00B23AF5">
        <w:rPr>
          <w:bCs/>
        </w:rPr>
        <w:t xml:space="preserve"> </w:t>
      </w:r>
      <w:r>
        <w:rPr>
          <w:bCs/>
        </w:rPr>
        <w:t>solution.</w:t>
      </w:r>
    </w:p>
    <w:sectPr w:rsidR="00464260" w:rsidRPr="00E827F5">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181D" w:rsidRDefault="0094181D">
      <w:r>
        <w:separator/>
      </w:r>
    </w:p>
  </w:endnote>
  <w:endnote w:type="continuationSeparator" w:id="0">
    <w:p w:rsidR="0094181D" w:rsidRDefault="00941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181D" w:rsidRDefault="0094181D">
      <w:r>
        <w:separator/>
      </w:r>
    </w:p>
  </w:footnote>
  <w:footnote w:type="continuationSeparator" w:id="0">
    <w:p w:rsidR="0094181D" w:rsidRDefault="009418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C0CF6"/>
    <w:multiLevelType w:val="hybridMultilevel"/>
    <w:tmpl w:val="D8BE84C6"/>
    <w:lvl w:ilvl="0" w:tplc="944A8572">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D239CD"/>
    <w:multiLevelType w:val="hybridMultilevel"/>
    <w:tmpl w:val="614AD2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4C5145"/>
    <w:multiLevelType w:val="hybridMultilevel"/>
    <w:tmpl w:val="07FCBBC8"/>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1839C7"/>
    <w:multiLevelType w:val="hybridMultilevel"/>
    <w:tmpl w:val="848C68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CAC62BC"/>
    <w:multiLevelType w:val="hybridMultilevel"/>
    <w:tmpl w:val="3C8E73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9BB6177"/>
    <w:multiLevelType w:val="hybridMultilevel"/>
    <w:tmpl w:val="33220552"/>
    <w:lvl w:ilvl="0" w:tplc="DDA0E0B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736A0329"/>
    <w:multiLevelType w:val="hybridMultilevel"/>
    <w:tmpl w:val="C184A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D13776"/>
    <w:multiLevelType w:val="hybridMultilevel"/>
    <w:tmpl w:val="FC3C211E"/>
    <w:lvl w:ilvl="0" w:tplc="A2FE7C9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5"/>
  </w:num>
  <w:num w:numId="3">
    <w:abstractNumId w:val="4"/>
  </w:num>
  <w:num w:numId="4">
    <w:abstractNumId w:val="1"/>
  </w:num>
  <w:num w:numId="5">
    <w:abstractNumId w:val="10"/>
  </w:num>
  <w:num w:numId="6">
    <w:abstractNumId w:val="6"/>
  </w:num>
  <w:num w:numId="7">
    <w:abstractNumId w:val="9"/>
  </w:num>
  <w:num w:numId="8">
    <w:abstractNumId w:val="0"/>
  </w:num>
  <w:num w:numId="9">
    <w:abstractNumId w:val="2"/>
  </w:num>
  <w:num w:numId="10">
    <w:abstractNumId w:val="3"/>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60354"/>
    <w:rsid w:val="0002191A"/>
    <w:rsid w:val="00045694"/>
    <w:rsid w:val="00046686"/>
    <w:rsid w:val="00046FDD"/>
    <w:rsid w:val="00057E1E"/>
    <w:rsid w:val="00072A7C"/>
    <w:rsid w:val="00072E71"/>
    <w:rsid w:val="000775E7"/>
    <w:rsid w:val="0007775C"/>
    <w:rsid w:val="000967F4"/>
    <w:rsid w:val="000D5338"/>
    <w:rsid w:val="000E0429"/>
    <w:rsid w:val="000E3944"/>
    <w:rsid w:val="000F0731"/>
    <w:rsid w:val="000F6E51"/>
    <w:rsid w:val="00102A24"/>
    <w:rsid w:val="0013259C"/>
    <w:rsid w:val="00135831"/>
    <w:rsid w:val="001376A6"/>
    <w:rsid w:val="0014413C"/>
    <w:rsid w:val="00166A1B"/>
    <w:rsid w:val="00192B41"/>
    <w:rsid w:val="00197E4A"/>
    <w:rsid w:val="001A31EF"/>
    <w:rsid w:val="001B01F1"/>
    <w:rsid w:val="001B2414"/>
    <w:rsid w:val="001B5421"/>
    <w:rsid w:val="001B650D"/>
    <w:rsid w:val="001D0B09"/>
    <w:rsid w:val="002070CB"/>
    <w:rsid w:val="002336BF"/>
    <w:rsid w:val="00235F9B"/>
    <w:rsid w:val="00236BBA"/>
    <w:rsid w:val="00236D1F"/>
    <w:rsid w:val="002407FF"/>
    <w:rsid w:val="002541D3"/>
    <w:rsid w:val="00256429"/>
    <w:rsid w:val="002600CF"/>
    <w:rsid w:val="0026253E"/>
    <w:rsid w:val="00264D58"/>
    <w:rsid w:val="002919B7"/>
    <w:rsid w:val="00295D61"/>
    <w:rsid w:val="002B2FE7"/>
    <w:rsid w:val="002B34EA"/>
    <w:rsid w:val="002B5361"/>
    <w:rsid w:val="002C47B8"/>
    <w:rsid w:val="002E397B"/>
    <w:rsid w:val="002E3AE2"/>
    <w:rsid w:val="002F7CCB"/>
    <w:rsid w:val="00303F93"/>
    <w:rsid w:val="00313F3E"/>
    <w:rsid w:val="00320536"/>
    <w:rsid w:val="00325E33"/>
    <w:rsid w:val="003275E6"/>
    <w:rsid w:val="00354553"/>
    <w:rsid w:val="00366AAE"/>
    <w:rsid w:val="00392C87"/>
    <w:rsid w:val="003A67E1"/>
    <w:rsid w:val="003D4593"/>
    <w:rsid w:val="003D7EF2"/>
    <w:rsid w:val="003E2C8B"/>
    <w:rsid w:val="003E710B"/>
    <w:rsid w:val="003F6B1B"/>
    <w:rsid w:val="004008D7"/>
    <w:rsid w:val="0040145D"/>
    <w:rsid w:val="00411339"/>
    <w:rsid w:val="004131BD"/>
    <w:rsid w:val="00416CEA"/>
    <w:rsid w:val="00421AFD"/>
    <w:rsid w:val="00432048"/>
    <w:rsid w:val="004518DB"/>
    <w:rsid w:val="00464260"/>
    <w:rsid w:val="00477EBC"/>
    <w:rsid w:val="004A0A73"/>
    <w:rsid w:val="004A661C"/>
    <w:rsid w:val="004D2FA0"/>
    <w:rsid w:val="004E1010"/>
    <w:rsid w:val="0050202A"/>
    <w:rsid w:val="0052032E"/>
    <w:rsid w:val="00544D8F"/>
    <w:rsid w:val="00553BDE"/>
    <w:rsid w:val="00562495"/>
    <w:rsid w:val="00577727"/>
    <w:rsid w:val="005777AF"/>
    <w:rsid w:val="00586562"/>
    <w:rsid w:val="00593DC4"/>
    <w:rsid w:val="0059529B"/>
    <w:rsid w:val="005A6ABC"/>
    <w:rsid w:val="005C0CC6"/>
    <w:rsid w:val="005C0FFC"/>
    <w:rsid w:val="005C3F71"/>
    <w:rsid w:val="005D1F7E"/>
    <w:rsid w:val="005D56B2"/>
    <w:rsid w:val="005E7235"/>
    <w:rsid w:val="005F4B34"/>
    <w:rsid w:val="00607F17"/>
    <w:rsid w:val="00616E18"/>
    <w:rsid w:val="00623AED"/>
    <w:rsid w:val="0062787A"/>
    <w:rsid w:val="00632157"/>
    <w:rsid w:val="00633971"/>
    <w:rsid w:val="0064121E"/>
    <w:rsid w:val="00660354"/>
    <w:rsid w:val="00665B9B"/>
    <w:rsid w:val="006D3D54"/>
    <w:rsid w:val="006E1A49"/>
    <w:rsid w:val="006F1B00"/>
    <w:rsid w:val="006F4B7A"/>
    <w:rsid w:val="00700A59"/>
    <w:rsid w:val="00710142"/>
    <w:rsid w:val="00712E81"/>
    <w:rsid w:val="00723919"/>
    <w:rsid w:val="0074596C"/>
    <w:rsid w:val="00762474"/>
    <w:rsid w:val="007814A8"/>
    <w:rsid w:val="00781A62"/>
    <w:rsid w:val="00783C0E"/>
    <w:rsid w:val="00787383"/>
    <w:rsid w:val="00791B51"/>
    <w:rsid w:val="007B5F65"/>
    <w:rsid w:val="007D3C7C"/>
    <w:rsid w:val="007E3A3B"/>
    <w:rsid w:val="007F6574"/>
    <w:rsid w:val="00846535"/>
    <w:rsid w:val="00850CD4"/>
    <w:rsid w:val="00854A49"/>
    <w:rsid w:val="008A06BE"/>
    <w:rsid w:val="008A56FD"/>
    <w:rsid w:val="008D3DA6"/>
    <w:rsid w:val="008F7444"/>
    <w:rsid w:val="0091399A"/>
    <w:rsid w:val="00926791"/>
    <w:rsid w:val="00940736"/>
    <w:rsid w:val="0094181D"/>
    <w:rsid w:val="00950CF7"/>
    <w:rsid w:val="00960A44"/>
    <w:rsid w:val="009768C3"/>
    <w:rsid w:val="00977C43"/>
    <w:rsid w:val="00996533"/>
    <w:rsid w:val="009A3833"/>
    <w:rsid w:val="009A3FBF"/>
    <w:rsid w:val="009A5F57"/>
    <w:rsid w:val="009A62E2"/>
    <w:rsid w:val="009A7FBA"/>
    <w:rsid w:val="009B110B"/>
    <w:rsid w:val="009B13F0"/>
    <w:rsid w:val="009B196A"/>
    <w:rsid w:val="009D6D9F"/>
    <w:rsid w:val="009E1910"/>
    <w:rsid w:val="009E5DBA"/>
    <w:rsid w:val="009F300C"/>
    <w:rsid w:val="009F6047"/>
    <w:rsid w:val="00A03D2A"/>
    <w:rsid w:val="00A10ADB"/>
    <w:rsid w:val="00A151A1"/>
    <w:rsid w:val="00A17F01"/>
    <w:rsid w:val="00A24557"/>
    <w:rsid w:val="00A27A64"/>
    <w:rsid w:val="00A37F80"/>
    <w:rsid w:val="00A61169"/>
    <w:rsid w:val="00A63024"/>
    <w:rsid w:val="00A75D94"/>
    <w:rsid w:val="00A82FCC"/>
    <w:rsid w:val="00A906A4"/>
    <w:rsid w:val="00AA574E"/>
    <w:rsid w:val="00AD324E"/>
    <w:rsid w:val="00AD5B51"/>
    <w:rsid w:val="00AD7B78"/>
    <w:rsid w:val="00AF4118"/>
    <w:rsid w:val="00B23AF5"/>
    <w:rsid w:val="00B3526C"/>
    <w:rsid w:val="00B47534"/>
    <w:rsid w:val="00B47D8E"/>
    <w:rsid w:val="00B84B54"/>
    <w:rsid w:val="00B92C7D"/>
    <w:rsid w:val="00B93BB2"/>
    <w:rsid w:val="00B9697B"/>
    <w:rsid w:val="00BA46C7"/>
    <w:rsid w:val="00BA4DA4"/>
    <w:rsid w:val="00BC2E5F"/>
    <w:rsid w:val="00BC5AF6"/>
    <w:rsid w:val="00BD3E51"/>
    <w:rsid w:val="00BF0A84"/>
    <w:rsid w:val="00BF435E"/>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A5DB0"/>
    <w:rsid w:val="00D00E09"/>
    <w:rsid w:val="00D145EC"/>
    <w:rsid w:val="00D43C0B"/>
    <w:rsid w:val="00D44A74"/>
    <w:rsid w:val="00D47152"/>
    <w:rsid w:val="00D57CD2"/>
    <w:rsid w:val="00D57E66"/>
    <w:rsid w:val="00D619F2"/>
    <w:rsid w:val="00D73350"/>
    <w:rsid w:val="00D82231"/>
    <w:rsid w:val="00D8756E"/>
    <w:rsid w:val="00D938DD"/>
    <w:rsid w:val="00D974EA"/>
    <w:rsid w:val="00DC0F52"/>
    <w:rsid w:val="00DC4726"/>
    <w:rsid w:val="00DD40D2"/>
    <w:rsid w:val="00DE5BBF"/>
    <w:rsid w:val="00DF4156"/>
    <w:rsid w:val="00DF5F28"/>
    <w:rsid w:val="00E03A99"/>
    <w:rsid w:val="00E041CD"/>
    <w:rsid w:val="00E1463F"/>
    <w:rsid w:val="00E363A9"/>
    <w:rsid w:val="00E53AE3"/>
    <w:rsid w:val="00E64FB2"/>
    <w:rsid w:val="00E81E2C"/>
    <w:rsid w:val="00E827F5"/>
    <w:rsid w:val="00EB5D2F"/>
    <w:rsid w:val="00EC10EC"/>
    <w:rsid w:val="00ED6080"/>
    <w:rsid w:val="00EE0176"/>
    <w:rsid w:val="00EF0942"/>
    <w:rsid w:val="00EF291F"/>
    <w:rsid w:val="00F0218C"/>
    <w:rsid w:val="00F0393B"/>
    <w:rsid w:val="00F313DD"/>
    <w:rsid w:val="00F378BE"/>
    <w:rsid w:val="00F43120"/>
    <w:rsid w:val="00F763A4"/>
    <w:rsid w:val="00F809ED"/>
    <w:rsid w:val="00F941B8"/>
    <w:rsid w:val="00FA79A7"/>
    <w:rsid w:val="00FC643D"/>
    <w:rsid w:val="00FD1DAF"/>
    <w:rsid w:val="00FE3DCC"/>
    <w:rsid w:val="00FE53C8"/>
    <w:rsid w:val="00FE5FB7"/>
    <w:rsid w:val="00FF64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7875775">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525660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108</TotalTime>
  <Pages>1</Pages>
  <Words>242</Words>
  <Characters>1381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1620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Giorgi Gulbani</cp:lastModifiedBy>
  <cp:revision>32</cp:revision>
  <cp:lastPrinted>2001-04-23T09:30:00Z</cp:lastPrinted>
  <dcterms:created xsi:type="dcterms:W3CDTF">2019-01-14T13:29:00Z</dcterms:created>
  <dcterms:modified xsi:type="dcterms:W3CDTF">2019-09-25T12:03:00Z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1569411782</vt:lpwstr>
  </property>
</Properties>
</file>