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WG4 121</w:t>
        <w:tab/>
        <w:t>C4-240113</w:t>
      </w:r>
    </w:p>
    <w:p>
      <w:pPr>
        <w:pStyle w:val="LSHeader"/>
      </w:pPr>
      <w:r>
        <w:t>Athens, Greece, 26 February - 1 March, 2024</w:t>
      </w:r>
      <w:r>
        <w:br/>
      </w:r>
    </w:p>
    <w:p w14:paraId="6FA08B64" w14:textId="24FC65BC" w:rsidR="003F0F50" w:rsidRDefault="003F0F50" w:rsidP="003F0F50">
      <w:pPr>
        <w:pStyle w:val="CRCoverPage"/>
        <w:tabs>
          <w:tab w:val="right" w:pos="9639"/>
        </w:tabs>
        <w:spacing w:after="0"/>
        <w:rPr>
          <w:b/>
          <w:i/>
          <w:noProof/>
          <w:sz w:val="28"/>
        </w:rPr>
      </w:pPr>
      <w:r>
        <w:rPr>
          <w:b/>
          <w:noProof/>
          <w:sz w:val="24"/>
        </w:rPr>
        <w:t>3GPP TSG-SA WG4 Meeting #127</w:t>
      </w:r>
      <w:r>
        <w:rPr>
          <w:b/>
          <w:i/>
          <w:noProof/>
          <w:sz w:val="28"/>
        </w:rPr>
        <w:tab/>
      </w:r>
      <w:r>
        <w:rPr>
          <w:b/>
          <w:noProof/>
          <w:sz w:val="24"/>
        </w:rPr>
        <w:t>S4-24</w:t>
      </w:r>
      <w:r>
        <w:rPr>
          <w:b/>
          <w:noProof/>
          <w:sz w:val="24"/>
        </w:rPr>
        <w:t>0001</w:t>
      </w:r>
    </w:p>
    <w:p w14:paraId="7D1064AD" w14:textId="77777777" w:rsidR="003F0F50" w:rsidRDefault="003F0F50" w:rsidP="003F0F50">
      <w:pPr>
        <w:pStyle w:val="CRCoverPage"/>
        <w:outlineLvl w:val="0"/>
        <w:rPr>
          <w:b/>
          <w:noProof/>
          <w:sz w:val="24"/>
        </w:rPr>
      </w:pPr>
      <w:r>
        <w:rPr>
          <w:b/>
          <w:noProof/>
          <w:sz w:val="24"/>
        </w:rPr>
        <w:t>Sophia-Antipolis, France, 29 January - 2 February 2024</w:t>
      </w:r>
    </w:p>
    <w:p w14:paraId="78F329AB" w14:textId="77777777" w:rsidR="003F0F50" w:rsidRPr="000F4E43" w:rsidRDefault="003F0F50" w:rsidP="003F0F50">
      <w:pPr>
        <w:pStyle w:val="Header"/>
        <w:pBdr>
          <w:bottom w:val="single" w:sz="4" w:space="1" w:color="auto"/>
        </w:pBdr>
        <w:tabs>
          <w:tab w:val="right" w:pos="9639"/>
        </w:tabs>
        <w:rPr>
          <w:rFonts w:cs="Arial"/>
          <w:b w:val="0"/>
          <w:bCs/>
          <w:sz w:val="24"/>
          <w:szCs w:val="24"/>
        </w:rPr>
      </w:pPr>
    </w:p>
    <w:p w14:paraId="46608558" w14:textId="33CE9468"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bookmarkEnd w:id="0"/>
      <w:bookmarkEnd w:id="1"/>
      <w:bookmarkEnd w:id="2"/>
      <w:r w:rsidR="00BD06CC">
        <w:rPr>
          <w:rFonts w:cs="Arial"/>
          <w:sz w:val="22"/>
          <w:szCs w:val="22"/>
        </w:rPr>
        <w:t>4-e RTC SWG post 126</w:t>
      </w:r>
      <w:r w:rsidRPr="00DA53A0">
        <w:rPr>
          <w:rFonts w:cs="Arial"/>
          <w:sz w:val="22"/>
          <w:szCs w:val="22"/>
        </w:rPr>
        <w:tab/>
      </w:r>
      <w:r w:rsidRPr="00037088">
        <w:rPr>
          <w:rFonts w:cs="Arial"/>
          <w:sz w:val="22"/>
          <w:szCs w:val="22"/>
        </w:rPr>
        <w:t xml:space="preserve">TDoc </w:t>
      </w:r>
      <w:r w:rsidR="00F12679" w:rsidRPr="00F12679">
        <w:rPr>
          <w:rFonts w:cs="Arial"/>
          <w:sz w:val="22"/>
          <w:szCs w:val="22"/>
        </w:rPr>
        <w:t>S4aR230168</w:t>
      </w:r>
    </w:p>
    <w:p w14:paraId="7FE86C43" w14:textId="4D06273B" w:rsidR="004E3939" w:rsidRPr="00771251" w:rsidRDefault="00BD06CC" w:rsidP="008114D7">
      <w:pPr>
        <w:pStyle w:val="Header"/>
        <w:tabs>
          <w:tab w:val="right" w:pos="9781"/>
        </w:tabs>
        <w:rPr>
          <w:b w:val="0"/>
          <w:sz w:val="22"/>
          <w:szCs w:val="22"/>
        </w:rPr>
      </w:pPr>
      <w:r>
        <w:rPr>
          <w:sz w:val="22"/>
          <w:szCs w:val="22"/>
        </w:rPr>
        <w:t>e-Meeting</w:t>
      </w:r>
      <w:r w:rsidR="001C2B15">
        <w:rPr>
          <w:sz w:val="22"/>
          <w:szCs w:val="22"/>
        </w:rPr>
        <w:t xml:space="preserve">, </w:t>
      </w:r>
      <w:r>
        <w:rPr>
          <w:sz w:val="22"/>
          <w:szCs w:val="22"/>
        </w:rPr>
        <w:t>10</w:t>
      </w:r>
      <w:r w:rsidR="00FA1F7B">
        <w:rPr>
          <w:sz w:val="22"/>
          <w:szCs w:val="22"/>
        </w:rPr>
        <w:t xml:space="preserve"> </w:t>
      </w:r>
      <w:r>
        <w:rPr>
          <w:sz w:val="22"/>
          <w:szCs w:val="22"/>
        </w:rPr>
        <w:t>January</w:t>
      </w:r>
      <w:r w:rsidR="003B13A2">
        <w:rPr>
          <w:sz w:val="22"/>
          <w:szCs w:val="22"/>
        </w:rPr>
        <w:t xml:space="preserve"> 202</w:t>
      </w:r>
      <w:r>
        <w:rPr>
          <w:sz w:val="22"/>
          <w:szCs w:val="22"/>
        </w:rPr>
        <w:t>4</w:t>
      </w:r>
      <w:r w:rsidR="00771251">
        <w:rPr>
          <w:sz w:val="22"/>
          <w:szCs w:val="22"/>
        </w:rPr>
        <w:tab/>
      </w:r>
    </w:p>
    <w:p w14:paraId="128E4ABE" w14:textId="77777777" w:rsidR="00B97703" w:rsidRPr="00771251" w:rsidRDefault="00B97703">
      <w:pPr>
        <w:rPr>
          <w:rFonts w:ascii="Arial" w:hAnsi="Arial" w:cs="Arial"/>
        </w:rPr>
      </w:pPr>
    </w:p>
    <w:p w14:paraId="77D60CFF" w14:textId="752AA6FA"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8114D7">
        <w:rPr>
          <w:rFonts w:ascii="Arial" w:hAnsi="Arial" w:cs="Arial"/>
          <w:b/>
          <w:sz w:val="22"/>
          <w:szCs w:val="22"/>
        </w:rPr>
        <w:t xml:space="preserve">on </w:t>
      </w:r>
      <w:r w:rsidR="00776B81" w:rsidRPr="00776B81">
        <w:rPr>
          <w:rFonts w:ascii="Arial" w:hAnsi="Arial" w:cs="Arial"/>
          <w:b/>
          <w:sz w:val="22"/>
          <w:szCs w:val="22"/>
        </w:rPr>
        <w:t>PDU Set marking configuration within the Policy APIs</w:t>
      </w:r>
    </w:p>
    <w:p w14:paraId="69BD98C2" w14:textId="42C7641D" w:rsidR="00B97703" w:rsidRPr="00B97703" w:rsidRDefault="00B97703" w:rsidP="000A18C0">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A77473">
        <w:rPr>
          <w:rFonts w:ascii="Arial" w:hAnsi="Arial" w:cs="Arial"/>
          <w:b/>
          <w:bCs/>
          <w:sz w:val="22"/>
          <w:szCs w:val="22"/>
        </w:rPr>
        <w:t>—</w:t>
      </w:r>
    </w:p>
    <w:p w14:paraId="299A29B6" w14:textId="4862E77D"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5B0E51">
        <w:rPr>
          <w:rFonts w:ascii="Arial" w:hAnsi="Arial" w:cs="Arial"/>
          <w:b/>
          <w:bCs/>
          <w:sz w:val="22"/>
          <w:szCs w:val="22"/>
        </w:rPr>
        <w:t>8</w:t>
      </w:r>
    </w:p>
    <w:bookmarkEnd w:id="5"/>
    <w:bookmarkEnd w:id="6"/>
    <w:bookmarkEnd w:id="7"/>
    <w:p w14:paraId="1A3EFFCA" w14:textId="7B6C5CF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76B81">
        <w:rPr>
          <w:rFonts w:ascii="Arial" w:hAnsi="Arial" w:cs="Arial"/>
          <w:b/>
          <w:bCs/>
          <w:sz w:val="22"/>
          <w:szCs w:val="22"/>
        </w:rPr>
        <w:t>iRTCW</w:t>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bookmarkEnd w:id="8"/>
      <w:bookmarkEnd w:id="9"/>
      <w:bookmarkEnd w:id="10"/>
    </w:p>
    <w:p w14:paraId="7E40653C" w14:textId="0FFAB12F"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FA1F7B">
        <w:rPr>
          <w:rFonts w:ascii="Arial" w:hAnsi="Arial" w:cs="Arial"/>
          <w:b/>
          <w:bCs/>
          <w:sz w:val="22"/>
          <w:szCs w:val="22"/>
        </w:rPr>
        <w:t>CT3</w:t>
      </w:r>
      <w:r w:rsidR="00C70FCE">
        <w:rPr>
          <w:rFonts w:ascii="Arial" w:hAnsi="Arial" w:cs="Arial"/>
          <w:b/>
          <w:bCs/>
          <w:sz w:val="22"/>
          <w:szCs w:val="22"/>
        </w:rPr>
        <w:t>, 3GPP CT4</w:t>
      </w:r>
    </w:p>
    <w:p w14:paraId="43A51E65" w14:textId="51DEEE44"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1"/>
      <w:bookmarkEnd w:id="12"/>
      <w:bookmarkEnd w:id="13"/>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0911C65D" w14:textId="16F3BFFE" w:rsidR="00392EE8" w:rsidRPr="00392EE8" w:rsidRDefault="00B97703" w:rsidP="000A18C0">
      <w:pPr>
        <w:spacing w:after="60"/>
        <w:ind w:left="1987" w:hanging="1987"/>
        <w:rPr>
          <w:rFonts w:ascii="Arial" w:hAnsi="Arial" w:cs="Arial"/>
          <w:b/>
          <w:bCs/>
          <w:sz w:val="22"/>
          <w:szCs w:val="22"/>
          <w:lang w:val="en-US"/>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76B81">
        <w:rPr>
          <w:rFonts w:ascii="Arial" w:hAnsi="Arial" w:cs="Arial"/>
          <w:b/>
          <w:bCs/>
          <w:sz w:val="22"/>
          <w:szCs w:val="22"/>
        </w:rPr>
        <w:t>Hakju Ryan Lee</w:t>
      </w:r>
      <w:r w:rsidR="00392EE8">
        <w:rPr>
          <w:rFonts w:ascii="Arial" w:hAnsi="Arial" w:cs="Arial"/>
          <w:b/>
          <w:bCs/>
          <w:sz w:val="22"/>
          <w:szCs w:val="22"/>
        </w:rPr>
        <w:t xml:space="preserve">, </w:t>
      </w:r>
      <w:r w:rsidR="00776B81">
        <w:rPr>
          <w:rFonts w:ascii="Arial" w:hAnsi="Arial" w:cs="Arial"/>
          <w:b/>
          <w:bCs/>
          <w:sz w:val="22"/>
          <w:szCs w:val="22"/>
        </w:rPr>
        <w:t>Samsung</w:t>
      </w:r>
      <w:r w:rsidR="00392EE8">
        <w:rPr>
          <w:rFonts w:ascii="Arial" w:hAnsi="Arial" w:cs="Arial"/>
          <w:b/>
          <w:bCs/>
          <w:sz w:val="22"/>
          <w:szCs w:val="22"/>
        </w:rPr>
        <w:t xml:space="preserve"> (</w:t>
      </w:r>
      <w:r w:rsidR="00776B81">
        <w:rPr>
          <w:rFonts w:ascii="Arial" w:hAnsi="Arial" w:cs="Arial"/>
          <w:b/>
          <w:bCs/>
          <w:sz w:val="22"/>
          <w:szCs w:val="22"/>
        </w:rPr>
        <w:t>hakju00</w:t>
      </w:r>
      <w:r w:rsidR="00392EE8">
        <w:rPr>
          <w:rFonts w:ascii="Arial" w:hAnsi="Arial" w:cs="Arial"/>
          <w:b/>
          <w:bCs/>
          <w:sz w:val="22"/>
          <w:szCs w:val="22"/>
        </w:rPr>
        <w:t xml:space="preserve"> dot </w:t>
      </w:r>
      <w:r w:rsidR="00776B81">
        <w:rPr>
          <w:rFonts w:ascii="Arial" w:hAnsi="Arial" w:cs="Arial"/>
          <w:b/>
          <w:bCs/>
          <w:sz w:val="22"/>
          <w:szCs w:val="22"/>
        </w:rPr>
        <w:t xml:space="preserve">lee </w:t>
      </w:r>
      <w:r w:rsidR="00392EE8">
        <w:rPr>
          <w:rFonts w:ascii="Arial" w:hAnsi="Arial" w:cs="Arial"/>
          <w:b/>
          <w:bCs/>
          <w:sz w:val="22"/>
          <w:szCs w:val="22"/>
        </w:rPr>
        <w:t xml:space="preserve">at </w:t>
      </w:r>
      <w:r w:rsidR="00776B81">
        <w:rPr>
          <w:rFonts w:ascii="Arial" w:hAnsi="Arial" w:cs="Arial"/>
          <w:b/>
          <w:bCs/>
          <w:sz w:val="22"/>
          <w:szCs w:val="22"/>
        </w:rPr>
        <w:t xml:space="preserve">Samsung </w:t>
      </w:r>
      <w:r w:rsidR="00392EE8">
        <w:rPr>
          <w:rFonts w:ascii="Arial" w:hAnsi="Arial" w:cs="Arial"/>
          <w:b/>
          <w:bCs/>
          <w:sz w:val="22"/>
          <w:szCs w:val="22"/>
        </w:rPr>
        <w:t xml:space="preserve">dot </w:t>
      </w:r>
      <w:r w:rsidR="00776B81">
        <w:rPr>
          <w:rFonts w:ascii="Arial" w:hAnsi="Arial" w:cs="Arial"/>
          <w:b/>
          <w:bCs/>
          <w:sz w:val="22"/>
          <w:szCs w:val="22"/>
        </w:rPr>
        <w:t>com</w:t>
      </w:r>
      <w:r w:rsidR="00392EE8">
        <w:rPr>
          <w:rFonts w:ascii="Arial" w:hAnsi="Arial" w:cs="Arial"/>
          <w:b/>
          <w:bCs/>
          <w:sz w:val="22"/>
          <w:szCs w:val="22"/>
        </w:rPr>
        <w:t>)</w:t>
      </w:r>
    </w:p>
    <w:bookmarkEnd w:id="16"/>
    <w:p w14:paraId="1CE3C11C" w14:textId="77777777" w:rsidR="005E27C3" w:rsidRPr="00776B81" w:rsidRDefault="005E27C3" w:rsidP="000A18C0">
      <w:pPr>
        <w:spacing w:after="0"/>
        <w:ind w:left="1987" w:hanging="1987"/>
        <w:rPr>
          <w:rFonts w:ascii="Arial" w:hAnsi="Arial" w:cs="Arial"/>
          <w:bCs/>
          <w:lang w:val="en-U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3AB2266F"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p>
    <w:p w14:paraId="6919F707" w14:textId="77777777" w:rsidR="00B97703" w:rsidRDefault="000F6242" w:rsidP="00B97703">
      <w:pPr>
        <w:pStyle w:val="Heading1"/>
      </w:pPr>
      <w:bookmarkStart w:id="17" w:name="_Hlk109550030"/>
      <w:r>
        <w:t>1</w:t>
      </w:r>
      <w:r w:rsidR="002F1940">
        <w:tab/>
      </w:r>
      <w:r>
        <w:t>Overall description</w:t>
      </w:r>
    </w:p>
    <w:p w14:paraId="0FBB8D73" w14:textId="28F2EC31" w:rsidR="00EB1B15" w:rsidRDefault="00722E8D" w:rsidP="003375C4">
      <w:bookmarkStart w:id="18" w:name="_Hlk109550148"/>
      <w:bookmarkEnd w:id="17"/>
      <w:r>
        <w:rPr>
          <w:rFonts w:eastAsia="Malgun Gothic" w:hint="eastAsia"/>
          <w:lang w:eastAsia="ko-KR"/>
        </w:rPr>
        <w:t xml:space="preserve">SA4 </w:t>
      </w:r>
      <w:r>
        <w:rPr>
          <w:rFonts w:eastAsia="Malgun Gothic"/>
          <w:lang w:eastAsia="ko-KR"/>
        </w:rPr>
        <w:t xml:space="preserve">has completed the stage-2 work on the Real-Time media Communication (RTC) architecture </w:t>
      </w:r>
      <w:r w:rsidR="004F3F4A">
        <w:rPr>
          <w:rFonts w:eastAsia="Malgun Gothic"/>
          <w:lang w:eastAsia="ko-KR"/>
        </w:rPr>
        <w:t xml:space="preserve">(TS 26.506) </w:t>
      </w:r>
      <w:r>
        <w:rPr>
          <w:rFonts w:eastAsia="Malgun Gothic"/>
          <w:lang w:eastAsia="ko-KR"/>
        </w:rPr>
        <w:t xml:space="preserve">and is currently working on the stage-3 </w:t>
      </w:r>
      <w:r w:rsidR="004F3F4A">
        <w:rPr>
          <w:rFonts w:eastAsia="Malgun Gothic"/>
          <w:lang w:eastAsia="ko-KR"/>
        </w:rPr>
        <w:t xml:space="preserve">APIs (TS 26.113). When defining the policy related API, SA4 </w:t>
      </w:r>
      <w:r w:rsidR="00E169A3">
        <w:rPr>
          <w:rFonts w:eastAsia="Malgun Gothic"/>
          <w:lang w:eastAsia="ko-KR"/>
        </w:rPr>
        <w:t>is considering</w:t>
      </w:r>
      <w:r w:rsidR="00EB1B15">
        <w:rPr>
          <w:rFonts w:eastAsia="Malgun Gothic"/>
          <w:lang w:eastAsia="ko-KR"/>
        </w:rPr>
        <w:t xml:space="preserve"> to define</w:t>
      </w:r>
      <w:r w:rsidR="004F3F4A">
        <w:rPr>
          <w:rFonts w:eastAsia="Malgun Gothic"/>
          <w:lang w:eastAsia="ko-KR"/>
        </w:rPr>
        <w:t xml:space="preserve"> the PDU Set marking configuration inside the data model of</w:t>
      </w:r>
      <w:r w:rsidR="004C2496">
        <w:rPr>
          <w:rFonts w:eastAsia="Malgun Gothic"/>
          <w:lang w:eastAsia="ko-KR"/>
        </w:rPr>
        <w:t xml:space="preserve"> the</w:t>
      </w:r>
      <w:r w:rsidR="004F3F4A">
        <w:rPr>
          <w:rFonts w:eastAsia="Malgun Gothic"/>
          <w:lang w:eastAsia="ko-KR"/>
        </w:rPr>
        <w:t xml:space="preserve"> </w:t>
      </w:r>
      <w:r w:rsidR="004F3F4A">
        <w:rPr>
          <w:rStyle w:val="Code"/>
        </w:rPr>
        <w:t>PolicyTemplate</w:t>
      </w:r>
      <w:r w:rsidR="004F3F4A">
        <w:t xml:space="preserve"> resource </w:t>
      </w:r>
      <w:r w:rsidR="00EB1B15">
        <w:t xml:space="preserve">to be </w:t>
      </w:r>
      <w:r w:rsidR="004F3F4A">
        <w:t xml:space="preserve">specified in TS 26.510. </w:t>
      </w:r>
    </w:p>
    <w:p w14:paraId="410554A8" w14:textId="4F5CADC0" w:rsidR="00722E8D" w:rsidRDefault="00C43BE3" w:rsidP="003375C4">
      <w:pPr>
        <w:rPr>
          <w:rStyle w:val="inner-object"/>
        </w:rPr>
      </w:pPr>
      <w:r>
        <w:rPr>
          <w:rStyle w:val="ui-provider"/>
        </w:rPr>
        <w:t>In the case that the AS provides the PDU set information via the header extension of PDU set marking for RTP or SRTP, the PDU Set marking configuration contains the description of PDU Set configuration for the session, defined in Table 1.</w:t>
      </w:r>
      <w:r w:rsidR="00BD06CC">
        <w:rPr>
          <w:rStyle w:val="inner-object"/>
        </w:rPr>
        <w:t xml:space="preserve"> Note that t</w:t>
      </w:r>
      <w:r w:rsidR="000C1B12">
        <w:rPr>
          <w:rStyle w:val="inner-object"/>
        </w:rPr>
        <w:t>his information is</w:t>
      </w:r>
      <w:r w:rsidR="009A61BE">
        <w:rPr>
          <w:rStyle w:val="inner-object"/>
        </w:rPr>
        <w:t xml:space="preserve"> acquired by the Media AF (e.g. from the Media Session Handler in the UE) and is expected to be passed to the UPF through the PCF/NEF</w:t>
      </w:r>
      <w:r w:rsidR="00036880">
        <w:rPr>
          <w:rStyle w:val="inner-object"/>
        </w:rPr>
        <w:t xml:space="preserve"> </w:t>
      </w:r>
      <w:r w:rsidR="009A61BE">
        <w:rPr>
          <w:rStyle w:val="inner-object"/>
        </w:rPr>
        <w:t xml:space="preserve">as part of the </w:t>
      </w:r>
      <w:r w:rsidR="00036880">
        <w:rPr>
          <w:rStyle w:val="inner-object"/>
        </w:rPr>
        <w:t xml:space="preserve">request </w:t>
      </w:r>
      <w:r w:rsidR="009A61BE">
        <w:rPr>
          <w:rStyle w:val="inner-object"/>
        </w:rPr>
        <w:t xml:space="preserve">for </w:t>
      </w:r>
      <w:r w:rsidR="00036880">
        <w:rPr>
          <w:rStyle w:val="inner-object"/>
        </w:rPr>
        <w:t xml:space="preserve">a specific policy treatment to a particular PDU Set data flow. </w:t>
      </w:r>
    </w:p>
    <w:p w14:paraId="4D9F5DCE" w14:textId="24718AF5" w:rsidR="00BD06CC" w:rsidRDefault="00BD06CC" w:rsidP="00BD06CC">
      <w:pPr>
        <w:pStyle w:val="TH"/>
        <w:rPr>
          <w:rStyle w:val="inner-object"/>
        </w:rPr>
      </w:pPr>
      <w:r>
        <w:t>Table 1</w:t>
      </w:r>
      <w:r w:rsidRPr="006436AF">
        <w:t xml:space="preserve">: </w:t>
      </w:r>
      <w:r>
        <w:t>PDU Set marking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2"/>
        <w:gridCol w:w="2726"/>
        <w:gridCol w:w="1092"/>
        <w:gridCol w:w="694"/>
        <w:gridCol w:w="2921"/>
      </w:tblGrid>
      <w:tr w:rsidR="00BD06CC" w14:paraId="3220503B" w14:textId="77777777" w:rsidTr="00BD06CC">
        <w:trPr>
          <w:jc w:val="center"/>
        </w:trPr>
        <w:tc>
          <w:tcPr>
            <w:tcW w:w="1229" w:type="pct"/>
            <w:tcBorders>
              <w:top w:val="single" w:sz="4" w:space="0" w:color="auto"/>
              <w:left w:val="single" w:sz="4" w:space="0" w:color="auto"/>
              <w:bottom w:val="single" w:sz="4" w:space="0" w:color="auto"/>
              <w:right w:val="single" w:sz="4" w:space="0" w:color="auto"/>
            </w:tcBorders>
            <w:shd w:val="clear" w:color="auto" w:fill="C0C0C0"/>
            <w:hideMark/>
          </w:tcPr>
          <w:p w14:paraId="2435B7A1" w14:textId="77777777" w:rsidR="00BD06CC" w:rsidRDefault="00BD06CC">
            <w:pPr>
              <w:pStyle w:val="TAH"/>
              <w:rPr>
                <w:lang w:eastAsia="en-US"/>
              </w:rPr>
            </w:pPr>
            <w:r>
              <w:t>Property name</w:t>
            </w:r>
          </w:p>
        </w:tc>
        <w:tc>
          <w:tcPr>
            <w:tcW w:w="1383" w:type="pct"/>
            <w:tcBorders>
              <w:top w:val="single" w:sz="4" w:space="0" w:color="auto"/>
              <w:left w:val="single" w:sz="4" w:space="0" w:color="auto"/>
              <w:bottom w:val="single" w:sz="4" w:space="0" w:color="auto"/>
              <w:right w:val="single" w:sz="4" w:space="0" w:color="auto"/>
            </w:tcBorders>
            <w:shd w:val="clear" w:color="auto" w:fill="C0C0C0"/>
            <w:hideMark/>
          </w:tcPr>
          <w:p w14:paraId="3BD2539C" w14:textId="77777777" w:rsidR="00BD06CC" w:rsidRDefault="00BD06CC">
            <w:pPr>
              <w:pStyle w:val="TAH"/>
            </w:pPr>
            <w:r>
              <w:t>Data type</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0EDE6363" w14:textId="77777777" w:rsidR="00BD06CC" w:rsidRDefault="00BD06CC">
            <w:pPr>
              <w:pStyle w:val="TAH"/>
            </w:pPr>
            <w:r>
              <w:t>Cardinality</w:t>
            </w:r>
          </w:p>
        </w:tc>
        <w:tc>
          <w:tcPr>
            <w:tcW w:w="352" w:type="pct"/>
            <w:tcBorders>
              <w:top w:val="single" w:sz="4" w:space="0" w:color="auto"/>
              <w:left w:val="single" w:sz="4" w:space="0" w:color="auto"/>
              <w:bottom w:val="single" w:sz="4" w:space="0" w:color="auto"/>
              <w:right w:val="single" w:sz="4" w:space="0" w:color="auto"/>
            </w:tcBorders>
            <w:shd w:val="clear" w:color="auto" w:fill="C0C0C0"/>
            <w:hideMark/>
          </w:tcPr>
          <w:p w14:paraId="04978D08" w14:textId="77777777" w:rsidR="00BD06CC" w:rsidRDefault="00BD06CC">
            <w:pPr>
              <w:pStyle w:val="TAH"/>
              <w:rPr>
                <w:rFonts w:cs="Arial"/>
              </w:rPr>
            </w:pPr>
            <w:r>
              <w:rPr>
                <w:rFonts w:cs="Arial"/>
              </w:rPr>
              <w:t>Usage</w:t>
            </w:r>
          </w:p>
        </w:tc>
        <w:tc>
          <w:tcPr>
            <w:tcW w:w="1482" w:type="pct"/>
            <w:tcBorders>
              <w:top w:val="single" w:sz="4" w:space="0" w:color="auto"/>
              <w:left w:val="single" w:sz="4" w:space="0" w:color="auto"/>
              <w:bottom w:val="single" w:sz="4" w:space="0" w:color="auto"/>
              <w:right w:val="single" w:sz="4" w:space="0" w:color="auto"/>
            </w:tcBorders>
            <w:shd w:val="clear" w:color="auto" w:fill="C0C0C0"/>
            <w:hideMark/>
          </w:tcPr>
          <w:p w14:paraId="450A2AFF" w14:textId="77777777" w:rsidR="00BD06CC" w:rsidRDefault="00BD06CC">
            <w:pPr>
              <w:pStyle w:val="TAH"/>
              <w:rPr>
                <w:rFonts w:cs="Arial"/>
              </w:rPr>
            </w:pPr>
            <w:r>
              <w:rPr>
                <w:rFonts w:cs="Arial"/>
              </w:rPr>
              <w:t>Description</w:t>
            </w:r>
          </w:p>
        </w:tc>
      </w:tr>
      <w:tr w:rsidR="00BD06CC" w14:paraId="78F1B186" w14:textId="77777777" w:rsidTr="00BD06CC">
        <w:trPr>
          <w:jc w:val="center"/>
        </w:trPr>
        <w:tc>
          <w:tcPr>
            <w:tcW w:w="1229" w:type="pct"/>
            <w:tcBorders>
              <w:top w:val="single" w:sz="4" w:space="0" w:color="auto"/>
              <w:left w:val="single" w:sz="4" w:space="0" w:color="auto"/>
              <w:bottom w:val="single" w:sz="4" w:space="0" w:color="auto"/>
              <w:right w:val="single" w:sz="4" w:space="0" w:color="auto"/>
            </w:tcBorders>
            <w:hideMark/>
          </w:tcPr>
          <w:p w14:paraId="1CB2A7E0" w14:textId="77777777" w:rsidR="00BD06CC" w:rsidRDefault="00BD06CC">
            <w:pPr>
              <w:pStyle w:val="TAL"/>
              <w:rPr>
                <w:rStyle w:val="Code"/>
              </w:rPr>
            </w:pPr>
            <w:r>
              <w:rPr>
                <w:rStyle w:val="Code"/>
              </w:rPr>
              <w:t>serviceDataFlowDescription</w:t>
            </w:r>
          </w:p>
        </w:tc>
        <w:tc>
          <w:tcPr>
            <w:tcW w:w="1383" w:type="pct"/>
            <w:tcBorders>
              <w:top w:val="single" w:sz="4" w:space="0" w:color="auto"/>
              <w:left w:val="single" w:sz="4" w:space="0" w:color="auto"/>
              <w:bottom w:val="single" w:sz="4" w:space="0" w:color="auto"/>
              <w:right w:val="single" w:sz="4" w:space="0" w:color="auto"/>
            </w:tcBorders>
            <w:hideMark/>
          </w:tcPr>
          <w:p w14:paraId="0CDEF7F2" w14:textId="77777777" w:rsidR="00BD06CC" w:rsidRDefault="00BD06CC">
            <w:pPr>
              <w:pStyle w:val="TAL"/>
              <w:rPr>
                <w:rStyle w:val="Datatypechar"/>
                <w:rFonts w:cs="Times New Roman"/>
              </w:rPr>
            </w:pPr>
            <w:r>
              <w:rPr>
                <w:rStyle w:val="Datatypechar"/>
                <w:rFonts w:cs="Times New Roman"/>
              </w:rPr>
              <w:t>ServiceDataFlowDescription</w:t>
            </w:r>
          </w:p>
        </w:tc>
        <w:tc>
          <w:tcPr>
            <w:tcW w:w="554" w:type="pct"/>
            <w:tcBorders>
              <w:top w:val="single" w:sz="4" w:space="0" w:color="auto"/>
              <w:left w:val="single" w:sz="4" w:space="0" w:color="auto"/>
              <w:bottom w:val="single" w:sz="4" w:space="0" w:color="auto"/>
              <w:right w:val="single" w:sz="4" w:space="0" w:color="auto"/>
            </w:tcBorders>
            <w:hideMark/>
          </w:tcPr>
          <w:p w14:paraId="60DAC1E6" w14:textId="77777777" w:rsidR="00BD06CC" w:rsidRDefault="00BD06CC">
            <w:pPr>
              <w:pStyle w:val="TAC"/>
              <w:rPr>
                <w:rStyle w:val="inner-object"/>
              </w:rPr>
            </w:pPr>
            <w:r>
              <w:rPr>
                <w:rStyle w:val="inner-object"/>
              </w:rPr>
              <w:t>1..1</w:t>
            </w:r>
          </w:p>
        </w:tc>
        <w:tc>
          <w:tcPr>
            <w:tcW w:w="352" w:type="pct"/>
            <w:tcBorders>
              <w:top w:val="single" w:sz="4" w:space="0" w:color="auto"/>
              <w:left w:val="single" w:sz="4" w:space="0" w:color="auto"/>
              <w:bottom w:val="single" w:sz="4" w:space="0" w:color="auto"/>
              <w:right w:val="single" w:sz="4" w:space="0" w:color="auto"/>
            </w:tcBorders>
          </w:tcPr>
          <w:p w14:paraId="434D7D3B" w14:textId="77777777" w:rsidR="00BD06CC" w:rsidRDefault="00BD06CC">
            <w:pPr>
              <w:pStyle w:val="TAC"/>
              <w:rPr>
                <w:rStyle w:val="inner-object"/>
              </w:rPr>
            </w:pPr>
          </w:p>
        </w:tc>
        <w:tc>
          <w:tcPr>
            <w:tcW w:w="1482" w:type="pct"/>
            <w:tcBorders>
              <w:top w:val="single" w:sz="4" w:space="0" w:color="auto"/>
              <w:left w:val="single" w:sz="4" w:space="0" w:color="auto"/>
              <w:bottom w:val="single" w:sz="4" w:space="0" w:color="auto"/>
              <w:right w:val="single" w:sz="4" w:space="0" w:color="auto"/>
            </w:tcBorders>
            <w:hideMark/>
          </w:tcPr>
          <w:p w14:paraId="0ECA10C3" w14:textId="77777777" w:rsidR="00BD06CC" w:rsidRDefault="00BD06CC">
            <w:pPr>
              <w:pStyle w:val="TAL"/>
              <w:rPr>
                <w:rStyle w:val="inner-object"/>
              </w:rPr>
            </w:pPr>
            <w:r>
              <w:rPr>
                <w:rStyle w:val="inner-object"/>
              </w:rPr>
              <w:t>The 5-Tuple that identifies the service data flow for which the QoS dynamic policy is requested.</w:t>
            </w:r>
          </w:p>
        </w:tc>
      </w:tr>
      <w:tr w:rsidR="00C43BE3" w14:paraId="55BEBBCE" w14:textId="77777777" w:rsidTr="00BD06CC">
        <w:trPr>
          <w:jc w:val="center"/>
        </w:trPr>
        <w:tc>
          <w:tcPr>
            <w:tcW w:w="1229" w:type="pct"/>
            <w:tcBorders>
              <w:top w:val="single" w:sz="4" w:space="0" w:color="auto"/>
              <w:left w:val="single" w:sz="4" w:space="0" w:color="auto"/>
              <w:bottom w:val="single" w:sz="4" w:space="0" w:color="auto"/>
              <w:right w:val="single" w:sz="4" w:space="0" w:color="auto"/>
            </w:tcBorders>
          </w:tcPr>
          <w:p w14:paraId="1150A4F1" w14:textId="6E67549C" w:rsidR="00C43BE3" w:rsidRDefault="00C43BE3" w:rsidP="00C43BE3">
            <w:pPr>
              <w:pStyle w:val="TAL"/>
              <w:rPr>
                <w:rStyle w:val="Code"/>
              </w:rPr>
            </w:pPr>
            <w:r>
              <w:rPr>
                <w:rStyle w:val="Code"/>
              </w:rPr>
              <w:t>headerExtensionVersion</w:t>
            </w:r>
          </w:p>
        </w:tc>
        <w:tc>
          <w:tcPr>
            <w:tcW w:w="1383" w:type="pct"/>
            <w:tcBorders>
              <w:top w:val="single" w:sz="4" w:space="0" w:color="auto"/>
              <w:left w:val="single" w:sz="4" w:space="0" w:color="auto"/>
              <w:bottom w:val="single" w:sz="4" w:space="0" w:color="auto"/>
              <w:right w:val="single" w:sz="4" w:space="0" w:color="auto"/>
            </w:tcBorders>
          </w:tcPr>
          <w:p w14:paraId="5DD475F5" w14:textId="0D25D2F8" w:rsidR="00C43BE3" w:rsidRDefault="00C43BE3" w:rsidP="00C43BE3">
            <w:pPr>
              <w:pStyle w:val="TAL"/>
              <w:rPr>
                <w:rStyle w:val="Datatypechar"/>
                <w:rFonts w:cs="Times New Roman"/>
              </w:rPr>
            </w:pPr>
            <w:r>
              <w:rPr>
                <w:rStyle w:val="Datatypechar"/>
                <w:rFonts w:cs="Times New Roman"/>
              </w:rPr>
              <w:t>Integer</w:t>
            </w:r>
          </w:p>
        </w:tc>
        <w:tc>
          <w:tcPr>
            <w:tcW w:w="554" w:type="pct"/>
            <w:tcBorders>
              <w:top w:val="single" w:sz="4" w:space="0" w:color="auto"/>
              <w:left w:val="single" w:sz="4" w:space="0" w:color="auto"/>
              <w:bottom w:val="single" w:sz="4" w:space="0" w:color="auto"/>
              <w:right w:val="single" w:sz="4" w:space="0" w:color="auto"/>
            </w:tcBorders>
          </w:tcPr>
          <w:p w14:paraId="3ABE31FD" w14:textId="7F1B35F4" w:rsidR="00C43BE3" w:rsidRDefault="00C43BE3" w:rsidP="00C43BE3">
            <w:pPr>
              <w:pStyle w:val="TAC"/>
              <w:rPr>
                <w:rStyle w:val="inner-object"/>
              </w:rPr>
            </w:pPr>
            <w:r>
              <w:rPr>
                <w:rStyle w:val="inner-object"/>
              </w:rPr>
              <w:t>1..1</w:t>
            </w:r>
          </w:p>
        </w:tc>
        <w:tc>
          <w:tcPr>
            <w:tcW w:w="352" w:type="pct"/>
            <w:tcBorders>
              <w:top w:val="single" w:sz="4" w:space="0" w:color="auto"/>
              <w:left w:val="single" w:sz="4" w:space="0" w:color="auto"/>
              <w:bottom w:val="single" w:sz="4" w:space="0" w:color="auto"/>
              <w:right w:val="single" w:sz="4" w:space="0" w:color="auto"/>
            </w:tcBorders>
          </w:tcPr>
          <w:p w14:paraId="2D9085A9" w14:textId="77777777" w:rsidR="00C43BE3" w:rsidRDefault="00C43BE3" w:rsidP="00C43BE3">
            <w:pPr>
              <w:pStyle w:val="TAC"/>
              <w:rPr>
                <w:rStyle w:val="inner-object"/>
              </w:rPr>
            </w:pPr>
          </w:p>
        </w:tc>
        <w:tc>
          <w:tcPr>
            <w:tcW w:w="1482" w:type="pct"/>
            <w:tcBorders>
              <w:top w:val="single" w:sz="4" w:space="0" w:color="auto"/>
              <w:left w:val="single" w:sz="4" w:space="0" w:color="auto"/>
              <w:bottom w:val="single" w:sz="4" w:space="0" w:color="auto"/>
              <w:right w:val="single" w:sz="4" w:space="0" w:color="auto"/>
            </w:tcBorders>
          </w:tcPr>
          <w:p w14:paraId="1C647A91" w14:textId="706E9FFA" w:rsidR="00C43BE3" w:rsidRDefault="00C43BE3" w:rsidP="00C43BE3">
            <w:pPr>
              <w:pStyle w:val="TAL"/>
              <w:rPr>
                <w:rStyle w:val="inner-object"/>
              </w:rPr>
            </w:pPr>
            <w:r>
              <w:rPr>
                <w:rFonts w:cs="Arial"/>
              </w:rPr>
              <w:t xml:space="preserve">The RTP header extension version is set to 18 </w:t>
            </w:r>
          </w:p>
        </w:tc>
      </w:tr>
      <w:tr w:rsidR="00C43BE3" w14:paraId="1904D48B" w14:textId="77777777" w:rsidTr="00BD06CC">
        <w:trPr>
          <w:jc w:val="center"/>
        </w:trPr>
        <w:tc>
          <w:tcPr>
            <w:tcW w:w="1229" w:type="pct"/>
            <w:tcBorders>
              <w:top w:val="single" w:sz="4" w:space="0" w:color="auto"/>
              <w:left w:val="single" w:sz="4" w:space="0" w:color="auto"/>
              <w:bottom w:val="single" w:sz="4" w:space="0" w:color="auto"/>
              <w:right w:val="single" w:sz="4" w:space="0" w:color="auto"/>
            </w:tcBorders>
            <w:hideMark/>
          </w:tcPr>
          <w:p w14:paraId="5EFDB74E" w14:textId="77777777" w:rsidR="00C43BE3" w:rsidRDefault="00C43BE3" w:rsidP="00C43BE3">
            <w:pPr>
              <w:pStyle w:val="TAL"/>
              <w:rPr>
                <w:rStyle w:val="Code"/>
              </w:rPr>
            </w:pPr>
            <w:r>
              <w:rPr>
                <w:rStyle w:val="Code"/>
              </w:rPr>
              <w:t>localIdentifier</w:t>
            </w:r>
          </w:p>
        </w:tc>
        <w:tc>
          <w:tcPr>
            <w:tcW w:w="1383" w:type="pct"/>
            <w:tcBorders>
              <w:top w:val="single" w:sz="4" w:space="0" w:color="auto"/>
              <w:left w:val="single" w:sz="4" w:space="0" w:color="auto"/>
              <w:bottom w:val="single" w:sz="4" w:space="0" w:color="auto"/>
              <w:right w:val="single" w:sz="4" w:space="0" w:color="auto"/>
            </w:tcBorders>
            <w:hideMark/>
          </w:tcPr>
          <w:p w14:paraId="466E0BB2" w14:textId="77777777" w:rsidR="00C43BE3" w:rsidRDefault="00C43BE3" w:rsidP="00C43BE3">
            <w:pPr>
              <w:pStyle w:val="TAL"/>
              <w:rPr>
                <w:rStyle w:val="Datatypechar"/>
                <w:rFonts w:cs="Times New Roman"/>
              </w:rPr>
            </w:pPr>
            <w:r>
              <w:rPr>
                <w:rStyle w:val="Datatypechar"/>
                <w:rFonts w:cs="Times New Roman"/>
              </w:rPr>
              <w:t>Integer</w:t>
            </w:r>
          </w:p>
        </w:tc>
        <w:tc>
          <w:tcPr>
            <w:tcW w:w="554" w:type="pct"/>
            <w:tcBorders>
              <w:top w:val="single" w:sz="4" w:space="0" w:color="auto"/>
              <w:left w:val="single" w:sz="4" w:space="0" w:color="auto"/>
              <w:bottom w:val="single" w:sz="4" w:space="0" w:color="auto"/>
              <w:right w:val="single" w:sz="4" w:space="0" w:color="auto"/>
            </w:tcBorders>
            <w:hideMark/>
          </w:tcPr>
          <w:p w14:paraId="06C375C6" w14:textId="77777777" w:rsidR="00C43BE3" w:rsidRDefault="00C43BE3" w:rsidP="00C43BE3">
            <w:pPr>
              <w:pStyle w:val="TAC"/>
              <w:rPr>
                <w:rStyle w:val="inner-object"/>
              </w:rPr>
            </w:pPr>
            <w:r>
              <w:rPr>
                <w:rStyle w:val="inner-object"/>
              </w:rPr>
              <w:t>1..1</w:t>
            </w:r>
          </w:p>
        </w:tc>
        <w:tc>
          <w:tcPr>
            <w:tcW w:w="352" w:type="pct"/>
            <w:tcBorders>
              <w:top w:val="single" w:sz="4" w:space="0" w:color="auto"/>
              <w:left w:val="single" w:sz="4" w:space="0" w:color="auto"/>
              <w:bottom w:val="single" w:sz="4" w:space="0" w:color="auto"/>
              <w:right w:val="single" w:sz="4" w:space="0" w:color="auto"/>
            </w:tcBorders>
          </w:tcPr>
          <w:p w14:paraId="1389D2B2" w14:textId="77777777" w:rsidR="00C43BE3" w:rsidRDefault="00C43BE3" w:rsidP="00C43BE3">
            <w:pPr>
              <w:pStyle w:val="TAC"/>
              <w:rPr>
                <w:rStyle w:val="inner-object"/>
              </w:rPr>
            </w:pPr>
          </w:p>
        </w:tc>
        <w:tc>
          <w:tcPr>
            <w:tcW w:w="1482" w:type="pct"/>
            <w:tcBorders>
              <w:top w:val="single" w:sz="4" w:space="0" w:color="auto"/>
              <w:left w:val="single" w:sz="4" w:space="0" w:color="auto"/>
              <w:bottom w:val="single" w:sz="4" w:space="0" w:color="auto"/>
              <w:right w:val="single" w:sz="4" w:space="0" w:color="auto"/>
            </w:tcBorders>
            <w:hideMark/>
          </w:tcPr>
          <w:p w14:paraId="2964BF1F" w14:textId="77777777" w:rsidR="00C43BE3" w:rsidRDefault="00C43BE3" w:rsidP="00C43BE3">
            <w:pPr>
              <w:pStyle w:val="TAL"/>
              <w:rPr>
                <w:rFonts w:cs="Arial"/>
              </w:rPr>
            </w:pPr>
            <w:r>
              <w:rPr>
                <w:rFonts w:cs="Arial"/>
              </w:rPr>
              <w:t>A unique identifier of the RTP header extension in the scope of the media session.</w:t>
            </w:r>
          </w:p>
        </w:tc>
      </w:tr>
      <w:tr w:rsidR="00C43BE3" w14:paraId="3ED860D4" w14:textId="77777777" w:rsidTr="00BD06CC">
        <w:trPr>
          <w:jc w:val="center"/>
        </w:trPr>
        <w:tc>
          <w:tcPr>
            <w:tcW w:w="1229" w:type="pct"/>
            <w:tcBorders>
              <w:top w:val="single" w:sz="4" w:space="0" w:color="auto"/>
              <w:left w:val="single" w:sz="4" w:space="0" w:color="auto"/>
              <w:bottom w:val="single" w:sz="4" w:space="0" w:color="auto"/>
              <w:right w:val="single" w:sz="4" w:space="0" w:color="auto"/>
            </w:tcBorders>
            <w:hideMark/>
          </w:tcPr>
          <w:p w14:paraId="695A8886" w14:textId="77777777" w:rsidR="00C43BE3" w:rsidRDefault="00C43BE3" w:rsidP="00C43BE3">
            <w:pPr>
              <w:pStyle w:val="TAL"/>
              <w:rPr>
                <w:rStyle w:val="Code"/>
              </w:rPr>
            </w:pPr>
            <w:r>
              <w:rPr>
                <w:rStyle w:val="Code"/>
              </w:rPr>
              <w:t>format</w:t>
            </w:r>
          </w:p>
        </w:tc>
        <w:tc>
          <w:tcPr>
            <w:tcW w:w="1383" w:type="pct"/>
            <w:tcBorders>
              <w:top w:val="single" w:sz="4" w:space="0" w:color="auto"/>
              <w:left w:val="single" w:sz="4" w:space="0" w:color="auto"/>
              <w:bottom w:val="single" w:sz="4" w:space="0" w:color="auto"/>
              <w:right w:val="single" w:sz="4" w:space="0" w:color="auto"/>
            </w:tcBorders>
            <w:hideMark/>
          </w:tcPr>
          <w:p w14:paraId="51346714" w14:textId="77777777" w:rsidR="00C43BE3" w:rsidRDefault="00C43BE3" w:rsidP="00C43BE3">
            <w:pPr>
              <w:pStyle w:val="TAL"/>
              <w:rPr>
                <w:rStyle w:val="Datatypechar"/>
                <w:rFonts w:cs="Times New Roman"/>
              </w:rPr>
            </w:pPr>
            <w:r>
              <w:rPr>
                <w:rStyle w:val="Datatypechar"/>
                <w:rFonts w:cs="Times New Roman"/>
              </w:rPr>
              <w:t>Boolean</w:t>
            </w:r>
          </w:p>
        </w:tc>
        <w:tc>
          <w:tcPr>
            <w:tcW w:w="554" w:type="pct"/>
            <w:tcBorders>
              <w:top w:val="single" w:sz="4" w:space="0" w:color="auto"/>
              <w:left w:val="single" w:sz="4" w:space="0" w:color="auto"/>
              <w:bottom w:val="single" w:sz="4" w:space="0" w:color="auto"/>
              <w:right w:val="single" w:sz="4" w:space="0" w:color="auto"/>
            </w:tcBorders>
            <w:hideMark/>
          </w:tcPr>
          <w:p w14:paraId="62634168" w14:textId="77777777" w:rsidR="00C43BE3" w:rsidRDefault="00C43BE3" w:rsidP="00C43BE3">
            <w:pPr>
              <w:pStyle w:val="TAC"/>
              <w:rPr>
                <w:rStyle w:val="inner-object"/>
              </w:rPr>
            </w:pPr>
            <w:r>
              <w:rPr>
                <w:rStyle w:val="inner-object"/>
              </w:rPr>
              <w:t>0..1</w:t>
            </w:r>
          </w:p>
        </w:tc>
        <w:tc>
          <w:tcPr>
            <w:tcW w:w="352" w:type="pct"/>
            <w:tcBorders>
              <w:top w:val="single" w:sz="4" w:space="0" w:color="auto"/>
              <w:left w:val="single" w:sz="4" w:space="0" w:color="auto"/>
              <w:bottom w:val="single" w:sz="4" w:space="0" w:color="auto"/>
              <w:right w:val="single" w:sz="4" w:space="0" w:color="auto"/>
            </w:tcBorders>
          </w:tcPr>
          <w:p w14:paraId="14D11624" w14:textId="77777777" w:rsidR="00C43BE3" w:rsidRDefault="00C43BE3" w:rsidP="00C43BE3">
            <w:pPr>
              <w:pStyle w:val="TAC"/>
              <w:rPr>
                <w:rStyle w:val="inner-object"/>
              </w:rPr>
            </w:pPr>
          </w:p>
        </w:tc>
        <w:tc>
          <w:tcPr>
            <w:tcW w:w="1482" w:type="pct"/>
            <w:tcBorders>
              <w:top w:val="single" w:sz="4" w:space="0" w:color="auto"/>
              <w:left w:val="single" w:sz="4" w:space="0" w:color="auto"/>
              <w:bottom w:val="single" w:sz="4" w:space="0" w:color="auto"/>
              <w:right w:val="single" w:sz="4" w:space="0" w:color="auto"/>
            </w:tcBorders>
            <w:hideMark/>
          </w:tcPr>
          <w:p w14:paraId="344B1103" w14:textId="77777777" w:rsidR="00C43BE3" w:rsidRDefault="00C43BE3" w:rsidP="00C43BE3">
            <w:pPr>
              <w:pStyle w:val="TAL"/>
              <w:rPr>
                <w:rFonts w:cs="Arial"/>
              </w:rPr>
            </w:pPr>
            <w:r>
              <w:rPr>
                <w:rFonts w:cs="Arial"/>
              </w:rPr>
              <w:t>Indicates if a short or a long header extension format is used. When set to false, a short 1-byte header extension format is being used.</w:t>
            </w:r>
          </w:p>
        </w:tc>
      </w:tr>
      <w:tr w:rsidR="00C43BE3" w14:paraId="2286DCBF" w14:textId="77777777" w:rsidTr="00BD06CC">
        <w:trPr>
          <w:jc w:val="center"/>
        </w:trPr>
        <w:tc>
          <w:tcPr>
            <w:tcW w:w="1229" w:type="pct"/>
            <w:tcBorders>
              <w:top w:val="single" w:sz="4" w:space="0" w:color="auto"/>
              <w:left w:val="single" w:sz="4" w:space="0" w:color="auto"/>
              <w:bottom w:val="single" w:sz="4" w:space="0" w:color="auto"/>
              <w:right w:val="single" w:sz="4" w:space="0" w:color="auto"/>
            </w:tcBorders>
            <w:hideMark/>
          </w:tcPr>
          <w:p w14:paraId="0E077C76" w14:textId="77777777" w:rsidR="00C43BE3" w:rsidRDefault="00C43BE3" w:rsidP="00C43BE3">
            <w:pPr>
              <w:pStyle w:val="TAL"/>
              <w:rPr>
                <w:rStyle w:val="Code"/>
              </w:rPr>
            </w:pPr>
            <w:r>
              <w:rPr>
                <w:rStyle w:val="Code"/>
              </w:rPr>
              <w:t>pduSetSizeActive</w:t>
            </w:r>
          </w:p>
        </w:tc>
        <w:tc>
          <w:tcPr>
            <w:tcW w:w="1383" w:type="pct"/>
            <w:tcBorders>
              <w:top w:val="single" w:sz="4" w:space="0" w:color="auto"/>
              <w:left w:val="single" w:sz="4" w:space="0" w:color="auto"/>
              <w:bottom w:val="single" w:sz="4" w:space="0" w:color="auto"/>
              <w:right w:val="single" w:sz="4" w:space="0" w:color="auto"/>
            </w:tcBorders>
            <w:hideMark/>
          </w:tcPr>
          <w:p w14:paraId="503E6D5E" w14:textId="77777777" w:rsidR="00C43BE3" w:rsidRDefault="00C43BE3" w:rsidP="00C43BE3">
            <w:pPr>
              <w:pStyle w:val="TAL"/>
              <w:rPr>
                <w:rStyle w:val="Datatypechar"/>
                <w:rFonts w:cs="Times New Roman"/>
              </w:rPr>
            </w:pPr>
            <w:r>
              <w:rPr>
                <w:rStyle w:val="Datatypechar"/>
                <w:rFonts w:cs="Times New Roman"/>
              </w:rPr>
              <w:t>Boolean</w:t>
            </w:r>
          </w:p>
        </w:tc>
        <w:tc>
          <w:tcPr>
            <w:tcW w:w="554" w:type="pct"/>
            <w:tcBorders>
              <w:top w:val="single" w:sz="4" w:space="0" w:color="auto"/>
              <w:left w:val="single" w:sz="4" w:space="0" w:color="auto"/>
              <w:bottom w:val="single" w:sz="4" w:space="0" w:color="auto"/>
              <w:right w:val="single" w:sz="4" w:space="0" w:color="auto"/>
            </w:tcBorders>
            <w:hideMark/>
          </w:tcPr>
          <w:p w14:paraId="05F69953" w14:textId="77777777" w:rsidR="00C43BE3" w:rsidRDefault="00C43BE3" w:rsidP="00C43BE3">
            <w:pPr>
              <w:pStyle w:val="TAC"/>
              <w:rPr>
                <w:rStyle w:val="inner-object"/>
              </w:rPr>
            </w:pPr>
            <w:r>
              <w:rPr>
                <w:rStyle w:val="inner-object"/>
              </w:rPr>
              <w:t>0..1</w:t>
            </w:r>
          </w:p>
        </w:tc>
        <w:tc>
          <w:tcPr>
            <w:tcW w:w="352" w:type="pct"/>
            <w:tcBorders>
              <w:top w:val="single" w:sz="4" w:space="0" w:color="auto"/>
              <w:left w:val="single" w:sz="4" w:space="0" w:color="auto"/>
              <w:bottom w:val="single" w:sz="4" w:space="0" w:color="auto"/>
              <w:right w:val="single" w:sz="4" w:space="0" w:color="auto"/>
            </w:tcBorders>
          </w:tcPr>
          <w:p w14:paraId="6064C763" w14:textId="77777777" w:rsidR="00C43BE3" w:rsidRDefault="00C43BE3" w:rsidP="00C43BE3">
            <w:pPr>
              <w:pStyle w:val="TAC"/>
              <w:rPr>
                <w:rStyle w:val="inner-object"/>
              </w:rPr>
            </w:pPr>
          </w:p>
        </w:tc>
        <w:tc>
          <w:tcPr>
            <w:tcW w:w="1482" w:type="pct"/>
            <w:tcBorders>
              <w:top w:val="single" w:sz="4" w:space="0" w:color="auto"/>
              <w:left w:val="single" w:sz="4" w:space="0" w:color="auto"/>
              <w:bottom w:val="single" w:sz="4" w:space="0" w:color="auto"/>
              <w:right w:val="single" w:sz="4" w:space="0" w:color="auto"/>
            </w:tcBorders>
            <w:hideMark/>
          </w:tcPr>
          <w:p w14:paraId="154210B0" w14:textId="77777777" w:rsidR="00C43BE3" w:rsidRDefault="00C43BE3" w:rsidP="00C43BE3">
            <w:pPr>
              <w:pStyle w:val="TAL"/>
              <w:rPr>
                <w:rFonts w:cs="Arial"/>
              </w:rPr>
            </w:pPr>
            <w:r>
              <w:rPr>
                <w:rFonts w:cs="Arial"/>
              </w:rPr>
              <w:t>A flag to indicate if the PDU Set size in bytes is present in the RTP header extension.</w:t>
            </w:r>
          </w:p>
        </w:tc>
      </w:tr>
    </w:tbl>
    <w:p w14:paraId="106C5068" w14:textId="77777777" w:rsidR="00BD06CC" w:rsidRPr="00BD06CC" w:rsidRDefault="00BD06CC" w:rsidP="003375C4">
      <w:pPr>
        <w:rPr>
          <w:rStyle w:val="inner-object"/>
          <w:lang w:val="en-US"/>
        </w:rPr>
      </w:pPr>
    </w:p>
    <w:p w14:paraId="56C89FC4" w14:textId="281B6A01" w:rsidR="00625A7E" w:rsidRDefault="00BD06CC" w:rsidP="00BD06CC">
      <w:r>
        <w:rPr>
          <w:rFonts w:eastAsia="Malgun Gothic" w:hint="eastAsia"/>
          <w:lang w:eastAsia="ko-KR"/>
        </w:rPr>
        <w:t xml:space="preserve">SA4 would like to </w:t>
      </w:r>
      <w:r>
        <w:rPr>
          <w:rFonts w:eastAsia="Malgun Gothic"/>
          <w:lang w:eastAsia="ko-KR"/>
        </w:rPr>
        <w:t>ask CT3</w:t>
      </w:r>
      <w:r w:rsidR="00235BF4">
        <w:rPr>
          <w:rFonts w:eastAsia="Malgun Gothic"/>
          <w:lang w:eastAsia="ko-KR"/>
        </w:rPr>
        <w:t>/CT4</w:t>
      </w:r>
      <w:r>
        <w:rPr>
          <w:rFonts w:eastAsia="Malgun Gothic"/>
          <w:lang w:eastAsia="ko-KR"/>
        </w:rPr>
        <w:t xml:space="preserve"> to take the above information into account </w:t>
      </w:r>
      <w:r w:rsidR="00DD249B">
        <w:rPr>
          <w:rFonts w:eastAsia="Malgun Gothic"/>
          <w:lang w:eastAsia="ko-KR"/>
        </w:rPr>
        <w:t>as</w:t>
      </w:r>
      <w:r>
        <w:rPr>
          <w:rFonts w:eastAsia="Malgun Gothic"/>
          <w:lang w:eastAsia="ko-KR"/>
        </w:rPr>
        <w:t xml:space="preserve"> part of the protocol description and to provide a response, particularly whether Policy API</w:t>
      </w:r>
      <w:r w:rsidR="004C2496">
        <w:rPr>
          <w:rFonts w:eastAsia="Malgun Gothic"/>
          <w:lang w:eastAsia="ko-KR"/>
        </w:rPr>
        <w:t>s</w:t>
      </w:r>
      <w:r w:rsidR="00235BF4">
        <w:rPr>
          <w:rFonts w:eastAsia="Malgun Gothic"/>
          <w:lang w:eastAsia="ko-KR"/>
        </w:rPr>
        <w:t>/N4 rules</w:t>
      </w:r>
      <w:r>
        <w:rPr>
          <w:rFonts w:eastAsia="Malgun Gothic"/>
          <w:lang w:eastAsia="ko-KR"/>
        </w:rPr>
        <w:t xml:space="preserve"> </w:t>
      </w:r>
      <w:r w:rsidR="004C2496">
        <w:rPr>
          <w:rFonts w:eastAsia="Malgun Gothic"/>
          <w:lang w:eastAsia="ko-KR"/>
        </w:rPr>
        <w:t xml:space="preserve">are </w:t>
      </w:r>
      <w:r>
        <w:rPr>
          <w:rFonts w:eastAsia="Malgun Gothic"/>
          <w:lang w:eastAsia="ko-KR"/>
        </w:rPr>
        <w:t>able to accommodate relaying th</w:t>
      </w:r>
      <w:r w:rsidR="004C2496">
        <w:rPr>
          <w:rFonts w:eastAsia="Malgun Gothic"/>
          <w:lang w:eastAsia="ko-KR"/>
        </w:rPr>
        <w:t>e</w:t>
      </w:r>
      <w:r>
        <w:rPr>
          <w:rFonts w:eastAsia="Malgun Gothic"/>
          <w:lang w:eastAsia="ko-KR"/>
        </w:rPr>
        <w:t xml:space="preserve"> proposed PDU Set marking configuration </w:t>
      </w:r>
      <w:r w:rsidR="004C2496">
        <w:rPr>
          <w:rFonts w:eastAsia="Malgun Gothic"/>
          <w:lang w:eastAsia="ko-KR"/>
        </w:rPr>
        <w:t xml:space="preserve">parameters to </w:t>
      </w:r>
      <w:r>
        <w:rPr>
          <w:rFonts w:eastAsia="Malgun Gothic"/>
          <w:lang w:eastAsia="ko-KR"/>
        </w:rPr>
        <w:t>the UPF</w:t>
      </w:r>
      <w:r w:rsidR="004C2496">
        <w:rPr>
          <w:rFonts w:eastAsia="Malgun Gothic"/>
          <w:lang w:eastAsia="ko-KR"/>
        </w:rPr>
        <w:t xml:space="preserve"> via PCF/SMF</w:t>
      </w:r>
      <w:r>
        <w:rPr>
          <w:rFonts w:eastAsia="Malgun Gothic"/>
          <w:lang w:eastAsia="ko-KR"/>
        </w:rPr>
        <w:t>.</w:t>
      </w:r>
      <w:r w:rsidR="00722E8D">
        <w:rPr>
          <w:rFonts w:eastAsia="Malgun Gothic"/>
          <w:lang w:eastAsia="ko-KR"/>
        </w:rPr>
        <w:t xml:space="preserve"> </w:t>
      </w:r>
    </w:p>
    <w:p w14:paraId="7E3D5CD1" w14:textId="3545E2A0" w:rsidR="00B97703" w:rsidRDefault="002F1940" w:rsidP="000F6242">
      <w:pPr>
        <w:pStyle w:val="Heading1"/>
      </w:pPr>
      <w:r>
        <w:lastRenderedPageBreak/>
        <w:t>2</w:t>
      </w:r>
      <w:r>
        <w:tab/>
      </w:r>
      <w:r w:rsidR="000F6242">
        <w:t>Action</w:t>
      </w:r>
      <w:r w:rsidR="00FA15F0">
        <w:t>s</w:t>
      </w:r>
    </w:p>
    <w:p w14:paraId="131EC40D" w14:textId="356615CA" w:rsidR="00B97703" w:rsidRDefault="00B97703" w:rsidP="00147624">
      <w:pPr>
        <w:keepNext/>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375C4">
        <w:rPr>
          <w:rFonts w:ascii="Arial" w:hAnsi="Arial" w:cs="Arial"/>
          <w:b/>
        </w:rPr>
        <w:t>CT3</w:t>
      </w:r>
      <w:r w:rsidR="005D32B6">
        <w:rPr>
          <w:rFonts w:ascii="Arial" w:hAnsi="Arial" w:cs="Arial"/>
          <w:b/>
        </w:rPr>
        <w:t>, CT4</w:t>
      </w:r>
    </w:p>
    <w:p w14:paraId="429A855E" w14:textId="06AF3D44" w:rsidR="00AC0D9E" w:rsidRDefault="00B97703" w:rsidP="00147624">
      <w:pPr>
        <w:keepNext/>
        <w:ind w:left="994" w:hanging="994"/>
      </w:pPr>
      <w:r>
        <w:rPr>
          <w:rFonts w:ascii="Arial" w:hAnsi="Arial" w:cs="Arial"/>
          <w:b/>
        </w:rPr>
        <w:t>ACTION:</w:t>
      </w:r>
      <w:r w:rsidRPr="00BC2688">
        <w:t xml:space="preserve"> </w:t>
      </w:r>
      <w:r w:rsidRPr="00BC2688">
        <w:tab/>
      </w:r>
      <w:r w:rsidR="009D2F59" w:rsidRPr="009D2F59">
        <w:t>SA4</w:t>
      </w:r>
      <w:r w:rsidR="00147624">
        <w:t xml:space="preserve"> </w:t>
      </w:r>
      <w:r w:rsidR="004F3F4A">
        <w:t xml:space="preserve">kindly </w:t>
      </w:r>
      <w:r w:rsidR="00F16CBC">
        <w:t xml:space="preserve">asks </w:t>
      </w:r>
      <w:r w:rsidR="003375C4">
        <w:t>CT3</w:t>
      </w:r>
      <w:r w:rsidR="005D32B6">
        <w:t>/CT4</w:t>
      </w:r>
      <w:r w:rsidR="003375C4">
        <w:t xml:space="preserve"> </w:t>
      </w:r>
      <w:r w:rsidR="00F16CBC">
        <w:t xml:space="preserve">to </w:t>
      </w:r>
      <w:r w:rsidR="005D32B6">
        <w:t xml:space="preserve">consider </w:t>
      </w:r>
      <w:r w:rsidR="00F16CBC">
        <w:t xml:space="preserve">the above information </w:t>
      </w:r>
      <w:r w:rsidR="00392FBC">
        <w:t>and to</w:t>
      </w:r>
      <w:r w:rsidR="0014394D">
        <w:t xml:space="preserve"> provide a response on SA4's </w:t>
      </w:r>
      <w:r w:rsidR="00BD06CC">
        <w:t>proposal.</w:t>
      </w:r>
    </w:p>
    <w:p w14:paraId="1AFFAFDA" w14:textId="29F6C605" w:rsidR="00A21DCA" w:rsidRDefault="00A21DCA">
      <w:pPr>
        <w:overflowPunct/>
        <w:autoSpaceDE/>
        <w:autoSpaceDN/>
        <w:adjustRightInd/>
        <w:spacing w:after="0"/>
        <w:textAlignment w:val="auto"/>
        <w:rPr>
          <w:rFonts w:ascii="Arial" w:hAnsi="Arial"/>
          <w:sz w:val="36"/>
          <w:szCs w:val="36"/>
        </w:rPr>
      </w:pPr>
    </w:p>
    <w:p w14:paraId="19C7E533" w14:textId="48846ABD" w:rsidR="00B97703" w:rsidRDefault="00B97703" w:rsidP="00A21DCA">
      <w:pPr>
        <w:pStyle w:val="Heading1"/>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8"/>
    <w:p w14:paraId="221C7A87" w14:textId="2124FF99" w:rsidR="005B0E51" w:rsidRDefault="005B0E51" w:rsidP="00AD1F68">
      <w:r>
        <w:t>SA4</w:t>
      </w:r>
      <w:r w:rsidR="003375C4">
        <w:t xml:space="preserve"> </w:t>
      </w:r>
      <w:r w:rsidR="00776B81">
        <w:t>#127</w:t>
      </w:r>
      <w:r>
        <w:tab/>
      </w:r>
      <w:r w:rsidR="00246A7A">
        <w:t>2</w:t>
      </w:r>
      <w:r w:rsidR="00776B81">
        <w:t>9</w:t>
      </w:r>
      <w:r w:rsidR="00246A7A" w:rsidRPr="00246A7A">
        <w:rPr>
          <w:vertAlign w:val="superscript"/>
        </w:rPr>
        <w:t>st</w:t>
      </w:r>
      <w:r w:rsidR="00776B81">
        <w:t xml:space="preserve"> January – </w:t>
      </w:r>
      <w:r w:rsidR="00246A7A">
        <w:t>2</w:t>
      </w:r>
      <w:r w:rsidR="00776B81" w:rsidRPr="00776B81">
        <w:rPr>
          <w:vertAlign w:val="superscript"/>
        </w:rPr>
        <w:t>nd</w:t>
      </w:r>
      <w:r w:rsidR="00246A7A">
        <w:t xml:space="preserve"> </w:t>
      </w:r>
      <w:r w:rsidR="00776B81">
        <w:t>February</w:t>
      </w:r>
      <w:r>
        <w:t xml:space="preserve"> 202</w:t>
      </w:r>
      <w:r w:rsidR="00776B81">
        <w:t>4</w:t>
      </w:r>
      <w:r>
        <w:tab/>
      </w:r>
      <w:r>
        <w:tab/>
      </w:r>
      <w:r w:rsidR="00776B81">
        <w:t>Sophia-Antipolis, France</w:t>
      </w:r>
    </w:p>
    <w:p w14:paraId="4969E4E2" w14:textId="14778177" w:rsidR="003375C4" w:rsidRPr="009B3428" w:rsidRDefault="00776B81" w:rsidP="00AD1F68">
      <w:r>
        <w:t>SA4 #127-bis-e</w:t>
      </w:r>
      <w:r w:rsidR="003375C4">
        <w:tab/>
      </w:r>
      <w:r>
        <w:t>08</w:t>
      </w:r>
      <w:r w:rsidR="00392FBC" w:rsidRPr="00392FBC">
        <w:rPr>
          <w:vertAlign w:val="superscript"/>
        </w:rPr>
        <w:t>th</w:t>
      </w:r>
      <w:r w:rsidR="00392FBC">
        <w:t>–</w:t>
      </w:r>
      <w:r>
        <w:t>12</w:t>
      </w:r>
      <w:r w:rsidR="00392FBC" w:rsidRPr="00392FBC">
        <w:rPr>
          <w:vertAlign w:val="superscript"/>
        </w:rPr>
        <w:t>th</w:t>
      </w:r>
      <w:r w:rsidR="00392FBC">
        <w:t xml:space="preserve"> </w:t>
      </w:r>
      <w:r>
        <w:t>April 2024</w:t>
      </w:r>
      <w:r w:rsidR="003375C4">
        <w:tab/>
      </w:r>
      <w:r w:rsidR="003375C4">
        <w:tab/>
      </w:r>
      <w:r>
        <w:tab/>
        <w:t>e-Meeting</w:t>
      </w:r>
    </w:p>
    <w:sectPr w:rsidR="003375C4"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8604E" w14:textId="77777777" w:rsidR="005028DC" w:rsidRDefault="005028DC">
      <w:pPr>
        <w:spacing w:after="0"/>
      </w:pPr>
      <w:r>
        <w:separator/>
      </w:r>
    </w:p>
  </w:endnote>
  <w:endnote w:type="continuationSeparator" w:id="0">
    <w:p w14:paraId="0B8C4F2E" w14:textId="77777777" w:rsidR="005028DC" w:rsidRDefault="005028DC">
      <w:pPr>
        <w:spacing w:after="0"/>
      </w:pPr>
      <w:r>
        <w:continuationSeparator/>
      </w:r>
    </w:p>
  </w:endnote>
  <w:endnote w:type="continuationNotice" w:id="1">
    <w:p w14:paraId="70175AF0" w14:textId="77777777" w:rsidR="005028DC" w:rsidRDefault="005028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honar Bangla">
    <w:altName w:val="Arial"/>
    <w:charset w:val="00"/>
    <w:family w:val="roman"/>
    <w:pitch w:val="variable"/>
    <w:sig w:usb0="00010003" w:usb1="00000000" w:usb2="00000000" w:usb3="00000000" w:csb0="00000001" w:csb1="00000000"/>
  </w:font>
  <w:font w:name="Malgun Gothic">
    <w:altName w:val="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047D2" w14:textId="77777777" w:rsidR="005028DC" w:rsidRDefault="005028DC">
      <w:pPr>
        <w:spacing w:after="0"/>
      </w:pPr>
      <w:r>
        <w:separator/>
      </w:r>
    </w:p>
  </w:footnote>
  <w:footnote w:type="continuationSeparator" w:id="0">
    <w:p w14:paraId="1607C3D0" w14:textId="77777777" w:rsidR="005028DC" w:rsidRDefault="005028DC">
      <w:pPr>
        <w:spacing w:after="0"/>
      </w:pPr>
      <w:r>
        <w:continuationSeparator/>
      </w:r>
    </w:p>
  </w:footnote>
  <w:footnote w:type="continuationNotice" w:id="1">
    <w:p w14:paraId="026680F4" w14:textId="77777777" w:rsidR="005028DC" w:rsidRDefault="005028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1712563">
    <w:abstractNumId w:val="6"/>
  </w:num>
  <w:num w:numId="2" w16cid:durableId="265692625">
    <w:abstractNumId w:val="5"/>
  </w:num>
  <w:num w:numId="3" w16cid:durableId="98182416">
    <w:abstractNumId w:val="3"/>
  </w:num>
  <w:num w:numId="4" w16cid:durableId="1834486614">
    <w:abstractNumId w:val="0"/>
  </w:num>
  <w:num w:numId="5" w16cid:durableId="1946620341">
    <w:abstractNumId w:val="1"/>
  </w:num>
  <w:num w:numId="6" w16cid:durableId="1192500876">
    <w:abstractNumId w:val="2"/>
  </w:num>
  <w:num w:numId="7" w16cid:durableId="702679398">
    <w:abstractNumId w:val="7"/>
  </w:num>
  <w:num w:numId="8" w16cid:durableId="348072332">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F57"/>
    <w:rsid w:val="0000198E"/>
    <w:rsid w:val="00003008"/>
    <w:rsid w:val="00005A5A"/>
    <w:rsid w:val="00006F20"/>
    <w:rsid w:val="00007723"/>
    <w:rsid w:val="00010BB5"/>
    <w:rsid w:val="00013FAF"/>
    <w:rsid w:val="000166A7"/>
    <w:rsid w:val="0001787F"/>
    <w:rsid w:val="00017F23"/>
    <w:rsid w:val="0002121E"/>
    <w:rsid w:val="000215E2"/>
    <w:rsid w:val="000227D9"/>
    <w:rsid w:val="00024ED9"/>
    <w:rsid w:val="00030404"/>
    <w:rsid w:val="00031A4B"/>
    <w:rsid w:val="00033E06"/>
    <w:rsid w:val="00033E32"/>
    <w:rsid w:val="00036880"/>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5A2"/>
    <w:rsid w:val="00053969"/>
    <w:rsid w:val="00054BCE"/>
    <w:rsid w:val="000554D4"/>
    <w:rsid w:val="00055C5D"/>
    <w:rsid w:val="0005615B"/>
    <w:rsid w:val="0005664C"/>
    <w:rsid w:val="00057BE8"/>
    <w:rsid w:val="000600DA"/>
    <w:rsid w:val="00062026"/>
    <w:rsid w:val="000629EA"/>
    <w:rsid w:val="00062B3B"/>
    <w:rsid w:val="00063D03"/>
    <w:rsid w:val="00065E38"/>
    <w:rsid w:val="000733E6"/>
    <w:rsid w:val="000776E8"/>
    <w:rsid w:val="000802B1"/>
    <w:rsid w:val="00083B1F"/>
    <w:rsid w:val="00084D74"/>
    <w:rsid w:val="00086624"/>
    <w:rsid w:val="00090BE1"/>
    <w:rsid w:val="000937C4"/>
    <w:rsid w:val="00096113"/>
    <w:rsid w:val="00096F69"/>
    <w:rsid w:val="000973BA"/>
    <w:rsid w:val="000979CE"/>
    <w:rsid w:val="000A18C0"/>
    <w:rsid w:val="000A2621"/>
    <w:rsid w:val="000A310A"/>
    <w:rsid w:val="000A43D8"/>
    <w:rsid w:val="000A69ED"/>
    <w:rsid w:val="000B1A2E"/>
    <w:rsid w:val="000B61C3"/>
    <w:rsid w:val="000B7DAE"/>
    <w:rsid w:val="000C0008"/>
    <w:rsid w:val="000C067E"/>
    <w:rsid w:val="000C1084"/>
    <w:rsid w:val="000C15EC"/>
    <w:rsid w:val="000C1B12"/>
    <w:rsid w:val="000C1E21"/>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6B61"/>
    <w:rsid w:val="00117F06"/>
    <w:rsid w:val="001212EA"/>
    <w:rsid w:val="00123814"/>
    <w:rsid w:val="00124A51"/>
    <w:rsid w:val="001265C5"/>
    <w:rsid w:val="001313A5"/>
    <w:rsid w:val="00131A87"/>
    <w:rsid w:val="00132075"/>
    <w:rsid w:val="00132E85"/>
    <w:rsid w:val="00133087"/>
    <w:rsid w:val="0013311A"/>
    <w:rsid w:val="001345F8"/>
    <w:rsid w:val="0013465E"/>
    <w:rsid w:val="00135DC9"/>
    <w:rsid w:val="001374B2"/>
    <w:rsid w:val="00137F94"/>
    <w:rsid w:val="001403A4"/>
    <w:rsid w:val="00141028"/>
    <w:rsid w:val="0014394D"/>
    <w:rsid w:val="00144853"/>
    <w:rsid w:val="00145C24"/>
    <w:rsid w:val="00147624"/>
    <w:rsid w:val="0014770E"/>
    <w:rsid w:val="00151B27"/>
    <w:rsid w:val="00154956"/>
    <w:rsid w:val="001577A3"/>
    <w:rsid w:val="00160F42"/>
    <w:rsid w:val="00160FFF"/>
    <w:rsid w:val="00161812"/>
    <w:rsid w:val="001625AC"/>
    <w:rsid w:val="00165A4F"/>
    <w:rsid w:val="00170B91"/>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278"/>
    <w:rsid w:val="00195B62"/>
    <w:rsid w:val="0019606C"/>
    <w:rsid w:val="0019697B"/>
    <w:rsid w:val="00197153"/>
    <w:rsid w:val="00197D08"/>
    <w:rsid w:val="001A032D"/>
    <w:rsid w:val="001A370F"/>
    <w:rsid w:val="001A4F24"/>
    <w:rsid w:val="001A6274"/>
    <w:rsid w:val="001A6BF4"/>
    <w:rsid w:val="001A6D2D"/>
    <w:rsid w:val="001A6D70"/>
    <w:rsid w:val="001A7926"/>
    <w:rsid w:val="001B1BCD"/>
    <w:rsid w:val="001B3C91"/>
    <w:rsid w:val="001B4564"/>
    <w:rsid w:val="001B68D8"/>
    <w:rsid w:val="001B6F5C"/>
    <w:rsid w:val="001B7D42"/>
    <w:rsid w:val="001B7FBC"/>
    <w:rsid w:val="001C0045"/>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30D71"/>
    <w:rsid w:val="00231E11"/>
    <w:rsid w:val="00232611"/>
    <w:rsid w:val="00232F04"/>
    <w:rsid w:val="00235296"/>
    <w:rsid w:val="00235BF4"/>
    <w:rsid w:val="00237F6F"/>
    <w:rsid w:val="002402EA"/>
    <w:rsid w:val="00241DC4"/>
    <w:rsid w:val="002427DC"/>
    <w:rsid w:val="00242F93"/>
    <w:rsid w:val="002435FA"/>
    <w:rsid w:val="00246A7A"/>
    <w:rsid w:val="00250555"/>
    <w:rsid w:val="002509EB"/>
    <w:rsid w:val="00250FD1"/>
    <w:rsid w:val="002548A2"/>
    <w:rsid w:val="00255909"/>
    <w:rsid w:val="0025593D"/>
    <w:rsid w:val="002614A1"/>
    <w:rsid w:val="00262A13"/>
    <w:rsid w:val="00262ACE"/>
    <w:rsid w:val="00263DD7"/>
    <w:rsid w:val="00267AE7"/>
    <w:rsid w:val="00271F28"/>
    <w:rsid w:val="00276698"/>
    <w:rsid w:val="00276793"/>
    <w:rsid w:val="00276FB1"/>
    <w:rsid w:val="002800F8"/>
    <w:rsid w:val="002814AD"/>
    <w:rsid w:val="00281C6E"/>
    <w:rsid w:val="00281F88"/>
    <w:rsid w:val="0028399A"/>
    <w:rsid w:val="002854AD"/>
    <w:rsid w:val="00285889"/>
    <w:rsid w:val="00286531"/>
    <w:rsid w:val="0028727A"/>
    <w:rsid w:val="00292C89"/>
    <w:rsid w:val="00296463"/>
    <w:rsid w:val="002A0A03"/>
    <w:rsid w:val="002A3D99"/>
    <w:rsid w:val="002A42CC"/>
    <w:rsid w:val="002A5561"/>
    <w:rsid w:val="002B08C2"/>
    <w:rsid w:val="002B35DA"/>
    <w:rsid w:val="002B4A70"/>
    <w:rsid w:val="002B76E4"/>
    <w:rsid w:val="002C01F2"/>
    <w:rsid w:val="002C18DD"/>
    <w:rsid w:val="002C1A4B"/>
    <w:rsid w:val="002C6C35"/>
    <w:rsid w:val="002D0BF3"/>
    <w:rsid w:val="002D387F"/>
    <w:rsid w:val="002D401C"/>
    <w:rsid w:val="002D45EA"/>
    <w:rsid w:val="002D46EB"/>
    <w:rsid w:val="002D58E4"/>
    <w:rsid w:val="002D70A0"/>
    <w:rsid w:val="002E03A5"/>
    <w:rsid w:val="002E1AB9"/>
    <w:rsid w:val="002E34F4"/>
    <w:rsid w:val="002E3826"/>
    <w:rsid w:val="002E4825"/>
    <w:rsid w:val="002E6D58"/>
    <w:rsid w:val="002E7DF1"/>
    <w:rsid w:val="002F1940"/>
    <w:rsid w:val="002F3277"/>
    <w:rsid w:val="002F54CB"/>
    <w:rsid w:val="002F6829"/>
    <w:rsid w:val="002F6C1B"/>
    <w:rsid w:val="00301684"/>
    <w:rsid w:val="00301821"/>
    <w:rsid w:val="00301ED4"/>
    <w:rsid w:val="0030277E"/>
    <w:rsid w:val="00302978"/>
    <w:rsid w:val="00303098"/>
    <w:rsid w:val="00303A4F"/>
    <w:rsid w:val="00304E8D"/>
    <w:rsid w:val="003070B1"/>
    <w:rsid w:val="003120C5"/>
    <w:rsid w:val="003166F9"/>
    <w:rsid w:val="00316906"/>
    <w:rsid w:val="00317186"/>
    <w:rsid w:val="0032393F"/>
    <w:rsid w:val="0032489B"/>
    <w:rsid w:val="003263E5"/>
    <w:rsid w:val="003278F5"/>
    <w:rsid w:val="00330C29"/>
    <w:rsid w:val="00331424"/>
    <w:rsid w:val="00331DA5"/>
    <w:rsid w:val="003330E2"/>
    <w:rsid w:val="00335B07"/>
    <w:rsid w:val="00336BAA"/>
    <w:rsid w:val="003375C4"/>
    <w:rsid w:val="00341268"/>
    <w:rsid w:val="00350F1C"/>
    <w:rsid w:val="00354602"/>
    <w:rsid w:val="003561BE"/>
    <w:rsid w:val="00361287"/>
    <w:rsid w:val="00366D93"/>
    <w:rsid w:val="003716B6"/>
    <w:rsid w:val="00373D8C"/>
    <w:rsid w:val="00381645"/>
    <w:rsid w:val="00383545"/>
    <w:rsid w:val="00383E91"/>
    <w:rsid w:val="003852EC"/>
    <w:rsid w:val="0038614C"/>
    <w:rsid w:val="00386697"/>
    <w:rsid w:val="00390DEB"/>
    <w:rsid w:val="00390EA7"/>
    <w:rsid w:val="00392A20"/>
    <w:rsid w:val="00392EE8"/>
    <w:rsid w:val="00392FBC"/>
    <w:rsid w:val="00395B60"/>
    <w:rsid w:val="00396E04"/>
    <w:rsid w:val="00397752"/>
    <w:rsid w:val="003A1AF4"/>
    <w:rsid w:val="003A3D3D"/>
    <w:rsid w:val="003A440F"/>
    <w:rsid w:val="003A5C2E"/>
    <w:rsid w:val="003A6941"/>
    <w:rsid w:val="003B03BF"/>
    <w:rsid w:val="003B0929"/>
    <w:rsid w:val="003B1026"/>
    <w:rsid w:val="003B13A2"/>
    <w:rsid w:val="003B18B0"/>
    <w:rsid w:val="003B2041"/>
    <w:rsid w:val="003B2EF1"/>
    <w:rsid w:val="003B333B"/>
    <w:rsid w:val="003B6CEF"/>
    <w:rsid w:val="003B7D4F"/>
    <w:rsid w:val="003C4099"/>
    <w:rsid w:val="003C4394"/>
    <w:rsid w:val="003C61AC"/>
    <w:rsid w:val="003D0E4A"/>
    <w:rsid w:val="003D4CDD"/>
    <w:rsid w:val="003D74D6"/>
    <w:rsid w:val="003E07E9"/>
    <w:rsid w:val="003E0AD7"/>
    <w:rsid w:val="003E0E40"/>
    <w:rsid w:val="003E24E7"/>
    <w:rsid w:val="003F0052"/>
    <w:rsid w:val="003F0153"/>
    <w:rsid w:val="003F0F50"/>
    <w:rsid w:val="003F1084"/>
    <w:rsid w:val="003F2119"/>
    <w:rsid w:val="003F25B2"/>
    <w:rsid w:val="003F3883"/>
    <w:rsid w:val="003F586C"/>
    <w:rsid w:val="00403366"/>
    <w:rsid w:val="00403D92"/>
    <w:rsid w:val="00407A57"/>
    <w:rsid w:val="00410A60"/>
    <w:rsid w:val="0041224D"/>
    <w:rsid w:val="00413AD4"/>
    <w:rsid w:val="004144FA"/>
    <w:rsid w:val="00414FE5"/>
    <w:rsid w:val="00415F98"/>
    <w:rsid w:val="00416F48"/>
    <w:rsid w:val="00417820"/>
    <w:rsid w:val="004223AA"/>
    <w:rsid w:val="004244E1"/>
    <w:rsid w:val="00424777"/>
    <w:rsid w:val="0042671E"/>
    <w:rsid w:val="0042705C"/>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5B98"/>
    <w:rsid w:val="00467698"/>
    <w:rsid w:val="00467C4B"/>
    <w:rsid w:val="00470E92"/>
    <w:rsid w:val="00471DC8"/>
    <w:rsid w:val="00471E39"/>
    <w:rsid w:val="004754BB"/>
    <w:rsid w:val="00477911"/>
    <w:rsid w:val="00477E92"/>
    <w:rsid w:val="00480E4D"/>
    <w:rsid w:val="00482234"/>
    <w:rsid w:val="004874B6"/>
    <w:rsid w:val="0049145B"/>
    <w:rsid w:val="0049181D"/>
    <w:rsid w:val="00493100"/>
    <w:rsid w:val="00493953"/>
    <w:rsid w:val="004939E6"/>
    <w:rsid w:val="00494508"/>
    <w:rsid w:val="00495CCC"/>
    <w:rsid w:val="00497CE7"/>
    <w:rsid w:val="004A2B32"/>
    <w:rsid w:val="004A541E"/>
    <w:rsid w:val="004A670D"/>
    <w:rsid w:val="004A68F5"/>
    <w:rsid w:val="004B46B8"/>
    <w:rsid w:val="004B5689"/>
    <w:rsid w:val="004B6C50"/>
    <w:rsid w:val="004B6F99"/>
    <w:rsid w:val="004B77E8"/>
    <w:rsid w:val="004C1766"/>
    <w:rsid w:val="004C2255"/>
    <w:rsid w:val="004C2496"/>
    <w:rsid w:val="004C2FA6"/>
    <w:rsid w:val="004C48D7"/>
    <w:rsid w:val="004C7A6A"/>
    <w:rsid w:val="004D0A63"/>
    <w:rsid w:val="004D6E0C"/>
    <w:rsid w:val="004E15C8"/>
    <w:rsid w:val="004E3218"/>
    <w:rsid w:val="004E3939"/>
    <w:rsid w:val="004E4CCF"/>
    <w:rsid w:val="004E6AC4"/>
    <w:rsid w:val="004E776F"/>
    <w:rsid w:val="004F143F"/>
    <w:rsid w:val="004F3F4A"/>
    <w:rsid w:val="004F45A0"/>
    <w:rsid w:val="004F494A"/>
    <w:rsid w:val="004F5BD0"/>
    <w:rsid w:val="004F6150"/>
    <w:rsid w:val="00500543"/>
    <w:rsid w:val="00501D0B"/>
    <w:rsid w:val="005028DC"/>
    <w:rsid w:val="00503A07"/>
    <w:rsid w:val="0051038B"/>
    <w:rsid w:val="005160F0"/>
    <w:rsid w:val="00523671"/>
    <w:rsid w:val="00527287"/>
    <w:rsid w:val="00532544"/>
    <w:rsid w:val="00535230"/>
    <w:rsid w:val="00535ABE"/>
    <w:rsid w:val="005428DE"/>
    <w:rsid w:val="00543542"/>
    <w:rsid w:val="0054612E"/>
    <w:rsid w:val="005474F4"/>
    <w:rsid w:val="00552D6C"/>
    <w:rsid w:val="0055451B"/>
    <w:rsid w:val="00554AF5"/>
    <w:rsid w:val="005632D2"/>
    <w:rsid w:val="00563D1F"/>
    <w:rsid w:val="00563F17"/>
    <w:rsid w:val="00564D02"/>
    <w:rsid w:val="00567622"/>
    <w:rsid w:val="00570DEE"/>
    <w:rsid w:val="00572D2B"/>
    <w:rsid w:val="005737D0"/>
    <w:rsid w:val="00574A5E"/>
    <w:rsid w:val="00575FF1"/>
    <w:rsid w:val="00576655"/>
    <w:rsid w:val="005804AC"/>
    <w:rsid w:val="00581C26"/>
    <w:rsid w:val="00590287"/>
    <w:rsid w:val="005931FF"/>
    <w:rsid w:val="005943C8"/>
    <w:rsid w:val="00594F83"/>
    <w:rsid w:val="00595F72"/>
    <w:rsid w:val="005970A0"/>
    <w:rsid w:val="005A0165"/>
    <w:rsid w:val="005A0186"/>
    <w:rsid w:val="005A1478"/>
    <w:rsid w:val="005A544D"/>
    <w:rsid w:val="005A570E"/>
    <w:rsid w:val="005B05BE"/>
    <w:rsid w:val="005B07D7"/>
    <w:rsid w:val="005B0E51"/>
    <w:rsid w:val="005B44B9"/>
    <w:rsid w:val="005C1DDF"/>
    <w:rsid w:val="005C4508"/>
    <w:rsid w:val="005C4D00"/>
    <w:rsid w:val="005C533D"/>
    <w:rsid w:val="005C5CB8"/>
    <w:rsid w:val="005C6478"/>
    <w:rsid w:val="005C68AA"/>
    <w:rsid w:val="005D004A"/>
    <w:rsid w:val="005D0F21"/>
    <w:rsid w:val="005D32B6"/>
    <w:rsid w:val="005D45A8"/>
    <w:rsid w:val="005D6783"/>
    <w:rsid w:val="005E27C3"/>
    <w:rsid w:val="005E6C69"/>
    <w:rsid w:val="005E6F0F"/>
    <w:rsid w:val="005F1860"/>
    <w:rsid w:val="005F1BC6"/>
    <w:rsid w:val="005F1E55"/>
    <w:rsid w:val="005F1F70"/>
    <w:rsid w:val="005F6482"/>
    <w:rsid w:val="006024B4"/>
    <w:rsid w:val="00602B1C"/>
    <w:rsid w:val="006045F6"/>
    <w:rsid w:val="006077A5"/>
    <w:rsid w:val="00607D25"/>
    <w:rsid w:val="00610E9C"/>
    <w:rsid w:val="0061197A"/>
    <w:rsid w:val="00612075"/>
    <w:rsid w:val="0061529A"/>
    <w:rsid w:val="00616354"/>
    <w:rsid w:val="0062368D"/>
    <w:rsid w:val="00625A7E"/>
    <w:rsid w:val="006306B8"/>
    <w:rsid w:val="00630C6F"/>
    <w:rsid w:val="00632633"/>
    <w:rsid w:val="006337B8"/>
    <w:rsid w:val="00633B5D"/>
    <w:rsid w:val="006341A7"/>
    <w:rsid w:val="0063519E"/>
    <w:rsid w:val="00637A59"/>
    <w:rsid w:val="0064174D"/>
    <w:rsid w:val="00642CDF"/>
    <w:rsid w:val="006430C2"/>
    <w:rsid w:val="00646A78"/>
    <w:rsid w:val="00646CFD"/>
    <w:rsid w:val="0065186E"/>
    <w:rsid w:val="00651C3C"/>
    <w:rsid w:val="00653F5B"/>
    <w:rsid w:val="00656039"/>
    <w:rsid w:val="00661490"/>
    <w:rsid w:val="00665FFE"/>
    <w:rsid w:val="0066676E"/>
    <w:rsid w:val="006711BB"/>
    <w:rsid w:val="006736D6"/>
    <w:rsid w:val="006745A0"/>
    <w:rsid w:val="0067725A"/>
    <w:rsid w:val="006772AA"/>
    <w:rsid w:val="00680D27"/>
    <w:rsid w:val="006822B1"/>
    <w:rsid w:val="00683AAD"/>
    <w:rsid w:val="006928B3"/>
    <w:rsid w:val="0069485A"/>
    <w:rsid w:val="00695294"/>
    <w:rsid w:val="006A0332"/>
    <w:rsid w:val="006A1004"/>
    <w:rsid w:val="006A277C"/>
    <w:rsid w:val="006A401D"/>
    <w:rsid w:val="006A46F3"/>
    <w:rsid w:val="006A4915"/>
    <w:rsid w:val="006A4DF9"/>
    <w:rsid w:val="006B0050"/>
    <w:rsid w:val="006B6D33"/>
    <w:rsid w:val="006B7AB5"/>
    <w:rsid w:val="006B7C63"/>
    <w:rsid w:val="006C2F08"/>
    <w:rsid w:val="006C76D3"/>
    <w:rsid w:val="006D629B"/>
    <w:rsid w:val="006D6314"/>
    <w:rsid w:val="006E14FE"/>
    <w:rsid w:val="006E313D"/>
    <w:rsid w:val="006E6813"/>
    <w:rsid w:val="006E7E8E"/>
    <w:rsid w:val="006F089C"/>
    <w:rsid w:val="006F0CC0"/>
    <w:rsid w:val="006F1A4C"/>
    <w:rsid w:val="006F5D0F"/>
    <w:rsid w:val="006F606A"/>
    <w:rsid w:val="00700C17"/>
    <w:rsid w:val="00700D4E"/>
    <w:rsid w:val="00705758"/>
    <w:rsid w:val="00706C67"/>
    <w:rsid w:val="00710754"/>
    <w:rsid w:val="0071105E"/>
    <w:rsid w:val="00713245"/>
    <w:rsid w:val="0071526C"/>
    <w:rsid w:val="007200E7"/>
    <w:rsid w:val="00720C07"/>
    <w:rsid w:val="00720FAE"/>
    <w:rsid w:val="007216DE"/>
    <w:rsid w:val="007224FC"/>
    <w:rsid w:val="00722E8D"/>
    <w:rsid w:val="0072396D"/>
    <w:rsid w:val="0072442F"/>
    <w:rsid w:val="00730FF0"/>
    <w:rsid w:val="00731377"/>
    <w:rsid w:val="00731DED"/>
    <w:rsid w:val="007325CE"/>
    <w:rsid w:val="00733CE4"/>
    <w:rsid w:val="00735AEC"/>
    <w:rsid w:val="00735B41"/>
    <w:rsid w:val="00736990"/>
    <w:rsid w:val="007408C5"/>
    <w:rsid w:val="00742225"/>
    <w:rsid w:val="007463F7"/>
    <w:rsid w:val="007475DD"/>
    <w:rsid w:val="00752F3C"/>
    <w:rsid w:val="00755A1C"/>
    <w:rsid w:val="00757E6D"/>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6B81"/>
    <w:rsid w:val="0077723E"/>
    <w:rsid w:val="007828B6"/>
    <w:rsid w:val="00782EAD"/>
    <w:rsid w:val="00786336"/>
    <w:rsid w:val="0078645C"/>
    <w:rsid w:val="00792FDA"/>
    <w:rsid w:val="007941FA"/>
    <w:rsid w:val="00794BAC"/>
    <w:rsid w:val="00796FB0"/>
    <w:rsid w:val="007A08A9"/>
    <w:rsid w:val="007A2E79"/>
    <w:rsid w:val="007A5DE5"/>
    <w:rsid w:val="007A6FBD"/>
    <w:rsid w:val="007B04AA"/>
    <w:rsid w:val="007B0C06"/>
    <w:rsid w:val="007B0C12"/>
    <w:rsid w:val="007B39B9"/>
    <w:rsid w:val="007B3B38"/>
    <w:rsid w:val="007B4586"/>
    <w:rsid w:val="007B6E25"/>
    <w:rsid w:val="007C6D5F"/>
    <w:rsid w:val="007D2037"/>
    <w:rsid w:val="007D543A"/>
    <w:rsid w:val="007D6E31"/>
    <w:rsid w:val="007D75C7"/>
    <w:rsid w:val="007D7883"/>
    <w:rsid w:val="007E3CAE"/>
    <w:rsid w:val="007E58A2"/>
    <w:rsid w:val="007E7EFC"/>
    <w:rsid w:val="007F4BA0"/>
    <w:rsid w:val="007F4F92"/>
    <w:rsid w:val="007F50ED"/>
    <w:rsid w:val="007F5DBA"/>
    <w:rsid w:val="00801954"/>
    <w:rsid w:val="008033CC"/>
    <w:rsid w:val="008052A2"/>
    <w:rsid w:val="008056E8"/>
    <w:rsid w:val="008114D7"/>
    <w:rsid w:val="008134CD"/>
    <w:rsid w:val="008142BC"/>
    <w:rsid w:val="008146DB"/>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1B13"/>
    <w:rsid w:val="00873CFF"/>
    <w:rsid w:val="00875021"/>
    <w:rsid w:val="008757FD"/>
    <w:rsid w:val="00875839"/>
    <w:rsid w:val="008778AC"/>
    <w:rsid w:val="008807CE"/>
    <w:rsid w:val="008808EC"/>
    <w:rsid w:val="00884049"/>
    <w:rsid w:val="00884C8D"/>
    <w:rsid w:val="00890627"/>
    <w:rsid w:val="00891A51"/>
    <w:rsid w:val="0089274C"/>
    <w:rsid w:val="00892F46"/>
    <w:rsid w:val="00894B12"/>
    <w:rsid w:val="00895737"/>
    <w:rsid w:val="00895ABA"/>
    <w:rsid w:val="0089758A"/>
    <w:rsid w:val="00897628"/>
    <w:rsid w:val="008A224D"/>
    <w:rsid w:val="008A3A49"/>
    <w:rsid w:val="008A610D"/>
    <w:rsid w:val="008A62C3"/>
    <w:rsid w:val="008B08F1"/>
    <w:rsid w:val="008B1AD9"/>
    <w:rsid w:val="008B1E6E"/>
    <w:rsid w:val="008B433D"/>
    <w:rsid w:val="008B4D82"/>
    <w:rsid w:val="008B6474"/>
    <w:rsid w:val="008B6BB8"/>
    <w:rsid w:val="008C1987"/>
    <w:rsid w:val="008C2D6D"/>
    <w:rsid w:val="008C343D"/>
    <w:rsid w:val="008D0A9C"/>
    <w:rsid w:val="008D19C5"/>
    <w:rsid w:val="008D25A6"/>
    <w:rsid w:val="008D2FA8"/>
    <w:rsid w:val="008D772F"/>
    <w:rsid w:val="008E0489"/>
    <w:rsid w:val="008E11DF"/>
    <w:rsid w:val="008E120D"/>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023C"/>
    <w:rsid w:val="00913DC5"/>
    <w:rsid w:val="009147FA"/>
    <w:rsid w:val="00920082"/>
    <w:rsid w:val="00920F08"/>
    <w:rsid w:val="009213FD"/>
    <w:rsid w:val="00921D5D"/>
    <w:rsid w:val="0092679A"/>
    <w:rsid w:val="009279C7"/>
    <w:rsid w:val="009304FC"/>
    <w:rsid w:val="0093114A"/>
    <w:rsid w:val="00934578"/>
    <w:rsid w:val="009362AA"/>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82F95"/>
    <w:rsid w:val="00983A76"/>
    <w:rsid w:val="00997228"/>
    <w:rsid w:val="0099764C"/>
    <w:rsid w:val="009A1B6E"/>
    <w:rsid w:val="009A2490"/>
    <w:rsid w:val="009A4994"/>
    <w:rsid w:val="009A61BE"/>
    <w:rsid w:val="009B01C7"/>
    <w:rsid w:val="009B0EA3"/>
    <w:rsid w:val="009B278A"/>
    <w:rsid w:val="009B3428"/>
    <w:rsid w:val="009B3508"/>
    <w:rsid w:val="009B64CB"/>
    <w:rsid w:val="009C2207"/>
    <w:rsid w:val="009C2DB5"/>
    <w:rsid w:val="009C37B8"/>
    <w:rsid w:val="009C623B"/>
    <w:rsid w:val="009C724A"/>
    <w:rsid w:val="009D12E3"/>
    <w:rsid w:val="009D2F59"/>
    <w:rsid w:val="009D411F"/>
    <w:rsid w:val="009D41C4"/>
    <w:rsid w:val="009D5206"/>
    <w:rsid w:val="009D5486"/>
    <w:rsid w:val="009D7619"/>
    <w:rsid w:val="009D7A67"/>
    <w:rsid w:val="009D7B00"/>
    <w:rsid w:val="009D7BF6"/>
    <w:rsid w:val="009E42C1"/>
    <w:rsid w:val="009E7E97"/>
    <w:rsid w:val="009F7DC4"/>
    <w:rsid w:val="00A01F7F"/>
    <w:rsid w:val="00A03571"/>
    <w:rsid w:val="00A052E5"/>
    <w:rsid w:val="00A07AD7"/>
    <w:rsid w:val="00A10B06"/>
    <w:rsid w:val="00A115A1"/>
    <w:rsid w:val="00A12291"/>
    <w:rsid w:val="00A12A19"/>
    <w:rsid w:val="00A12B42"/>
    <w:rsid w:val="00A131E0"/>
    <w:rsid w:val="00A13FCA"/>
    <w:rsid w:val="00A14D20"/>
    <w:rsid w:val="00A1601E"/>
    <w:rsid w:val="00A17836"/>
    <w:rsid w:val="00A21DCA"/>
    <w:rsid w:val="00A260B3"/>
    <w:rsid w:val="00A3078F"/>
    <w:rsid w:val="00A34FA6"/>
    <w:rsid w:val="00A35601"/>
    <w:rsid w:val="00A377EF"/>
    <w:rsid w:val="00A40250"/>
    <w:rsid w:val="00A413F8"/>
    <w:rsid w:val="00A419B8"/>
    <w:rsid w:val="00A43029"/>
    <w:rsid w:val="00A47B3B"/>
    <w:rsid w:val="00A47DC2"/>
    <w:rsid w:val="00A51561"/>
    <w:rsid w:val="00A51CE3"/>
    <w:rsid w:val="00A53B37"/>
    <w:rsid w:val="00A54B4E"/>
    <w:rsid w:val="00A5543B"/>
    <w:rsid w:val="00A6111E"/>
    <w:rsid w:val="00A61BE7"/>
    <w:rsid w:val="00A62080"/>
    <w:rsid w:val="00A70533"/>
    <w:rsid w:val="00A71E7F"/>
    <w:rsid w:val="00A77473"/>
    <w:rsid w:val="00A80AC6"/>
    <w:rsid w:val="00A837DE"/>
    <w:rsid w:val="00A84446"/>
    <w:rsid w:val="00A84788"/>
    <w:rsid w:val="00A84A6B"/>
    <w:rsid w:val="00A84CE3"/>
    <w:rsid w:val="00A855D8"/>
    <w:rsid w:val="00A94157"/>
    <w:rsid w:val="00A9436D"/>
    <w:rsid w:val="00A95623"/>
    <w:rsid w:val="00AA0FF6"/>
    <w:rsid w:val="00AA1259"/>
    <w:rsid w:val="00AA1EB4"/>
    <w:rsid w:val="00AA3F94"/>
    <w:rsid w:val="00AA48CF"/>
    <w:rsid w:val="00AA4983"/>
    <w:rsid w:val="00AB041B"/>
    <w:rsid w:val="00AB119A"/>
    <w:rsid w:val="00AB244D"/>
    <w:rsid w:val="00AB56C9"/>
    <w:rsid w:val="00AC0D9E"/>
    <w:rsid w:val="00AC186F"/>
    <w:rsid w:val="00AC2CAB"/>
    <w:rsid w:val="00AC7275"/>
    <w:rsid w:val="00AC7760"/>
    <w:rsid w:val="00AD1F68"/>
    <w:rsid w:val="00AE1452"/>
    <w:rsid w:val="00AE15E0"/>
    <w:rsid w:val="00AE2259"/>
    <w:rsid w:val="00AE40FB"/>
    <w:rsid w:val="00AE4455"/>
    <w:rsid w:val="00AE543B"/>
    <w:rsid w:val="00AE599E"/>
    <w:rsid w:val="00AE6A88"/>
    <w:rsid w:val="00AF02A7"/>
    <w:rsid w:val="00AF1E7C"/>
    <w:rsid w:val="00AF45E5"/>
    <w:rsid w:val="00AF501D"/>
    <w:rsid w:val="00AF7DC8"/>
    <w:rsid w:val="00B00543"/>
    <w:rsid w:val="00B00C0C"/>
    <w:rsid w:val="00B01AEF"/>
    <w:rsid w:val="00B03F52"/>
    <w:rsid w:val="00B0536F"/>
    <w:rsid w:val="00B10093"/>
    <w:rsid w:val="00B104A3"/>
    <w:rsid w:val="00B1155A"/>
    <w:rsid w:val="00B16627"/>
    <w:rsid w:val="00B1752B"/>
    <w:rsid w:val="00B214F2"/>
    <w:rsid w:val="00B231E6"/>
    <w:rsid w:val="00B25BD6"/>
    <w:rsid w:val="00B261B2"/>
    <w:rsid w:val="00B30868"/>
    <w:rsid w:val="00B32FD3"/>
    <w:rsid w:val="00B33B8B"/>
    <w:rsid w:val="00B343C6"/>
    <w:rsid w:val="00B35E7C"/>
    <w:rsid w:val="00B37305"/>
    <w:rsid w:val="00B37DE4"/>
    <w:rsid w:val="00B4012A"/>
    <w:rsid w:val="00B42DF5"/>
    <w:rsid w:val="00B46584"/>
    <w:rsid w:val="00B46844"/>
    <w:rsid w:val="00B4701B"/>
    <w:rsid w:val="00B47899"/>
    <w:rsid w:val="00B47E21"/>
    <w:rsid w:val="00B517E2"/>
    <w:rsid w:val="00B523CE"/>
    <w:rsid w:val="00B53AAB"/>
    <w:rsid w:val="00B542FE"/>
    <w:rsid w:val="00B62476"/>
    <w:rsid w:val="00B64A00"/>
    <w:rsid w:val="00B65295"/>
    <w:rsid w:val="00B6793A"/>
    <w:rsid w:val="00B70A69"/>
    <w:rsid w:val="00B7176F"/>
    <w:rsid w:val="00B71C5D"/>
    <w:rsid w:val="00B729C3"/>
    <w:rsid w:val="00B751E5"/>
    <w:rsid w:val="00B75C9D"/>
    <w:rsid w:val="00B82379"/>
    <w:rsid w:val="00B8329F"/>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06CC"/>
    <w:rsid w:val="00BD28F2"/>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29AC"/>
    <w:rsid w:val="00C02FC6"/>
    <w:rsid w:val="00C031D0"/>
    <w:rsid w:val="00C05E1C"/>
    <w:rsid w:val="00C065E8"/>
    <w:rsid w:val="00C06DAF"/>
    <w:rsid w:val="00C078D2"/>
    <w:rsid w:val="00C1005C"/>
    <w:rsid w:val="00C11987"/>
    <w:rsid w:val="00C16B1F"/>
    <w:rsid w:val="00C22343"/>
    <w:rsid w:val="00C23EFC"/>
    <w:rsid w:val="00C2443C"/>
    <w:rsid w:val="00C24500"/>
    <w:rsid w:val="00C24B73"/>
    <w:rsid w:val="00C261CA"/>
    <w:rsid w:val="00C26718"/>
    <w:rsid w:val="00C30FEA"/>
    <w:rsid w:val="00C3312E"/>
    <w:rsid w:val="00C3544D"/>
    <w:rsid w:val="00C354C7"/>
    <w:rsid w:val="00C35F6C"/>
    <w:rsid w:val="00C368A5"/>
    <w:rsid w:val="00C4085D"/>
    <w:rsid w:val="00C43B46"/>
    <w:rsid w:val="00C43BE3"/>
    <w:rsid w:val="00C44B7B"/>
    <w:rsid w:val="00C458A9"/>
    <w:rsid w:val="00C45A68"/>
    <w:rsid w:val="00C46770"/>
    <w:rsid w:val="00C47B0B"/>
    <w:rsid w:val="00C51E67"/>
    <w:rsid w:val="00C54285"/>
    <w:rsid w:val="00C57048"/>
    <w:rsid w:val="00C57137"/>
    <w:rsid w:val="00C65A7A"/>
    <w:rsid w:val="00C65BAC"/>
    <w:rsid w:val="00C66ECF"/>
    <w:rsid w:val="00C70FCE"/>
    <w:rsid w:val="00C7155C"/>
    <w:rsid w:val="00C747ED"/>
    <w:rsid w:val="00C805CA"/>
    <w:rsid w:val="00C80F50"/>
    <w:rsid w:val="00C81E1D"/>
    <w:rsid w:val="00C82C64"/>
    <w:rsid w:val="00C85ACB"/>
    <w:rsid w:val="00C85C47"/>
    <w:rsid w:val="00C87CE8"/>
    <w:rsid w:val="00C90FA2"/>
    <w:rsid w:val="00C91072"/>
    <w:rsid w:val="00C936D6"/>
    <w:rsid w:val="00C93FD5"/>
    <w:rsid w:val="00C94984"/>
    <w:rsid w:val="00C971A9"/>
    <w:rsid w:val="00CA1BF9"/>
    <w:rsid w:val="00CA3D1A"/>
    <w:rsid w:val="00CA5BB0"/>
    <w:rsid w:val="00CA71D5"/>
    <w:rsid w:val="00CA71DA"/>
    <w:rsid w:val="00CA767E"/>
    <w:rsid w:val="00CC10C0"/>
    <w:rsid w:val="00CC1209"/>
    <w:rsid w:val="00CC5063"/>
    <w:rsid w:val="00CC6577"/>
    <w:rsid w:val="00CD131F"/>
    <w:rsid w:val="00CD34A0"/>
    <w:rsid w:val="00CD68AE"/>
    <w:rsid w:val="00CD7636"/>
    <w:rsid w:val="00CE1E18"/>
    <w:rsid w:val="00CE20AE"/>
    <w:rsid w:val="00CE3648"/>
    <w:rsid w:val="00CE521F"/>
    <w:rsid w:val="00CE6C35"/>
    <w:rsid w:val="00CE7564"/>
    <w:rsid w:val="00CF0065"/>
    <w:rsid w:val="00CF2CF4"/>
    <w:rsid w:val="00CF2F63"/>
    <w:rsid w:val="00CF50A8"/>
    <w:rsid w:val="00CF6087"/>
    <w:rsid w:val="00D02424"/>
    <w:rsid w:val="00D02E69"/>
    <w:rsid w:val="00D05F98"/>
    <w:rsid w:val="00D141EE"/>
    <w:rsid w:val="00D1745F"/>
    <w:rsid w:val="00D17CAD"/>
    <w:rsid w:val="00D2153E"/>
    <w:rsid w:val="00D227D0"/>
    <w:rsid w:val="00D2297A"/>
    <w:rsid w:val="00D24B1C"/>
    <w:rsid w:val="00D253F6"/>
    <w:rsid w:val="00D26474"/>
    <w:rsid w:val="00D2660F"/>
    <w:rsid w:val="00D30420"/>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039B"/>
    <w:rsid w:val="00D935B5"/>
    <w:rsid w:val="00D94159"/>
    <w:rsid w:val="00D95E8A"/>
    <w:rsid w:val="00D97441"/>
    <w:rsid w:val="00DA07A5"/>
    <w:rsid w:val="00DA1C3E"/>
    <w:rsid w:val="00DA2E18"/>
    <w:rsid w:val="00DA6731"/>
    <w:rsid w:val="00DA729A"/>
    <w:rsid w:val="00DB08A7"/>
    <w:rsid w:val="00DB0977"/>
    <w:rsid w:val="00DB2451"/>
    <w:rsid w:val="00DB354F"/>
    <w:rsid w:val="00DB3646"/>
    <w:rsid w:val="00DB3B12"/>
    <w:rsid w:val="00DB5530"/>
    <w:rsid w:val="00DB6576"/>
    <w:rsid w:val="00DB7376"/>
    <w:rsid w:val="00DB7D08"/>
    <w:rsid w:val="00DB7FC4"/>
    <w:rsid w:val="00DC0A58"/>
    <w:rsid w:val="00DC20EF"/>
    <w:rsid w:val="00DC3249"/>
    <w:rsid w:val="00DC329C"/>
    <w:rsid w:val="00DC4C9C"/>
    <w:rsid w:val="00DC4DC3"/>
    <w:rsid w:val="00DC5967"/>
    <w:rsid w:val="00DC5C9B"/>
    <w:rsid w:val="00DC6448"/>
    <w:rsid w:val="00DC764F"/>
    <w:rsid w:val="00DD249B"/>
    <w:rsid w:val="00DD29C6"/>
    <w:rsid w:val="00DD4589"/>
    <w:rsid w:val="00DD5BA8"/>
    <w:rsid w:val="00DD5EFA"/>
    <w:rsid w:val="00DD7C7F"/>
    <w:rsid w:val="00DE141E"/>
    <w:rsid w:val="00DE16B5"/>
    <w:rsid w:val="00DE5D3C"/>
    <w:rsid w:val="00DE69FE"/>
    <w:rsid w:val="00DE781E"/>
    <w:rsid w:val="00DF0909"/>
    <w:rsid w:val="00DF0FFB"/>
    <w:rsid w:val="00DF121D"/>
    <w:rsid w:val="00DF25A2"/>
    <w:rsid w:val="00DF27D7"/>
    <w:rsid w:val="00DF3032"/>
    <w:rsid w:val="00DF3D81"/>
    <w:rsid w:val="00DF4B47"/>
    <w:rsid w:val="00DF58DB"/>
    <w:rsid w:val="00DF74DE"/>
    <w:rsid w:val="00DF7B88"/>
    <w:rsid w:val="00E02ADD"/>
    <w:rsid w:val="00E05477"/>
    <w:rsid w:val="00E06767"/>
    <w:rsid w:val="00E11C17"/>
    <w:rsid w:val="00E125FE"/>
    <w:rsid w:val="00E15131"/>
    <w:rsid w:val="00E169A3"/>
    <w:rsid w:val="00E24532"/>
    <w:rsid w:val="00E25A14"/>
    <w:rsid w:val="00E2718D"/>
    <w:rsid w:val="00E30135"/>
    <w:rsid w:val="00E314BA"/>
    <w:rsid w:val="00E34EDA"/>
    <w:rsid w:val="00E36157"/>
    <w:rsid w:val="00E427EF"/>
    <w:rsid w:val="00E4299A"/>
    <w:rsid w:val="00E45593"/>
    <w:rsid w:val="00E45E6D"/>
    <w:rsid w:val="00E50AAD"/>
    <w:rsid w:val="00E50ED2"/>
    <w:rsid w:val="00E537DD"/>
    <w:rsid w:val="00E5603E"/>
    <w:rsid w:val="00E633F8"/>
    <w:rsid w:val="00E636BB"/>
    <w:rsid w:val="00E67E91"/>
    <w:rsid w:val="00E70212"/>
    <w:rsid w:val="00E7311F"/>
    <w:rsid w:val="00E75418"/>
    <w:rsid w:val="00E75F33"/>
    <w:rsid w:val="00E82036"/>
    <w:rsid w:val="00E90643"/>
    <w:rsid w:val="00E909BE"/>
    <w:rsid w:val="00E9217A"/>
    <w:rsid w:val="00E930DF"/>
    <w:rsid w:val="00E933FC"/>
    <w:rsid w:val="00E93729"/>
    <w:rsid w:val="00E93B04"/>
    <w:rsid w:val="00E955F3"/>
    <w:rsid w:val="00EA0B96"/>
    <w:rsid w:val="00EA16B6"/>
    <w:rsid w:val="00EA3AB2"/>
    <w:rsid w:val="00EA497E"/>
    <w:rsid w:val="00EA4F0D"/>
    <w:rsid w:val="00EA6F34"/>
    <w:rsid w:val="00EA7AC2"/>
    <w:rsid w:val="00EB03F4"/>
    <w:rsid w:val="00EB1B15"/>
    <w:rsid w:val="00EB2BD7"/>
    <w:rsid w:val="00EB3662"/>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4A46"/>
    <w:rsid w:val="00F050EF"/>
    <w:rsid w:val="00F11EEC"/>
    <w:rsid w:val="00F12679"/>
    <w:rsid w:val="00F131B7"/>
    <w:rsid w:val="00F159A6"/>
    <w:rsid w:val="00F15DCC"/>
    <w:rsid w:val="00F15E77"/>
    <w:rsid w:val="00F16CBC"/>
    <w:rsid w:val="00F17E48"/>
    <w:rsid w:val="00F21C87"/>
    <w:rsid w:val="00F21E56"/>
    <w:rsid w:val="00F26775"/>
    <w:rsid w:val="00F35EC1"/>
    <w:rsid w:val="00F374BC"/>
    <w:rsid w:val="00F400D8"/>
    <w:rsid w:val="00F453D7"/>
    <w:rsid w:val="00F45B75"/>
    <w:rsid w:val="00F47072"/>
    <w:rsid w:val="00F473FD"/>
    <w:rsid w:val="00F51903"/>
    <w:rsid w:val="00F55226"/>
    <w:rsid w:val="00F57E95"/>
    <w:rsid w:val="00F605C1"/>
    <w:rsid w:val="00F62D3E"/>
    <w:rsid w:val="00F63539"/>
    <w:rsid w:val="00F64109"/>
    <w:rsid w:val="00F65215"/>
    <w:rsid w:val="00F6685C"/>
    <w:rsid w:val="00F66F41"/>
    <w:rsid w:val="00F679A5"/>
    <w:rsid w:val="00F71674"/>
    <w:rsid w:val="00F71791"/>
    <w:rsid w:val="00F73291"/>
    <w:rsid w:val="00F73FA5"/>
    <w:rsid w:val="00F752F5"/>
    <w:rsid w:val="00F76756"/>
    <w:rsid w:val="00F77249"/>
    <w:rsid w:val="00F80536"/>
    <w:rsid w:val="00F82A7D"/>
    <w:rsid w:val="00F836BD"/>
    <w:rsid w:val="00F841A0"/>
    <w:rsid w:val="00F84DAF"/>
    <w:rsid w:val="00F85534"/>
    <w:rsid w:val="00F8674A"/>
    <w:rsid w:val="00F87906"/>
    <w:rsid w:val="00F8791D"/>
    <w:rsid w:val="00F921A0"/>
    <w:rsid w:val="00F929D2"/>
    <w:rsid w:val="00F93A58"/>
    <w:rsid w:val="00F940B8"/>
    <w:rsid w:val="00F96511"/>
    <w:rsid w:val="00F96F7F"/>
    <w:rsid w:val="00FA15F0"/>
    <w:rsid w:val="00FA1CE7"/>
    <w:rsid w:val="00FA1F7B"/>
    <w:rsid w:val="00FA2CB9"/>
    <w:rsid w:val="00FB1F10"/>
    <w:rsid w:val="00FB3B82"/>
    <w:rsid w:val="00FB43D3"/>
    <w:rsid w:val="00FB7CF4"/>
    <w:rsid w:val="00FC1F79"/>
    <w:rsid w:val="00FC2162"/>
    <w:rsid w:val="00FC2E95"/>
    <w:rsid w:val="00FC6A1C"/>
    <w:rsid w:val="00FD0185"/>
    <w:rsid w:val="00FD020A"/>
    <w:rsid w:val="00FD04AD"/>
    <w:rsid w:val="00FD1482"/>
    <w:rsid w:val="00FD4FF7"/>
    <w:rsid w:val="00FD5E17"/>
    <w:rsid w:val="00FE08CA"/>
    <w:rsid w:val="00FE123C"/>
    <w:rsid w:val="00FE1706"/>
    <w:rsid w:val="00FE74A9"/>
    <w:rsid w:val="00FF00FA"/>
    <w:rsid w:val="00FF2976"/>
    <w:rsid w:val="00FF29D8"/>
    <w:rsid w:val="00FF34CF"/>
    <w:rsid w:val="00FF36F5"/>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0F5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3F0F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3F0F50"/>
    <w:pPr>
      <w:pBdr>
        <w:top w:val="none" w:sz="0" w:space="0" w:color="auto"/>
      </w:pBdr>
      <w:spacing w:before="180"/>
      <w:outlineLvl w:val="1"/>
    </w:pPr>
    <w:rPr>
      <w:sz w:val="32"/>
    </w:rPr>
  </w:style>
  <w:style w:type="paragraph" w:styleId="Heading3">
    <w:name w:val="heading 3"/>
    <w:aliases w:val="H3,h3"/>
    <w:basedOn w:val="Heading2"/>
    <w:next w:val="Normal"/>
    <w:qFormat/>
    <w:rsid w:val="003F0F50"/>
    <w:pPr>
      <w:spacing w:before="120"/>
      <w:outlineLvl w:val="2"/>
    </w:pPr>
    <w:rPr>
      <w:sz w:val="28"/>
    </w:rPr>
  </w:style>
  <w:style w:type="paragraph" w:styleId="Heading4">
    <w:name w:val="heading 4"/>
    <w:aliases w:val="h4"/>
    <w:basedOn w:val="Heading3"/>
    <w:next w:val="Normal"/>
    <w:qFormat/>
    <w:rsid w:val="003F0F50"/>
    <w:pPr>
      <w:ind w:left="1418" w:hanging="1418"/>
      <w:outlineLvl w:val="3"/>
    </w:pPr>
    <w:rPr>
      <w:sz w:val="24"/>
    </w:rPr>
  </w:style>
  <w:style w:type="paragraph" w:styleId="Heading5">
    <w:name w:val="heading 5"/>
    <w:aliases w:val="h5"/>
    <w:basedOn w:val="Heading4"/>
    <w:next w:val="Normal"/>
    <w:qFormat/>
    <w:rsid w:val="003F0F50"/>
    <w:pPr>
      <w:ind w:left="1701" w:hanging="1701"/>
      <w:outlineLvl w:val="4"/>
    </w:pPr>
    <w:rPr>
      <w:sz w:val="22"/>
    </w:rPr>
  </w:style>
  <w:style w:type="paragraph" w:styleId="Heading6">
    <w:name w:val="heading 6"/>
    <w:aliases w:val="h6"/>
    <w:basedOn w:val="H6"/>
    <w:next w:val="Normal"/>
    <w:qFormat/>
    <w:rsid w:val="003F0F50"/>
    <w:pPr>
      <w:outlineLvl w:val="5"/>
    </w:pPr>
  </w:style>
  <w:style w:type="paragraph" w:styleId="Heading7">
    <w:name w:val="heading 7"/>
    <w:basedOn w:val="H6"/>
    <w:next w:val="Normal"/>
    <w:qFormat/>
    <w:rsid w:val="003F0F50"/>
    <w:pPr>
      <w:outlineLvl w:val="6"/>
    </w:pPr>
  </w:style>
  <w:style w:type="paragraph" w:styleId="Heading8">
    <w:name w:val="heading 8"/>
    <w:basedOn w:val="Heading1"/>
    <w:next w:val="Normal"/>
    <w:qFormat/>
    <w:rsid w:val="003F0F50"/>
    <w:pPr>
      <w:ind w:left="0" w:firstLine="0"/>
      <w:outlineLvl w:val="7"/>
    </w:pPr>
  </w:style>
  <w:style w:type="paragraph" w:styleId="Heading9">
    <w:name w:val="heading 9"/>
    <w:basedOn w:val="Heading8"/>
    <w:next w:val="Normal"/>
    <w:qFormat/>
    <w:rsid w:val="003F0F50"/>
    <w:pPr>
      <w:outlineLvl w:val="8"/>
    </w:pPr>
  </w:style>
  <w:style w:type="character" w:default="1" w:styleId="DefaultParagraphFont">
    <w:name w:val="Default Paragraph Font"/>
    <w:semiHidden/>
    <w:rsid w:val="003F0F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0F50"/>
  </w:style>
  <w:style w:type="paragraph" w:styleId="Header">
    <w:name w:val="header"/>
    <w:link w:val="HeaderChar"/>
    <w:rsid w:val="003F0F5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3F0F50"/>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F0F50"/>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3F0F50"/>
    <w:pPr>
      <w:spacing w:before="180"/>
      <w:ind w:left="2693" w:hanging="2693"/>
    </w:pPr>
    <w:rPr>
      <w:b/>
    </w:rPr>
  </w:style>
  <w:style w:type="paragraph" w:styleId="TOC1">
    <w:name w:val="toc 1"/>
    <w:semiHidden/>
    <w:rsid w:val="003F0F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F0F5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3F0F50"/>
    <w:pPr>
      <w:ind w:left="1701" w:hanging="1701"/>
    </w:pPr>
  </w:style>
  <w:style w:type="paragraph" w:styleId="TOC4">
    <w:name w:val="toc 4"/>
    <w:basedOn w:val="TOC3"/>
    <w:semiHidden/>
    <w:rsid w:val="003F0F50"/>
    <w:pPr>
      <w:ind w:left="1418" w:hanging="1418"/>
    </w:pPr>
  </w:style>
  <w:style w:type="paragraph" w:styleId="TOC3">
    <w:name w:val="toc 3"/>
    <w:basedOn w:val="TOC2"/>
    <w:semiHidden/>
    <w:rsid w:val="003F0F50"/>
    <w:pPr>
      <w:ind w:left="1134" w:hanging="1134"/>
    </w:pPr>
  </w:style>
  <w:style w:type="paragraph" w:styleId="TOC2">
    <w:name w:val="toc 2"/>
    <w:basedOn w:val="TOC1"/>
    <w:semiHidden/>
    <w:rsid w:val="003F0F50"/>
    <w:pPr>
      <w:keepNext w:val="0"/>
      <w:spacing w:before="0"/>
      <w:ind w:left="851" w:hanging="851"/>
    </w:pPr>
    <w:rPr>
      <w:sz w:val="20"/>
    </w:rPr>
  </w:style>
  <w:style w:type="paragraph" w:styleId="Index2">
    <w:name w:val="index 2"/>
    <w:basedOn w:val="Index1"/>
    <w:semiHidden/>
    <w:rsid w:val="003F0F50"/>
    <w:pPr>
      <w:ind w:left="284"/>
    </w:pPr>
  </w:style>
  <w:style w:type="paragraph" w:styleId="Index1">
    <w:name w:val="index 1"/>
    <w:basedOn w:val="Normal"/>
    <w:semiHidden/>
    <w:rsid w:val="003F0F50"/>
    <w:pPr>
      <w:keepLines/>
      <w:spacing w:after="0"/>
    </w:pPr>
  </w:style>
  <w:style w:type="paragraph" w:customStyle="1" w:styleId="ZH">
    <w:name w:val="ZH"/>
    <w:rsid w:val="003F0F5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F0F50"/>
    <w:pPr>
      <w:outlineLvl w:val="9"/>
    </w:pPr>
  </w:style>
  <w:style w:type="paragraph" w:styleId="ListNumber2">
    <w:name w:val="List Number 2"/>
    <w:basedOn w:val="ListNumber"/>
    <w:semiHidden/>
    <w:rsid w:val="003F0F50"/>
    <w:pPr>
      <w:ind w:left="851"/>
    </w:pPr>
  </w:style>
  <w:style w:type="character" w:styleId="FootnoteReference">
    <w:name w:val="footnote reference"/>
    <w:basedOn w:val="DefaultParagraphFont"/>
    <w:semiHidden/>
    <w:rsid w:val="003F0F50"/>
    <w:rPr>
      <w:b/>
      <w:position w:val="6"/>
      <w:sz w:val="16"/>
    </w:rPr>
  </w:style>
  <w:style w:type="paragraph" w:styleId="FootnoteText">
    <w:name w:val="footnote text"/>
    <w:basedOn w:val="Normal"/>
    <w:link w:val="FootnoteTextChar"/>
    <w:semiHidden/>
    <w:rsid w:val="003F0F50"/>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link w:val="TAHChar"/>
    <w:rsid w:val="003F0F50"/>
    <w:rPr>
      <w:b/>
    </w:rPr>
  </w:style>
  <w:style w:type="paragraph" w:customStyle="1" w:styleId="TAC">
    <w:name w:val="TAC"/>
    <w:basedOn w:val="TAL"/>
    <w:link w:val="TACChar"/>
    <w:rsid w:val="003F0F50"/>
    <w:pPr>
      <w:jc w:val="center"/>
    </w:pPr>
  </w:style>
  <w:style w:type="paragraph" w:customStyle="1" w:styleId="TF">
    <w:name w:val="TF"/>
    <w:basedOn w:val="TH"/>
    <w:rsid w:val="003F0F50"/>
    <w:pPr>
      <w:keepNext w:val="0"/>
      <w:spacing w:before="0" w:after="240"/>
    </w:pPr>
  </w:style>
  <w:style w:type="paragraph" w:customStyle="1" w:styleId="NO">
    <w:name w:val="NO"/>
    <w:basedOn w:val="Normal"/>
    <w:rsid w:val="003F0F50"/>
    <w:pPr>
      <w:keepLines/>
      <w:ind w:left="1135" w:hanging="851"/>
    </w:pPr>
  </w:style>
  <w:style w:type="paragraph" w:styleId="TOC9">
    <w:name w:val="toc 9"/>
    <w:basedOn w:val="TOC8"/>
    <w:semiHidden/>
    <w:rsid w:val="003F0F50"/>
    <w:pPr>
      <w:ind w:left="1418" w:hanging="1418"/>
    </w:pPr>
  </w:style>
  <w:style w:type="paragraph" w:customStyle="1" w:styleId="EX">
    <w:name w:val="EX"/>
    <w:basedOn w:val="Normal"/>
    <w:rsid w:val="003F0F50"/>
    <w:pPr>
      <w:keepLines/>
      <w:ind w:left="1702" w:hanging="1418"/>
    </w:pPr>
  </w:style>
  <w:style w:type="paragraph" w:customStyle="1" w:styleId="FP">
    <w:name w:val="FP"/>
    <w:basedOn w:val="Normal"/>
    <w:rsid w:val="003F0F50"/>
    <w:pPr>
      <w:spacing w:after="0"/>
    </w:pPr>
  </w:style>
  <w:style w:type="paragraph" w:customStyle="1" w:styleId="LD">
    <w:name w:val="LD"/>
    <w:rsid w:val="003F0F5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F0F50"/>
    <w:pPr>
      <w:spacing w:after="0"/>
    </w:pPr>
  </w:style>
  <w:style w:type="paragraph" w:customStyle="1" w:styleId="EW">
    <w:name w:val="EW"/>
    <w:basedOn w:val="EX"/>
    <w:rsid w:val="003F0F50"/>
    <w:pPr>
      <w:spacing w:after="0"/>
    </w:pPr>
  </w:style>
  <w:style w:type="paragraph" w:styleId="TOC6">
    <w:name w:val="toc 6"/>
    <w:basedOn w:val="TOC5"/>
    <w:next w:val="Normal"/>
    <w:semiHidden/>
    <w:rsid w:val="003F0F50"/>
    <w:pPr>
      <w:ind w:left="1985" w:hanging="1985"/>
    </w:pPr>
  </w:style>
  <w:style w:type="paragraph" w:styleId="TOC7">
    <w:name w:val="toc 7"/>
    <w:basedOn w:val="TOC6"/>
    <w:next w:val="Normal"/>
    <w:semiHidden/>
    <w:rsid w:val="003F0F50"/>
    <w:pPr>
      <w:ind w:left="2268" w:hanging="2268"/>
    </w:pPr>
  </w:style>
  <w:style w:type="paragraph" w:styleId="ListBullet2">
    <w:name w:val="List Bullet 2"/>
    <w:basedOn w:val="ListBullet"/>
    <w:semiHidden/>
    <w:rsid w:val="003F0F50"/>
    <w:pPr>
      <w:ind w:left="851"/>
    </w:pPr>
  </w:style>
  <w:style w:type="paragraph" w:styleId="ListBullet3">
    <w:name w:val="List Bullet 3"/>
    <w:basedOn w:val="ListBullet2"/>
    <w:semiHidden/>
    <w:rsid w:val="003F0F50"/>
    <w:pPr>
      <w:ind w:left="1135"/>
    </w:pPr>
  </w:style>
  <w:style w:type="paragraph" w:styleId="ListNumber">
    <w:name w:val="List Number"/>
    <w:basedOn w:val="List"/>
    <w:semiHidden/>
    <w:rsid w:val="003F0F50"/>
  </w:style>
  <w:style w:type="paragraph" w:customStyle="1" w:styleId="EQ">
    <w:name w:val="EQ"/>
    <w:basedOn w:val="Normal"/>
    <w:next w:val="Normal"/>
    <w:rsid w:val="003F0F50"/>
    <w:pPr>
      <w:keepLines/>
      <w:tabs>
        <w:tab w:val="center" w:pos="4536"/>
        <w:tab w:val="right" w:pos="9072"/>
      </w:tabs>
    </w:pPr>
    <w:rPr>
      <w:noProof/>
    </w:rPr>
  </w:style>
  <w:style w:type="paragraph" w:customStyle="1" w:styleId="TH">
    <w:name w:val="TH"/>
    <w:basedOn w:val="Normal"/>
    <w:link w:val="THChar"/>
    <w:rsid w:val="003F0F50"/>
    <w:pPr>
      <w:keepNext/>
      <w:keepLines/>
      <w:spacing w:before="60"/>
      <w:jc w:val="center"/>
    </w:pPr>
    <w:rPr>
      <w:rFonts w:ascii="Arial" w:hAnsi="Arial"/>
      <w:b/>
    </w:rPr>
  </w:style>
  <w:style w:type="paragraph" w:customStyle="1" w:styleId="NF">
    <w:name w:val="NF"/>
    <w:basedOn w:val="NO"/>
    <w:rsid w:val="003F0F50"/>
    <w:pPr>
      <w:keepNext/>
      <w:spacing w:after="0"/>
    </w:pPr>
    <w:rPr>
      <w:rFonts w:ascii="Arial" w:hAnsi="Arial"/>
      <w:sz w:val="18"/>
    </w:rPr>
  </w:style>
  <w:style w:type="paragraph" w:customStyle="1" w:styleId="PL">
    <w:name w:val="PL"/>
    <w:rsid w:val="003F0F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F0F50"/>
    <w:pPr>
      <w:jc w:val="right"/>
    </w:pPr>
  </w:style>
  <w:style w:type="paragraph" w:customStyle="1" w:styleId="H6">
    <w:name w:val="H6"/>
    <w:basedOn w:val="Heading5"/>
    <w:next w:val="Normal"/>
    <w:rsid w:val="003F0F50"/>
    <w:pPr>
      <w:ind w:left="1985" w:hanging="1985"/>
      <w:outlineLvl w:val="9"/>
    </w:pPr>
    <w:rPr>
      <w:sz w:val="20"/>
    </w:rPr>
  </w:style>
  <w:style w:type="paragraph" w:customStyle="1" w:styleId="TAN">
    <w:name w:val="TAN"/>
    <w:basedOn w:val="TAL"/>
    <w:rsid w:val="003F0F50"/>
    <w:pPr>
      <w:ind w:left="851" w:hanging="851"/>
    </w:pPr>
  </w:style>
  <w:style w:type="paragraph" w:customStyle="1" w:styleId="TAL">
    <w:name w:val="TAL"/>
    <w:basedOn w:val="Normal"/>
    <w:link w:val="TALChar"/>
    <w:rsid w:val="003F0F50"/>
    <w:pPr>
      <w:keepNext/>
      <w:keepLines/>
      <w:spacing w:after="0"/>
    </w:pPr>
    <w:rPr>
      <w:rFonts w:ascii="Arial" w:hAnsi="Arial"/>
      <w:sz w:val="18"/>
    </w:rPr>
  </w:style>
  <w:style w:type="paragraph" w:customStyle="1" w:styleId="ZA">
    <w:name w:val="ZA"/>
    <w:rsid w:val="003F0F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F0F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F0F5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F0F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F0F50"/>
    <w:pPr>
      <w:framePr w:wrap="notBeside" w:y="16161"/>
    </w:pPr>
  </w:style>
  <w:style w:type="character" w:customStyle="1" w:styleId="ZGSM">
    <w:name w:val="ZGSM"/>
    <w:rsid w:val="003F0F50"/>
  </w:style>
  <w:style w:type="paragraph" w:styleId="List2">
    <w:name w:val="List 2"/>
    <w:basedOn w:val="List"/>
    <w:semiHidden/>
    <w:rsid w:val="003F0F50"/>
    <w:pPr>
      <w:ind w:left="851"/>
    </w:pPr>
  </w:style>
  <w:style w:type="paragraph" w:customStyle="1" w:styleId="ZG">
    <w:name w:val="ZG"/>
    <w:rsid w:val="003F0F5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3F0F50"/>
    <w:pPr>
      <w:ind w:left="1135"/>
    </w:pPr>
  </w:style>
  <w:style w:type="paragraph" w:styleId="List4">
    <w:name w:val="List 4"/>
    <w:basedOn w:val="List3"/>
    <w:semiHidden/>
    <w:rsid w:val="003F0F50"/>
    <w:pPr>
      <w:ind w:left="1418"/>
    </w:pPr>
  </w:style>
  <w:style w:type="paragraph" w:styleId="List5">
    <w:name w:val="List 5"/>
    <w:basedOn w:val="List4"/>
    <w:semiHidden/>
    <w:rsid w:val="003F0F50"/>
    <w:pPr>
      <w:ind w:left="1702"/>
    </w:pPr>
  </w:style>
  <w:style w:type="paragraph" w:customStyle="1" w:styleId="EditorsNote">
    <w:name w:val="Editor's Note"/>
    <w:basedOn w:val="NO"/>
    <w:rsid w:val="003F0F50"/>
    <w:rPr>
      <w:color w:val="FF0000"/>
    </w:rPr>
  </w:style>
  <w:style w:type="paragraph" w:styleId="List">
    <w:name w:val="List"/>
    <w:basedOn w:val="Normal"/>
    <w:semiHidden/>
    <w:rsid w:val="003F0F50"/>
    <w:pPr>
      <w:ind w:left="568" w:hanging="284"/>
    </w:pPr>
  </w:style>
  <w:style w:type="paragraph" w:styleId="ListBullet">
    <w:name w:val="List Bullet"/>
    <w:basedOn w:val="List"/>
    <w:semiHidden/>
    <w:rsid w:val="003F0F50"/>
  </w:style>
  <w:style w:type="paragraph" w:styleId="ListBullet4">
    <w:name w:val="List Bullet 4"/>
    <w:basedOn w:val="ListBullet3"/>
    <w:semiHidden/>
    <w:rsid w:val="003F0F50"/>
    <w:pPr>
      <w:ind w:left="1418"/>
    </w:pPr>
  </w:style>
  <w:style w:type="paragraph" w:styleId="ListBullet5">
    <w:name w:val="List Bullet 5"/>
    <w:basedOn w:val="ListBullet4"/>
    <w:semiHidden/>
    <w:rsid w:val="003F0F50"/>
    <w:pPr>
      <w:ind w:left="1702"/>
    </w:pPr>
  </w:style>
  <w:style w:type="paragraph" w:customStyle="1" w:styleId="B2">
    <w:name w:val="B2"/>
    <w:basedOn w:val="List2"/>
    <w:rsid w:val="003F0F50"/>
  </w:style>
  <w:style w:type="paragraph" w:customStyle="1" w:styleId="B3">
    <w:name w:val="B3"/>
    <w:basedOn w:val="List3"/>
    <w:rsid w:val="003F0F50"/>
  </w:style>
  <w:style w:type="paragraph" w:customStyle="1" w:styleId="B4">
    <w:name w:val="B4"/>
    <w:basedOn w:val="List4"/>
    <w:rsid w:val="003F0F50"/>
  </w:style>
  <w:style w:type="paragraph" w:customStyle="1" w:styleId="B5">
    <w:name w:val="B5"/>
    <w:basedOn w:val="List5"/>
    <w:rsid w:val="003F0F50"/>
  </w:style>
  <w:style w:type="paragraph" w:customStyle="1" w:styleId="ZTD">
    <w:name w:val="ZTD"/>
    <w:basedOn w:val="ZB"/>
    <w:rsid w:val="003F0F50"/>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customStyle="1" w:styleId="UnresolvedMention1">
    <w:name w:val="Unresolved Mention1"/>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FF36F5"/>
    <w:rPr>
      <w:rFonts w:ascii="Arial" w:hAnsi="Arial"/>
      <w:i/>
      <w:sz w:val="18"/>
    </w:rPr>
  </w:style>
  <w:style w:type="character" w:customStyle="1" w:styleId="inner-object">
    <w:name w:val="inner-object"/>
    <w:rsid w:val="00EB1B15"/>
  </w:style>
  <w:style w:type="character" w:customStyle="1" w:styleId="TALChar">
    <w:name w:val="TAL Char"/>
    <w:link w:val="TAL"/>
    <w:qFormat/>
    <w:locked/>
    <w:rsid w:val="00BD06CC"/>
    <w:rPr>
      <w:rFonts w:ascii="Arial" w:eastAsia="Times New Roman" w:hAnsi="Arial"/>
      <w:sz w:val="18"/>
      <w:lang w:val="en-GB" w:eastAsia="en-GB"/>
    </w:rPr>
  </w:style>
  <w:style w:type="character" w:customStyle="1" w:styleId="TACChar">
    <w:name w:val="TAC Char"/>
    <w:link w:val="TAC"/>
    <w:qFormat/>
    <w:locked/>
    <w:rsid w:val="00BD06CC"/>
    <w:rPr>
      <w:rFonts w:ascii="Arial" w:eastAsia="Times New Roman" w:hAnsi="Arial"/>
      <w:sz w:val="18"/>
      <w:lang w:val="en-GB" w:eastAsia="en-GB"/>
    </w:rPr>
  </w:style>
  <w:style w:type="character" w:customStyle="1" w:styleId="TAHChar">
    <w:name w:val="TAH Char"/>
    <w:link w:val="TAH"/>
    <w:qFormat/>
    <w:locked/>
    <w:rsid w:val="00BD06CC"/>
    <w:rPr>
      <w:rFonts w:ascii="Arial" w:eastAsia="Times New Roman" w:hAnsi="Arial"/>
      <w:b/>
      <w:sz w:val="18"/>
      <w:lang w:val="en-GB" w:eastAsia="en-GB"/>
    </w:rPr>
  </w:style>
  <w:style w:type="character" w:customStyle="1" w:styleId="Datatypechar">
    <w:name w:val="Data type (char)"/>
    <w:basedOn w:val="DefaultParagraphFont"/>
    <w:uiPriority w:val="1"/>
    <w:qFormat/>
    <w:rsid w:val="00BD06CC"/>
    <w:rPr>
      <w:rFonts w:ascii="Courier New" w:hAnsi="Courier New" w:cs="Courier New" w:hint="default"/>
      <w:w w:val="90"/>
    </w:rPr>
  </w:style>
  <w:style w:type="character" w:customStyle="1" w:styleId="THChar">
    <w:name w:val="TH Char"/>
    <w:link w:val="TH"/>
    <w:qFormat/>
    <w:rsid w:val="00BD06CC"/>
    <w:rPr>
      <w:rFonts w:ascii="Arial" w:eastAsia="Times New Roman" w:hAnsi="Arial"/>
      <w:b/>
      <w:lang w:val="en-GB" w:eastAsia="en-GB"/>
    </w:rPr>
  </w:style>
  <w:style w:type="character" w:customStyle="1" w:styleId="ui-provider">
    <w:name w:val="ui-provider"/>
    <w:basedOn w:val="DefaultParagraphFont"/>
    <w:rsid w:val="00C43BE3"/>
  </w:style>
  <w:style w:type="paragraph" w:customStyle="1" w:styleId="CRCoverPage">
    <w:name w:val="CR Cover Page"/>
    <w:rsid w:val="003F0F50"/>
    <w:pPr>
      <w:spacing w:after="120"/>
    </w:pPr>
    <w:rPr>
      <w:rFonts w:ascii="Arial" w:eastAsia="Times New Roman" w:hAnsi="Arial"/>
      <w:lang w:val="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96201">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60310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68691-61FD-48BC-84F1-A861A68BA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405</Words>
  <Characters>2312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2712</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7954</cp:lastModifiedBy>
  <cp:revision>4</cp:revision>
  <cp:lastPrinted>2002-04-23T07:10:00Z</cp:lastPrinted>
  <dcterms:created xsi:type="dcterms:W3CDTF">2024-01-10T07:22:00Z</dcterms:created>
  <dcterms:modified xsi:type="dcterms:W3CDTF">2024-01-10T13:32:00Z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1681822358</vt:lpwstr>
  </property>
</Properties>
</file>